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796290</wp:posOffset>
            </wp:positionH>
            <wp:positionV relativeFrom="page">
              <wp:posOffset>1666240</wp:posOffset>
            </wp:positionV>
            <wp:extent cx="596773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229235</wp:posOffset>
            </wp:positionV>
            <wp:extent cx="15468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6860" cy="635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1360" w:hanging="310"/>
        <w:spacing w:after="0"/>
        <w:tabs>
          <w:tab w:leader="none" w:pos="1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w:t>
      </w:r>
    </w:p>
    <w:p>
      <w:pPr>
        <w:spacing w:after="0" w:line="56" w:lineRule="exact"/>
        <w:rPr>
          <w:rFonts w:ascii="MS PGothic" w:cs="MS PGothic" w:eastAsia="MS PGothic" w:hAnsi="MS PGothic"/>
          <w:sz w:val="16"/>
          <w:szCs w:val="16"/>
          <w:color w:val="auto"/>
        </w:rPr>
      </w:pPr>
    </w:p>
    <w:p>
      <w:pPr>
        <w:ind w:left="43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ACT OF 1934</w:t>
      </w:r>
    </w:p>
    <w:p>
      <w:pPr>
        <w:spacing w:after="0" w:line="160"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For the Fiscal Year Ended December 31, 2025</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7" w:lineRule="exact"/>
        <w:rPr>
          <w:sz w:val="24"/>
          <w:szCs w:val="24"/>
          <w:color w:val="auto"/>
        </w:rPr>
      </w:pPr>
    </w:p>
    <w:p>
      <w:pPr>
        <w:ind w:left="1700" w:hanging="650"/>
        <w:spacing w:after="0"/>
        <w:tabs>
          <w:tab w:leader="none" w:pos="170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TRANSITION REPORT PURSUANT TO SECTION 13 OR 15(d) OF THE SECURITIES</w:t>
      </w:r>
    </w:p>
    <w:p>
      <w:pPr>
        <w:spacing w:after="0" w:line="56" w:lineRule="exact"/>
        <w:rPr>
          <w:rFonts w:ascii="MS PGothic" w:cs="MS PGothic" w:eastAsia="MS PGothic" w:hAnsi="MS PGothic"/>
          <w:sz w:val="32"/>
          <w:szCs w:val="32"/>
          <w:color w:val="auto"/>
          <w:vertAlign w:val="subscript"/>
        </w:rPr>
      </w:pPr>
    </w:p>
    <w:p>
      <w:pPr>
        <w:ind w:left="3820"/>
        <w:spacing w:after="0"/>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EXCHANGE ACT OF 1934</w:t>
      </w:r>
    </w:p>
    <w:p>
      <w:pPr>
        <w:spacing w:after="0" w:line="116" w:lineRule="exact"/>
        <w:rPr>
          <w:sz w:val="24"/>
          <w:szCs w:val="24"/>
          <w:color w:val="auto"/>
        </w:rPr>
      </w:pPr>
    </w:p>
    <w:p>
      <w:pPr>
        <w:ind w:left="3060"/>
        <w:spacing w:after="0"/>
        <w:rPr>
          <w:sz w:val="20"/>
          <w:szCs w:val="20"/>
          <w:color w:val="auto"/>
        </w:rPr>
      </w:pPr>
      <w:r>
        <w:rPr>
          <w:rFonts w:ascii="Arial" w:cs="Arial" w:eastAsia="Arial" w:hAnsi="Arial"/>
          <w:sz w:val="16"/>
          <w:szCs w:val="16"/>
          <w:b w:val="1"/>
          <w:bCs w:val="1"/>
          <w:color w:val="auto"/>
        </w:rPr>
        <w:t>For the transition period from _______ to _______</w:t>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No. 001-36695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1965325</wp:posOffset>
            </wp:positionH>
            <wp:positionV relativeFrom="paragraph">
              <wp:posOffset>234315</wp:posOffset>
            </wp:positionV>
            <wp:extent cx="2028825" cy="482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8825" cy="4826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234315</wp:posOffset>
            </wp:positionV>
            <wp:extent cx="15468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6860" cy="635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left="1960"/>
        <w:spacing w:after="0"/>
        <w:tabs>
          <w:tab w:leader="none" w:pos="6680" w:val="left"/>
        </w:tabs>
        <w:rPr>
          <w:sz w:val="20"/>
          <w:szCs w:val="20"/>
          <w:color w:val="auto"/>
        </w:rPr>
      </w:pPr>
      <w:r>
        <w:rPr>
          <w:rFonts w:ascii="Arial" w:cs="Arial" w:eastAsia="Arial" w:hAnsi="Arial"/>
          <w:sz w:val="16"/>
          <w:szCs w:val="16"/>
          <w:b w:val="1"/>
          <w:bCs w:val="1"/>
          <w:color w:val="auto"/>
        </w:rPr>
        <w:t>Maryland</w:t>
      </w:r>
      <w:r>
        <w:rPr>
          <w:sz w:val="20"/>
          <w:szCs w:val="20"/>
          <w:color w:val="auto"/>
        </w:rPr>
        <w:tab/>
      </w:r>
      <w:r>
        <w:rPr>
          <w:rFonts w:ascii="Arial" w:cs="Arial" w:eastAsia="Arial" w:hAnsi="Arial"/>
          <w:sz w:val="16"/>
          <w:szCs w:val="16"/>
          <w:b w:val="1"/>
          <w:bCs w:val="1"/>
          <w:color w:val="auto"/>
        </w:rPr>
        <w:t>38-3941859</w:t>
      </w:r>
    </w:p>
    <w:p>
      <w:pPr>
        <w:spacing w:after="0" w:line="73" w:lineRule="exact"/>
        <w:rPr>
          <w:sz w:val="24"/>
          <w:szCs w:val="24"/>
          <w:color w:val="auto"/>
        </w:rPr>
      </w:pPr>
    </w:p>
    <w:p>
      <w:pPr>
        <w:ind w:left="340"/>
        <w:spacing w:after="0"/>
        <w:tabs>
          <w:tab w:leader="none" w:pos="5920" w:val="left"/>
        </w:tabs>
        <w:rPr>
          <w:sz w:val="20"/>
          <w:szCs w:val="20"/>
          <w:color w:val="auto"/>
        </w:rPr>
      </w:pPr>
      <w:r>
        <w:rPr>
          <w:rFonts w:ascii="Arial" w:cs="Arial" w:eastAsia="Arial" w:hAnsi="Arial"/>
          <w:sz w:val="16"/>
          <w:szCs w:val="16"/>
          <w:i w:val="1"/>
          <w:iCs w:val="1"/>
          <w:color w:val="auto"/>
        </w:rPr>
        <w:t>(State or other jurisdiction of incorporation or organization)</w:t>
      </w:r>
      <w:r>
        <w:rPr>
          <w:sz w:val="20"/>
          <w:szCs w:val="20"/>
          <w:color w:val="auto"/>
        </w:rPr>
        <w:tab/>
      </w:r>
      <w:r>
        <w:rPr>
          <w:rFonts w:ascii="Arial" w:cs="Arial" w:eastAsia="Arial" w:hAnsi="Arial"/>
          <w:sz w:val="14"/>
          <w:szCs w:val="14"/>
          <w:i w:val="1"/>
          <w:iCs w:val="1"/>
          <w:color w:val="auto"/>
        </w:rPr>
        <w:t>(I.R.S. Employer Identification No.)</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214 West First Street</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Oswego, NY 13126</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(315) 343-0057</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(Address, including zip code, and telephone number, including area code, of registrant’s principal executive offices)</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86" w:lineRule="exact"/>
        <w:rPr>
          <w:sz w:val="24"/>
          <w:szCs w:val="24"/>
          <w:color w:val="auto"/>
        </w:rPr>
      </w:pPr>
    </w:p>
    <w:tbl>
      <w:tblPr>
        <w:tblLayout w:type="fixed"/>
        <w:tblInd w:w="54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234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87"/>
              </w:rPr>
              <w:t>Title of each class</w:t>
            </w:r>
          </w:p>
        </w:tc>
        <w:tc>
          <w:tcPr>
            <w:tcW w:w="1960" w:type="dxa"/>
            <w:vAlign w:val="bottom"/>
            <w:gridSpan w:val="2"/>
          </w:tcPr>
          <w:p>
            <w:pPr>
              <w:jc w:val="center"/>
              <w:ind w:left="600"/>
              <w:spacing w:after="0"/>
              <w:rPr>
                <w:sz w:val="20"/>
                <w:szCs w:val="20"/>
                <w:color w:val="auto"/>
              </w:rPr>
            </w:pPr>
            <w:r>
              <w:rPr>
                <w:rFonts w:ascii="Arial" w:cs="Arial" w:eastAsia="Arial" w:hAnsi="Arial"/>
                <w:sz w:val="16"/>
                <w:szCs w:val="16"/>
                <w:b w:val="1"/>
                <w:bCs w:val="1"/>
                <w:color w:val="auto"/>
                <w:w w:val="91"/>
              </w:rPr>
              <w:t>Trading Symbol(s)</w:t>
            </w:r>
          </w:p>
        </w:tc>
        <w:tc>
          <w:tcPr>
            <w:tcW w:w="3900" w:type="dxa"/>
            <w:vAlign w:val="bottom"/>
            <w:gridSpan w:val="2"/>
          </w:tcPr>
          <w:p>
            <w:pPr>
              <w:jc w:val="center"/>
              <w:ind w:left="8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r>
      <w:tr>
        <w:trPr>
          <w:trHeight w:val="280"/>
        </w:trPr>
        <w:tc>
          <w:tcPr>
            <w:tcW w:w="284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90"/>
              </w:rPr>
              <w:t>Common Stock, $0.01 par value</w:t>
            </w:r>
          </w:p>
        </w:tc>
        <w:tc>
          <w:tcPr>
            <w:tcW w:w="6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PBHC</w:t>
            </w:r>
          </w:p>
        </w:tc>
        <w:tc>
          <w:tcPr>
            <w:tcW w:w="9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6"/>
                <w:szCs w:val="16"/>
                <w:b w:val="1"/>
                <w:bCs w:val="1"/>
                <w:color w:val="auto"/>
                <w:w w:val="96"/>
              </w:rPr>
              <w:t>The NASDAQ Stock Market LLC</w:t>
            </w:r>
          </w:p>
        </w:tc>
      </w:tr>
    </w:tbl>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3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2" w:lineRule="exact"/>
        <w:rPr>
          <w:sz w:val="24"/>
          <w:szCs w:val="24"/>
          <w:color w:val="auto"/>
        </w:rPr>
      </w:pPr>
    </w:p>
    <w:p>
      <w:pPr>
        <w:jc w:val="both"/>
        <w:spacing w:after="0" w:line="26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3" w:lineRule="exact"/>
        <w:rPr>
          <w:sz w:val="24"/>
          <w:szCs w:val="24"/>
          <w:color w:val="auto"/>
        </w:rPr>
      </w:pPr>
    </w:p>
    <w:p>
      <w:pPr>
        <w:jc w:val="both"/>
        <w:ind w:right="2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9360"/>
          </w:cols>
          <w:pgMar w:left="1260" w:top="1440" w:right="1286"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1 / 59</w:t>
      </w:r>
    </w:p>
    <w:p>
      <w:pPr>
        <w:sectPr>
          <w:pgSz w:w="11900" w:h="16838" w:orient="portrait"/>
          <w:cols w:equalWidth="0" w:num="1">
            <w:col w:w="9360"/>
          </w:cols>
          <w:pgMar w:left="1260" w:top="1440" w:right="1286" w:bottom="0" w:gutter="0" w:footer="0" w:header="0"/>
          <w:type w:val="continuous"/>
        </w:sectPr>
      </w:pPr>
    </w:p>
    <w:bookmarkStart w:id="1" w:name="page2"/>
    <w:bookmarkEnd w:id="1"/>
    <w:p>
      <w:pPr>
        <w:jc w:val="both"/>
        <w:ind w:right="20"/>
        <w:spacing w:after="0" w:line="3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7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240" w:type="dxa"/>
            <w:vAlign w:val="bottom"/>
          </w:tcPr>
          <w:p>
            <w:pPr>
              <w:ind w:left="420"/>
              <w:spacing w:after="0"/>
              <w:rPr>
                <w:sz w:val="20"/>
                <w:szCs w:val="20"/>
                <w:color w:val="auto"/>
              </w:rPr>
            </w:pPr>
            <w:r>
              <w:rPr>
                <w:rFonts w:ascii="Arial" w:cs="Arial" w:eastAsia="Arial" w:hAnsi="Arial"/>
                <w:sz w:val="16"/>
                <w:szCs w:val="16"/>
                <w:color w:val="auto"/>
                <w:w w:val="94"/>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0"/>
        </w:trPr>
        <w:tc>
          <w:tcPr>
            <w:tcW w:w="1660" w:type="dxa"/>
            <w:vAlign w:val="bottom"/>
          </w:tcPr>
          <w:p>
            <w:pPr>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240" w:type="dxa"/>
            <w:vAlign w:val="bottom"/>
          </w:tcPr>
          <w:p>
            <w:pPr>
              <w:ind w:left="420"/>
              <w:spacing w:after="0"/>
              <w:rPr>
                <w:sz w:val="20"/>
                <w:szCs w:val="20"/>
                <w:color w:val="auto"/>
              </w:rPr>
            </w:pPr>
            <w:r>
              <w:rPr>
                <w:rFonts w:ascii="Arial" w:cs="Arial" w:eastAsia="Arial" w:hAnsi="Arial"/>
                <w:sz w:val="16"/>
                <w:szCs w:val="16"/>
                <w:color w:val="auto"/>
                <w:w w:val="94"/>
              </w:rPr>
              <w:t>Emerging growth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8"/>
        </w:trPr>
        <w:tc>
          <w:tcPr>
            <w:tcW w:w="1660" w:type="dxa"/>
            <w:vAlign w:val="bottom"/>
          </w:tcPr>
          <w:p>
            <w:pPr>
              <w:spacing w:after="0"/>
              <w:rPr>
                <w:sz w:val="20"/>
                <w:szCs w:val="20"/>
                <w:color w:val="auto"/>
              </w:rPr>
            </w:pPr>
            <w:r>
              <w:rPr>
                <w:rFonts w:ascii="Arial" w:cs="Arial" w:eastAsia="Arial" w:hAnsi="Arial"/>
                <w:sz w:val="16"/>
                <w:szCs w:val="16"/>
                <w:color w:val="auto"/>
              </w:rPr>
              <w:t>Non-accelerated filer</w:t>
            </w:r>
          </w:p>
        </w:tc>
        <w:tc>
          <w:tcPr>
            <w:tcW w:w="7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43" w:lineRule="exact"/>
        <w:rPr>
          <w:sz w:val="20"/>
          <w:szCs w:val="20"/>
          <w:color w:val="auto"/>
        </w:rPr>
      </w:pPr>
    </w:p>
    <w:p>
      <w:pPr>
        <w:jc w:val="both"/>
        <w:ind w:right="20"/>
        <w:spacing w:after="0" w:line="24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42" w:lineRule="exact"/>
        <w:rPr>
          <w:sz w:val="20"/>
          <w:szCs w:val="20"/>
          <w:color w:val="auto"/>
        </w:rPr>
      </w:pPr>
    </w:p>
    <w:p>
      <w:pPr>
        <w:jc w:val="both"/>
        <w:ind w:right="20"/>
        <w:spacing w:after="0" w:line="386"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32" w:lineRule="exact"/>
        <w:rPr>
          <w:sz w:val="20"/>
          <w:szCs w:val="20"/>
          <w:color w:val="auto"/>
        </w:rPr>
      </w:pPr>
    </w:p>
    <w:p>
      <w:pPr>
        <w:ind w:right="40"/>
        <w:spacing w:after="0" w:line="24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42" w:lineRule="exact"/>
        <w:rPr>
          <w:sz w:val="20"/>
          <w:szCs w:val="20"/>
          <w:color w:val="auto"/>
        </w:rPr>
      </w:pPr>
    </w:p>
    <w:p>
      <w:pPr>
        <w:ind w:right="40"/>
        <w:spacing w:after="0" w:line="23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23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2" w:lineRule="exact"/>
        <w:rPr>
          <w:sz w:val="20"/>
          <w:szCs w:val="20"/>
          <w:color w:val="auto"/>
        </w:rPr>
      </w:pPr>
    </w:p>
    <w:p>
      <w:pPr>
        <w:ind w:right="20"/>
        <w:spacing w:after="0" w:line="423"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computed by reference to the last sale price on June 30, 2025, as reported by the NASDAQ Capital Market ($15.34), was approximately $80.0 million.</w:t>
      </w:r>
    </w:p>
    <w:p>
      <w:pPr>
        <w:spacing w:after="0" w:line="112" w:lineRule="exact"/>
        <w:rPr>
          <w:sz w:val="20"/>
          <w:szCs w:val="20"/>
          <w:color w:val="auto"/>
        </w:rPr>
      </w:pPr>
    </w:p>
    <w:p>
      <w:pPr>
        <w:spacing w:after="0" w:line="381" w:lineRule="auto"/>
        <w:rPr>
          <w:sz w:val="20"/>
          <w:szCs w:val="20"/>
          <w:color w:val="auto"/>
        </w:rPr>
      </w:pPr>
      <w:r>
        <w:rPr>
          <w:rFonts w:ascii="Arial" w:cs="Arial" w:eastAsia="Arial" w:hAnsi="Arial"/>
          <w:sz w:val="16"/>
          <w:szCs w:val="16"/>
          <w:color w:val="auto"/>
        </w:rPr>
        <w:t>As of March 25, 2026, there were 4,876,213 shares outstanding of the Registrant’s voting common stock and 1,380,283 shares of the Registrant’s Series A nonvoting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DOCUMENTS INCORPORATED BY REFERENCE: Proxy Statement for the 2026 Annual Meeting of Shareholders of the Registrant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974090</wp:posOffset>
            </wp:positionV>
            <wp:extent cx="59677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20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 / 59</w:t>
      </w:r>
    </w:p>
    <w:p>
      <w:pPr>
        <w:sectPr>
          <w:pgSz w:w="11900" w:h="16838" w:orient="portrait"/>
          <w:cols w:equalWidth="0" w:num="1">
            <w:col w:w="9360"/>
          </w:cols>
          <w:pgMar w:left="1260" w:top="1208" w:right="1286"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TABLE OF CONTENTS</w:t>
      </w:r>
    </w:p>
    <w:p>
      <w:pPr>
        <w:spacing w:after="0" w:line="190"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FORM 10-K ANNUAL REPORT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YEAR ENDED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DECEMBER 31, 2025</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PATHFINDER BANCORP, INC.</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304"/>
        </w:trPr>
        <w:tc>
          <w:tcPr>
            <w:tcW w:w="1120" w:type="dxa"/>
            <w:vAlign w:val="bottom"/>
            <w:gridSpan w:val="5"/>
          </w:tcPr>
          <w:p>
            <w:pPr>
              <w:spacing w:after="0"/>
              <w:rPr>
                <w:sz w:val="20"/>
                <w:szCs w:val="20"/>
                <w:color w:val="auto"/>
              </w:rPr>
            </w:pPr>
            <w:r>
              <w:rPr>
                <w:rFonts w:ascii="Arial" w:cs="Arial" w:eastAsia="Arial" w:hAnsi="Arial"/>
                <w:sz w:val="20"/>
                <w:szCs w:val="20"/>
                <w:b w:val="1"/>
                <w:bCs w:val="1"/>
                <w:color w:val="0000FF"/>
              </w:rPr>
              <w:t>PART I</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w:t>
            </w:r>
          </w:p>
        </w:tc>
        <w:tc>
          <w:tcPr>
            <w:tcW w:w="7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6"/>
              </w:rPr>
              <w:t>Business</w:t>
            </w:r>
          </w:p>
        </w:tc>
        <w:tc>
          <w:tcPr>
            <w:tcW w:w="6780" w:type="dxa"/>
            <w:vAlign w:val="bottom"/>
            <w:gridSpan w:val="2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1A.</w:t>
            </w:r>
          </w:p>
        </w:tc>
        <w:tc>
          <w:tcPr>
            <w:tcW w:w="7500" w:type="dxa"/>
            <w:vAlign w:val="bottom"/>
            <w:gridSpan w:val="24"/>
          </w:tcPr>
          <w:p>
            <w:pPr>
              <w:spacing w:after="0"/>
              <w:rPr>
                <w:sz w:val="20"/>
                <w:szCs w:val="20"/>
                <w:color w:val="auto"/>
              </w:rPr>
            </w:pPr>
            <w:r>
              <w:rPr>
                <w:rFonts w:ascii="Arial" w:cs="Arial" w:eastAsia="Arial" w:hAnsi="Arial"/>
                <w:sz w:val="20"/>
                <w:szCs w:val="20"/>
                <w:color w:val="0000FF"/>
              </w:rPr>
              <w:t>Risk Factors</w:t>
            </w:r>
          </w:p>
        </w:tc>
        <w:tc>
          <w:tcPr>
            <w:tcW w:w="76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1B.</w:t>
            </w:r>
          </w:p>
        </w:tc>
        <w:tc>
          <w:tcPr>
            <w:tcW w:w="228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color w:val="0000FF"/>
                <w:w w:val="90"/>
              </w:rPr>
              <w:t>Unresolved Staff Comments</w:t>
            </w:r>
          </w:p>
        </w:tc>
        <w:tc>
          <w:tcPr>
            <w:tcW w:w="522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1C.</w:t>
            </w:r>
          </w:p>
        </w:tc>
        <w:tc>
          <w:tcPr>
            <w:tcW w:w="7500" w:type="dxa"/>
            <w:vAlign w:val="bottom"/>
            <w:gridSpan w:val="24"/>
          </w:tcPr>
          <w:p>
            <w:pPr>
              <w:spacing w:after="0"/>
              <w:rPr>
                <w:sz w:val="20"/>
                <w:szCs w:val="20"/>
                <w:color w:val="auto"/>
              </w:rPr>
            </w:pPr>
            <w:r>
              <w:rPr>
                <w:rFonts w:ascii="Arial" w:cs="Arial" w:eastAsia="Arial" w:hAnsi="Arial"/>
                <w:sz w:val="20"/>
                <w:szCs w:val="20"/>
                <w:color w:val="0000FF"/>
              </w:rPr>
              <w:t>Cybersecurity</w:t>
            </w:r>
          </w:p>
        </w:tc>
        <w:tc>
          <w:tcPr>
            <w:tcW w:w="76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2.</w:t>
            </w:r>
          </w:p>
        </w:tc>
        <w:tc>
          <w:tcPr>
            <w:tcW w:w="8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0"/>
                <w:szCs w:val="20"/>
                <w:color w:val="0000FF"/>
                <w:w w:val="87"/>
              </w:rPr>
              <w:t>Properties</w:t>
            </w:r>
          </w:p>
        </w:tc>
        <w:tc>
          <w:tcPr>
            <w:tcW w:w="300" w:type="dxa"/>
            <w:vAlign w:val="bottom"/>
            <w:tcBorders>
              <w:top w:val="single" w:sz="8" w:color="0000FF"/>
            </w:tcBorders>
            <w:gridSpan w:val="2"/>
          </w:tcPr>
          <w:p>
            <w:pPr>
              <w:spacing w:after="0"/>
              <w:rPr>
                <w:sz w:val="24"/>
                <w:szCs w:val="24"/>
                <w:color w:val="auto"/>
              </w:rPr>
            </w:pPr>
          </w:p>
        </w:tc>
        <w:tc>
          <w:tcPr>
            <w:tcW w:w="6380" w:type="dxa"/>
            <w:vAlign w:val="bottom"/>
            <w:gridSpan w:val="1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3.</w:t>
            </w:r>
          </w:p>
        </w:tc>
        <w:tc>
          <w:tcPr>
            <w:tcW w:w="7500" w:type="dxa"/>
            <w:vAlign w:val="bottom"/>
            <w:gridSpan w:val="24"/>
          </w:tcPr>
          <w:p>
            <w:pPr>
              <w:spacing w:after="0"/>
              <w:rPr>
                <w:sz w:val="20"/>
                <w:szCs w:val="20"/>
                <w:color w:val="auto"/>
              </w:rPr>
            </w:pPr>
            <w:r>
              <w:rPr>
                <w:rFonts w:ascii="Arial" w:cs="Arial" w:eastAsia="Arial" w:hAnsi="Arial"/>
                <w:sz w:val="20"/>
                <w:szCs w:val="20"/>
                <w:color w:val="0000FF"/>
              </w:rPr>
              <w:t>Legal Proceedings</w:t>
            </w:r>
          </w:p>
        </w:tc>
        <w:tc>
          <w:tcPr>
            <w:tcW w:w="7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4.</w:t>
            </w:r>
          </w:p>
        </w:tc>
        <w:tc>
          <w:tcPr>
            <w:tcW w:w="7500" w:type="dxa"/>
            <w:vAlign w:val="bottom"/>
            <w:gridSpan w:val="24"/>
          </w:tcPr>
          <w:p>
            <w:pPr>
              <w:spacing w:after="0"/>
              <w:rPr>
                <w:sz w:val="20"/>
                <w:szCs w:val="20"/>
                <w:color w:val="auto"/>
              </w:rPr>
            </w:pPr>
            <w:r>
              <w:rPr>
                <w:rFonts w:ascii="Arial" w:cs="Arial" w:eastAsia="Arial" w:hAnsi="Arial"/>
                <w:sz w:val="20"/>
                <w:szCs w:val="20"/>
                <w:color w:val="0000FF"/>
              </w:rPr>
              <w:t>Mine Safety Disclosure</w:t>
            </w:r>
          </w:p>
        </w:tc>
        <w:tc>
          <w:tcPr>
            <w:tcW w:w="7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489"/>
        </w:trPr>
        <w:tc>
          <w:tcPr>
            <w:tcW w:w="1120" w:type="dxa"/>
            <w:vAlign w:val="bottom"/>
            <w:gridSpan w:val="5"/>
          </w:tcPr>
          <w:p>
            <w:pPr>
              <w:spacing w:after="0"/>
              <w:rPr>
                <w:sz w:val="20"/>
                <w:szCs w:val="20"/>
                <w:color w:val="auto"/>
              </w:rPr>
            </w:pPr>
            <w:r>
              <w:rPr>
                <w:rFonts w:ascii="Arial" w:cs="Arial" w:eastAsia="Arial" w:hAnsi="Arial"/>
                <w:sz w:val="20"/>
                <w:szCs w:val="20"/>
                <w:b w:val="1"/>
                <w:bCs w:val="1"/>
                <w:color w:val="0000FF"/>
              </w:rPr>
              <w:t>PART II</w:t>
            </w: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5.</w:t>
            </w:r>
          </w:p>
        </w:tc>
        <w:tc>
          <w:tcPr>
            <w:tcW w:w="7380" w:type="dxa"/>
            <w:vAlign w:val="bottom"/>
            <w:tcBorders>
              <w:bottom w:val="single" w:sz="8" w:color="0000FF"/>
            </w:tcBorders>
            <w:gridSpan w:val="23"/>
          </w:tcPr>
          <w:p>
            <w:pPr>
              <w:spacing w:after="0"/>
              <w:rPr>
                <w:sz w:val="20"/>
                <w:szCs w:val="20"/>
                <w:color w:val="auto"/>
              </w:rPr>
            </w:pPr>
            <w:r>
              <w:rPr>
                <w:rFonts w:ascii="Arial" w:cs="Arial" w:eastAsia="Arial" w:hAnsi="Arial"/>
                <w:sz w:val="20"/>
                <w:szCs w:val="20"/>
                <w:color w:val="0000FF"/>
                <w:w w:val="90"/>
              </w:rPr>
              <w:t>Market for Registrant's Common Equity, Related Stockholder Matters and Issuer Purchases</w:t>
            </w:r>
          </w:p>
        </w:tc>
        <w:tc>
          <w:tcPr>
            <w:tcW w:w="1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500" w:type="dxa"/>
            <w:vAlign w:val="bottom"/>
            <w:gridSpan w:val="24"/>
            <w:vMerge w:val="restart"/>
          </w:tcPr>
          <w:p>
            <w:pPr>
              <w:spacing w:after="0"/>
              <w:rPr>
                <w:sz w:val="20"/>
                <w:szCs w:val="20"/>
                <w:color w:val="auto"/>
              </w:rPr>
            </w:pPr>
            <w:r>
              <w:rPr>
                <w:rFonts w:ascii="Arial" w:cs="Arial" w:eastAsia="Arial" w:hAnsi="Arial"/>
                <w:sz w:val="20"/>
                <w:szCs w:val="20"/>
                <w:color w:val="0000FF"/>
              </w:rPr>
              <w:t>of Equity Securities</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500" w:type="dxa"/>
            <w:vAlign w:val="bottom"/>
            <w:gridSpan w:val="24"/>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6.</w:t>
            </w:r>
          </w:p>
        </w:tc>
        <w:tc>
          <w:tcPr>
            <w:tcW w:w="1580" w:type="dxa"/>
            <w:vAlign w:val="bottom"/>
            <w:tcBorders>
              <w:top w:val="single" w:sz="8" w:color="0000FF"/>
            </w:tcBorders>
            <w:gridSpan w:val="8"/>
          </w:tcPr>
          <w:p>
            <w:pPr>
              <w:spacing w:after="0"/>
              <w:rPr>
                <w:sz w:val="20"/>
                <w:szCs w:val="20"/>
                <w:color w:val="auto"/>
              </w:rPr>
            </w:pPr>
            <w:r>
              <w:rPr>
                <w:rFonts w:ascii="Arial" w:cs="Arial" w:eastAsia="Arial" w:hAnsi="Arial"/>
                <w:sz w:val="20"/>
                <w:szCs w:val="20"/>
                <w:color w:val="0000FF"/>
              </w:rPr>
              <w:t>Reserved</w:t>
            </w:r>
          </w:p>
        </w:tc>
        <w:tc>
          <w:tcPr>
            <w:tcW w:w="5920" w:type="dxa"/>
            <w:vAlign w:val="bottom"/>
            <w:gridSpan w:val="1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7.</w:t>
            </w:r>
          </w:p>
        </w:tc>
        <w:tc>
          <w:tcPr>
            <w:tcW w:w="7160" w:type="dxa"/>
            <w:vAlign w:val="bottom"/>
            <w:tcBorders>
              <w:bottom w:val="single" w:sz="8" w:color="0000FF"/>
            </w:tcBorders>
            <w:gridSpan w:val="21"/>
          </w:tcPr>
          <w:p>
            <w:pPr>
              <w:spacing w:after="0"/>
              <w:rPr>
                <w:sz w:val="20"/>
                <w:szCs w:val="20"/>
                <w:color w:val="auto"/>
              </w:rPr>
            </w:pPr>
            <w:r>
              <w:rPr>
                <w:rFonts w:ascii="Arial" w:cs="Arial" w:eastAsia="Arial" w:hAnsi="Arial"/>
                <w:sz w:val="20"/>
                <w:szCs w:val="20"/>
                <w:color w:val="0000FF"/>
                <w:w w:val="90"/>
              </w:rPr>
              <w:t>Management's Discussion and Analysis of Financial Condition and Results of Operations</w:t>
            </w:r>
          </w:p>
        </w:tc>
        <w:tc>
          <w:tcPr>
            <w:tcW w:w="34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7A.</w:t>
            </w:r>
          </w:p>
        </w:tc>
        <w:tc>
          <w:tcPr>
            <w:tcW w:w="7500" w:type="dxa"/>
            <w:vAlign w:val="bottom"/>
            <w:gridSpan w:val="24"/>
          </w:tcPr>
          <w:p>
            <w:pPr>
              <w:spacing w:after="0"/>
              <w:rPr>
                <w:sz w:val="20"/>
                <w:szCs w:val="20"/>
                <w:color w:val="auto"/>
              </w:rPr>
            </w:pPr>
            <w:r>
              <w:rPr>
                <w:rFonts w:ascii="Arial" w:cs="Arial" w:eastAsia="Arial" w:hAnsi="Arial"/>
                <w:sz w:val="20"/>
                <w:szCs w:val="20"/>
                <w:color w:val="0000FF"/>
              </w:rPr>
              <w:t>Quantitative and Qualitative Disclosures About Market Risk</w:t>
            </w:r>
          </w:p>
        </w:tc>
        <w:tc>
          <w:tcPr>
            <w:tcW w:w="7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8.</w:t>
            </w:r>
          </w:p>
        </w:tc>
        <w:tc>
          <w:tcPr>
            <w:tcW w:w="4840" w:type="dxa"/>
            <w:vAlign w:val="bottom"/>
            <w:tcBorders>
              <w:top w:val="single" w:sz="8" w:color="0000FF"/>
            </w:tcBorders>
            <w:gridSpan w:val="18"/>
          </w:tcPr>
          <w:p>
            <w:pPr>
              <w:spacing w:after="0"/>
              <w:rPr>
                <w:sz w:val="20"/>
                <w:szCs w:val="20"/>
                <w:color w:val="auto"/>
              </w:rPr>
            </w:pPr>
            <w:r>
              <w:rPr>
                <w:rFonts w:ascii="Arial" w:cs="Arial" w:eastAsia="Arial" w:hAnsi="Arial"/>
                <w:sz w:val="20"/>
                <w:szCs w:val="20"/>
                <w:color w:val="0000FF"/>
              </w:rPr>
              <w:t>Financial Statements and Supplementary Data</w:t>
            </w:r>
          </w:p>
        </w:tc>
        <w:tc>
          <w:tcPr>
            <w:tcW w:w="266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9.</w:t>
            </w:r>
          </w:p>
        </w:tc>
        <w:tc>
          <w:tcPr>
            <w:tcW w:w="7260" w:type="dxa"/>
            <w:vAlign w:val="bottom"/>
            <w:tcBorders>
              <w:bottom w:val="single" w:sz="8" w:color="0000FF"/>
            </w:tcBorders>
            <w:gridSpan w:val="22"/>
          </w:tcPr>
          <w:p>
            <w:pPr>
              <w:spacing w:after="0"/>
              <w:rPr>
                <w:sz w:val="20"/>
                <w:szCs w:val="20"/>
                <w:color w:val="auto"/>
              </w:rPr>
            </w:pPr>
            <w:r>
              <w:rPr>
                <w:rFonts w:ascii="Arial" w:cs="Arial" w:eastAsia="Arial" w:hAnsi="Arial"/>
                <w:sz w:val="20"/>
                <w:szCs w:val="20"/>
                <w:color w:val="0000FF"/>
                <w:w w:val="90"/>
              </w:rPr>
              <w:t>Changes In and Disagreements With Accountants on Accounting and Financial Disclosure</w:t>
            </w:r>
          </w:p>
        </w:tc>
        <w:tc>
          <w:tcPr>
            <w:tcW w:w="24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9A</w:t>
            </w:r>
          </w:p>
        </w:tc>
        <w:tc>
          <w:tcPr>
            <w:tcW w:w="7500" w:type="dxa"/>
            <w:vAlign w:val="bottom"/>
            <w:gridSpan w:val="24"/>
          </w:tcPr>
          <w:p>
            <w:pPr>
              <w:spacing w:after="0"/>
              <w:rPr>
                <w:sz w:val="20"/>
                <w:szCs w:val="20"/>
                <w:color w:val="auto"/>
              </w:rPr>
            </w:pPr>
            <w:r>
              <w:rPr>
                <w:rFonts w:ascii="Arial" w:cs="Arial" w:eastAsia="Arial" w:hAnsi="Arial"/>
                <w:sz w:val="20"/>
                <w:szCs w:val="20"/>
                <w:color w:val="0000FF"/>
              </w:rPr>
              <w:t>Controls and Procedures</w:t>
            </w:r>
          </w:p>
        </w:tc>
        <w:tc>
          <w:tcPr>
            <w:tcW w:w="76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9B.</w:t>
            </w:r>
          </w:p>
        </w:tc>
        <w:tc>
          <w:tcPr>
            <w:tcW w:w="1960" w:type="dxa"/>
            <w:vAlign w:val="bottom"/>
            <w:tcBorders>
              <w:top w:val="single" w:sz="8" w:color="0000FF"/>
            </w:tcBorders>
            <w:gridSpan w:val="11"/>
          </w:tcPr>
          <w:p>
            <w:pPr>
              <w:spacing w:after="0"/>
              <w:rPr>
                <w:sz w:val="20"/>
                <w:szCs w:val="20"/>
                <w:color w:val="auto"/>
              </w:rPr>
            </w:pPr>
            <w:r>
              <w:rPr>
                <w:rFonts w:ascii="Arial" w:cs="Arial" w:eastAsia="Arial" w:hAnsi="Arial"/>
                <w:sz w:val="20"/>
                <w:szCs w:val="20"/>
                <w:color w:val="0000FF"/>
              </w:rPr>
              <w:t>Other Information</w:t>
            </w:r>
          </w:p>
        </w:tc>
        <w:tc>
          <w:tcPr>
            <w:tcW w:w="554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9C.</w:t>
            </w:r>
          </w:p>
        </w:tc>
        <w:tc>
          <w:tcPr>
            <w:tcW w:w="7500" w:type="dxa"/>
            <w:vAlign w:val="bottom"/>
            <w:gridSpan w:val="24"/>
          </w:tcPr>
          <w:p>
            <w:pPr>
              <w:spacing w:after="0"/>
              <w:rPr>
                <w:sz w:val="20"/>
                <w:szCs w:val="20"/>
                <w:color w:val="auto"/>
              </w:rPr>
            </w:pPr>
            <w:r>
              <w:rPr>
                <w:rFonts w:ascii="Arial" w:cs="Arial" w:eastAsia="Arial" w:hAnsi="Arial"/>
                <w:sz w:val="20"/>
                <w:szCs w:val="20"/>
                <w:color w:val="0000FF"/>
              </w:rPr>
              <w:t>Disclosure Regarding Foreign Jurisdictions that Prevent Inspections</w:t>
            </w:r>
          </w:p>
        </w:tc>
        <w:tc>
          <w:tcPr>
            <w:tcW w:w="76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489"/>
        </w:trPr>
        <w:tc>
          <w:tcPr>
            <w:tcW w:w="84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b w:val="1"/>
                <w:bCs w:val="1"/>
                <w:color w:val="0000FF"/>
              </w:rPr>
              <w:t>PART III</w:t>
            </w: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10.</w:t>
            </w:r>
          </w:p>
        </w:tc>
        <w:tc>
          <w:tcPr>
            <w:tcW w:w="4560" w:type="dxa"/>
            <w:vAlign w:val="bottom"/>
            <w:tcBorders>
              <w:bottom w:val="single" w:sz="8" w:color="0000FF"/>
            </w:tcBorders>
            <w:gridSpan w:val="17"/>
          </w:tcPr>
          <w:p>
            <w:pPr>
              <w:spacing w:after="0"/>
              <w:rPr>
                <w:sz w:val="20"/>
                <w:szCs w:val="20"/>
                <w:color w:val="auto"/>
              </w:rPr>
            </w:pPr>
            <w:r>
              <w:rPr>
                <w:rFonts w:ascii="Arial" w:cs="Arial" w:eastAsia="Arial" w:hAnsi="Arial"/>
                <w:sz w:val="20"/>
                <w:szCs w:val="20"/>
                <w:color w:val="0000FF"/>
                <w:w w:val="90"/>
              </w:rPr>
              <w:t>Directors, Executive Officers and Corporate Governance</w:t>
            </w:r>
          </w:p>
        </w:tc>
        <w:tc>
          <w:tcPr>
            <w:tcW w:w="294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11.</w:t>
            </w:r>
          </w:p>
        </w:tc>
        <w:tc>
          <w:tcPr>
            <w:tcW w:w="7500" w:type="dxa"/>
            <w:vAlign w:val="bottom"/>
            <w:gridSpan w:val="24"/>
          </w:tcPr>
          <w:p>
            <w:pPr>
              <w:spacing w:after="0"/>
              <w:rPr>
                <w:sz w:val="20"/>
                <w:szCs w:val="20"/>
                <w:color w:val="auto"/>
              </w:rPr>
            </w:pPr>
            <w:r>
              <w:rPr>
                <w:rFonts w:ascii="Arial" w:cs="Arial" w:eastAsia="Arial" w:hAnsi="Arial"/>
                <w:sz w:val="20"/>
                <w:szCs w:val="20"/>
                <w:color w:val="0000FF"/>
              </w:rPr>
              <w:t>Executive Compensation</w:t>
            </w:r>
          </w:p>
        </w:tc>
        <w:tc>
          <w:tcPr>
            <w:tcW w:w="760" w:type="dxa"/>
            <w:vAlign w:val="bottom"/>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gridSpan w:val="8"/>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12.</w:t>
            </w:r>
          </w:p>
        </w:tc>
        <w:tc>
          <w:tcPr>
            <w:tcW w:w="7500" w:type="dxa"/>
            <w:vAlign w:val="bottom"/>
            <w:tcBorders>
              <w:bottom w:val="single" w:sz="8" w:color="0000FF"/>
            </w:tcBorders>
            <w:gridSpan w:val="24"/>
          </w:tcPr>
          <w:p>
            <w:pPr>
              <w:spacing w:after="0"/>
              <w:rPr>
                <w:sz w:val="20"/>
                <w:szCs w:val="20"/>
                <w:color w:val="auto"/>
              </w:rPr>
            </w:pPr>
            <w:r>
              <w:rPr>
                <w:rFonts w:ascii="Arial" w:cs="Arial" w:eastAsia="Arial" w:hAnsi="Arial"/>
                <w:sz w:val="20"/>
                <w:szCs w:val="20"/>
                <w:color w:val="0000FF"/>
                <w:w w:val="91"/>
              </w:rPr>
              <w:t>Security Ownership of Certain Beneficial Owners and Management and Related Stockholder</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20"/>
                <w:szCs w:val="20"/>
                <w:color w:val="0000FF"/>
                <w:w w:val="89"/>
              </w:rPr>
              <w:t>Matters</w:t>
            </w:r>
          </w:p>
        </w:tc>
        <w:tc>
          <w:tcPr>
            <w:tcW w:w="6880" w:type="dxa"/>
            <w:vAlign w:val="bottom"/>
            <w:gridSpan w:val="23"/>
            <w:vMerge w:val="restart"/>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0000FF"/>
            </w:tcBorders>
            <w:vMerge w:val="continue"/>
          </w:tcPr>
          <w:p>
            <w:pPr>
              <w:spacing w:after="0"/>
              <w:rPr>
                <w:sz w:val="11"/>
                <w:szCs w:val="11"/>
                <w:color w:val="auto"/>
              </w:rPr>
            </w:pPr>
          </w:p>
        </w:tc>
        <w:tc>
          <w:tcPr>
            <w:tcW w:w="6880" w:type="dxa"/>
            <w:vAlign w:val="bottom"/>
            <w:gridSpan w:val="23"/>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13.</w:t>
            </w:r>
          </w:p>
        </w:tc>
        <w:tc>
          <w:tcPr>
            <w:tcW w:w="7500" w:type="dxa"/>
            <w:vAlign w:val="bottom"/>
            <w:gridSpan w:val="24"/>
          </w:tcPr>
          <w:p>
            <w:pPr>
              <w:spacing w:after="0"/>
              <w:rPr>
                <w:sz w:val="20"/>
                <w:szCs w:val="20"/>
                <w:color w:val="auto"/>
              </w:rPr>
            </w:pPr>
            <w:r>
              <w:rPr>
                <w:rFonts w:ascii="Arial" w:cs="Arial" w:eastAsia="Arial" w:hAnsi="Arial"/>
                <w:sz w:val="20"/>
                <w:szCs w:val="20"/>
                <w:color w:val="0000FF"/>
              </w:rPr>
              <w:t>Certain Relationships and Related Transactions, and Director Independence</w:t>
            </w:r>
          </w:p>
        </w:tc>
        <w:tc>
          <w:tcPr>
            <w:tcW w:w="760" w:type="dxa"/>
            <w:vAlign w:val="bottom"/>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14.</w:t>
            </w:r>
          </w:p>
        </w:tc>
        <w:tc>
          <w:tcPr>
            <w:tcW w:w="6060" w:type="dxa"/>
            <w:vAlign w:val="bottom"/>
            <w:tcBorders>
              <w:top w:val="single" w:sz="8" w:color="0000FF"/>
            </w:tcBorders>
            <w:gridSpan w:val="20"/>
          </w:tcPr>
          <w:p>
            <w:pPr>
              <w:spacing w:after="0"/>
              <w:rPr>
                <w:sz w:val="20"/>
                <w:szCs w:val="20"/>
                <w:color w:val="auto"/>
              </w:rPr>
            </w:pPr>
            <w:r>
              <w:rPr>
                <w:rFonts w:ascii="Arial" w:cs="Arial" w:eastAsia="Arial" w:hAnsi="Arial"/>
                <w:sz w:val="20"/>
                <w:szCs w:val="20"/>
                <w:color w:val="0000FF"/>
              </w:rPr>
              <w:t>Principal Accounting Fees and Services</w:t>
            </w:r>
          </w:p>
        </w:tc>
        <w:tc>
          <w:tcPr>
            <w:tcW w:w="144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489"/>
        </w:trPr>
        <w:tc>
          <w:tcPr>
            <w:tcW w:w="82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rPr>
              <w:t>PART IV</w:t>
            </w:r>
          </w:p>
        </w:tc>
        <w:tc>
          <w:tcPr>
            <w:tcW w:w="300" w:type="dxa"/>
            <w:vAlign w:val="bottom"/>
            <w:gridSpan w:val="2"/>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15.</w:t>
            </w:r>
          </w:p>
        </w:tc>
        <w:tc>
          <w:tcPr>
            <w:tcW w:w="3520" w:type="dxa"/>
            <w:vAlign w:val="bottom"/>
            <w:tcBorders>
              <w:bottom w:val="single" w:sz="8" w:color="0000FF"/>
            </w:tcBorders>
            <w:gridSpan w:val="15"/>
          </w:tcPr>
          <w:p>
            <w:pPr>
              <w:spacing w:after="0"/>
              <w:rPr>
                <w:sz w:val="20"/>
                <w:szCs w:val="20"/>
                <w:color w:val="auto"/>
              </w:rPr>
            </w:pPr>
            <w:r>
              <w:rPr>
                <w:rFonts w:ascii="Arial" w:cs="Arial" w:eastAsia="Arial" w:hAnsi="Arial"/>
                <w:sz w:val="20"/>
                <w:szCs w:val="20"/>
                <w:color w:val="0000FF"/>
                <w:w w:val="89"/>
              </w:rPr>
              <w:t>Exhibits and Financial Statement Schedules</w:t>
            </w:r>
          </w:p>
        </w:tc>
        <w:tc>
          <w:tcPr>
            <w:tcW w:w="398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94"/>
        </w:trPr>
        <w:tc>
          <w:tcPr>
            <w:tcW w:w="1120" w:type="dxa"/>
            <w:vAlign w:val="bottom"/>
            <w:gridSpan w:val="5"/>
          </w:tcPr>
          <w:p>
            <w:pPr>
              <w:ind w:left="180"/>
              <w:spacing w:after="0"/>
              <w:rPr>
                <w:sz w:val="20"/>
                <w:szCs w:val="20"/>
                <w:color w:val="auto"/>
              </w:rPr>
            </w:pPr>
            <w:r>
              <w:rPr>
                <w:rFonts w:ascii="Arial" w:cs="Arial" w:eastAsia="Arial" w:hAnsi="Arial"/>
                <w:sz w:val="20"/>
                <w:szCs w:val="20"/>
                <w:color w:val="auto"/>
              </w:rPr>
              <w:t>Item 16.</w:t>
            </w:r>
          </w:p>
        </w:tc>
        <w:tc>
          <w:tcPr>
            <w:tcW w:w="7500" w:type="dxa"/>
            <w:vAlign w:val="bottom"/>
            <w:gridSpan w:val="24"/>
          </w:tcPr>
          <w:p>
            <w:pPr>
              <w:spacing w:after="0"/>
              <w:rPr>
                <w:sz w:val="20"/>
                <w:szCs w:val="20"/>
                <w:color w:val="auto"/>
              </w:rPr>
            </w:pPr>
            <w:r>
              <w:rPr>
                <w:rFonts w:ascii="Arial" w:cs="Arial" w:eastAsia="Arial" w:hAnsi="Arial"/>
                <w:sz w:val="20"/>
                <w:szCs w:val="20"/>
                <w:color w:val="0000FF"/>
              </w:rPr>
              <w:t>Form 10-K Summary</w:t>
            </w:r>
          </w:p>
        </w:tc>
        <w:tc>
          <w:tcPr>
            <w:tcW w:w="760" w:type="dxa"/>
            <w:vAlign w:val="bottom"/>
          </w:tcPr>
          <w:p>
            <w:pPr>
              <w:jc w:val="right"/>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5546090</wp:posOffset>
            </wp:positionH>
            <wp:positionV relativeFrom="paragraph">
              <wp:posOffset>-6115050</wp:posOffset>
            </wp:positionV>
            <wp:extent cx="4178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7830" cy="63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 / 59</w:t>
      </w:r>
    </w:p>
    <w:p>
      <w:pPr>
        <w:sectPr>
          <w:pgSz w:w="11900" w:h="16838" w:orient="portrait"/>
          <w:cols w:equalWidth="0" w:num="1">
            <w:col w:w="9380"/>
          </w:cols>
          <w:pgMar w:left="1260" w:top="1440" w:right="1266" w:bottom="0" w:gutter="0" w:footer="0" w:header="0"/>
          <w:type w:val="continuous"/>
        </w:sectPr>
      </w:pPr>
    </w:p>
    <w:bookmarkStart w:id="3" w:name="page4"/>
    <w:bookmarkEnd w:id="3"/>
    <w:p>
      <w:pPr>
        <w:jc w:val="center"/>
        <w:ind w:right="6"/>
        <w:spacing w:after="0"/>
        <w:rPr>
          <w:sz w:val="20"/>
          <w:szCs w:val="20"/>
          <w:color w:val="auto"/>
        </w:rPr>
      </w:pPr>
      <w:r>
        <w:rPr>
          <w:rFonts w:ascii="Arial" w:cs="Arial" w:eastAsia="Arial" w:hAnsi="Arial"/>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561975</wp:posOffset>
            </wp:positionV>
            <wp:extent cx="596773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59</w:t>
      </w:r>
    </w:p>
    <w:p>
      <w:pPr>
        <w:sectPr>
          <w:pgSz w:w="11900" w:h="16838" w:orient="portrait"/>
          <w:cols w:equalWidth="0" w:num="1">
            <w:col w:w="9026"/>
          </w:cols>
          <w:pgMar w:left="1440" w:top="1297" w:right="1440"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PART I</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FORWARD-LOOKING STATEMENTS</w:t>
      </w:r>
    </w:p>
    <w:p>
      <w:pPr>
        <w:spacing w:after="0" w:line="200" w:lineRule="exact"/>
        <w:rPr>
          <w:sz w:val="20"/>
          <w:szCs w:val="20"/>
          <w:color w:val="auto"/>
        </w:rPr>
      </w:pPr>
    </w:p>
    <w:p>
      <w:pPr>
        <w:jc w:val="both"/>
        <w:ind w:left="6" w:right="20"/>
        <w:spacing w:after="0" w:line="310" w:lineRule="auto"/>
        <w:rPr>
          <w:sz w:val="20"/>
          <w:szCs w:val="20"/>
          <w:color w:val="auto"/>
        </w:rPr>
      </w:pPr>
      <w:r>
        <w:rPr>
          <w:rFonts w:ascii="Arial" w:cs="Arial" w:eastAsia="Arial" w:hAnsi="Arial"/>
          <w:sz w:val="20"/>
          <w:szCs w:val="20"/>
          <w:color w:val="auto"/>
        </w:rPr>
        <w:t>Certain statements contained herein are “forward looking statements” within the meaning of Section 27A of the Securities Act of 1933 and Section 21E of the Securities Exchange Act of 1934. These forward-looking statements concern the financial condition, results of operations, plans, objectives, future performance and business of Pathfinder Bancorp, Inc. (the “Company”) and its subsidiaries, including, but not limited to, Pathfinder Bank (the "Bank").</w:t>
      </w:r>
    </w:p>
    <w:p>
      <w:pPr>
        <w:spacing w:after="0" w:line="175" w:lineRule="exact"/>
        <w:rPr>
          <w:sz w:val="20"/>
          <w:szCs w:val="20"/>
          <w:color w:val="auto"/>
        </w:rPr>
      </w:pPr>
    </w:p>
    <w:p>
      <w:pPr>
        <w:jc w:val="both"/>
        <w:ind w:left="6" w:right="20"/>
        <w:spacing w:after="0" w:line="311" w:lineRule="auto"/>
        <w:rPr>
          <w:sz w:val="20"/>
          <w:szCs w:val="20"/>
          <w:color w:val="auto"/>
        </w:rPr>
      </w:pPr>
      <w:r>
        <w:rPr>
          <w:rFonts w:ascii="Arial" w:cs="Arial" w:eastAsia="Arial" w:hAnsi="Arial"/>
          <w:sz w:val="20"/>
          <w:szCs w:val="20"/>
          <w:color w:val="auto"/>
        </w:rPr>
        <w:t>Forward-looking statements are generally identified by use of the words “believes,” “expect,” “intend,” “anticipate,” “estimate,” “project” or similar expressions, or future or conditional verbs, such as “will,” “would,” “should,” “could,” or “may.” These forward-looking statements are based on current beliefs and expectations of the Company’s and the Bank’s management and are inherently subject to significant business, economic, competitive and regulatory uncertainties and contingencies, many of which are beyond the Company’s and the Bank’s control. In addition, these forward-looking statements are subject to assumptions with respect to future business strategies and decisions that are subject to change.</w:t>
      </w:r>
    </w:p>
    <w:p>
      <w:pPr>
        <w:spacing w:after="0" w:line="174" w:lineRule="exact"/>
        <w:rPr>
          <w:sz w:val="20"/>
          <w:szCs w:val="20"/>
          <w:color w:val="auto"/>
        </w:rPr>
      </w:pPr>
    </w:p>
    <w:p>
      <w:pPr>
        <w:jc w:val="both"/>
        <w:ind w:left="6"/>
        <w:spacing w:after="0" w:line="347" w:lineRule="auto"/>
        <w:rPr>
          <w:sz w:val="20"/>
          <w:szCs w:val="20"/>
          <w:color w:val="auto"/>
        </w:rPr>
      </w:pPr>
      <w:r>
        <w:rPr>
          <w:rFonts w:ascii="Arial" w:cs="Arial" w:eastAsia="Arial" w:hAnsi="Arial"/>
          <w:sz w:val="18"/>
          <w:szCs w:val="18"/>
          <w:color w:val="auto"/>
        </w:rPr>
        <w:t>Actual results may differ materially from those expressed or implied by the forward-looking statements as a result of numerous factors. Although it is not possible to identify all factors that may cause actual results to differ materially from those described in forward-looking statements, factors that may cause actual results to differ materially include, but are not limited to: (i) risks related to the real estate and economic environment, particularly in the market areas in which the Company and the Bank operate; (ii) fiscal and monetary policies of the U.S. Government; (iii) inflation;</w:t>
      </w:r>
    </w:p>
    <w:p>
      <w:pPr>
        <w:spacing w:after="0" w:line="4" w:lineRule="exact"/>
        <w:rPr>
          <w:sz w:val="20"/>
          <w:szCs w:val="20"/>
          <w:color w:val="auto"/>
        </w:rPr>
      </w:pPr>
    </w:p>
    <w:p>
      <w:pPr>
        <w:jc w:val="both"/>
        <w:ind w:left="6" w:right="20" w:hanging="6"/>
        <w:spacing w:after="0" w:line="347" w:lineRule="auto"/>
        <w:tabs>
          <w:tab w:leader="none" w:pos="38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prevailing interest rates; (v) changes in government regulations affecting financial institutions, including regulatory compliance costs and capital requirements; (vi) the risk that actual credit losses, borrower performance, collateral values, or loan migration patterns differ from management’s forward-looking estimates or assumptions; (vii) fluctuations in the adequacy of the allowance for credit losses; (viii) decreases in deposit levels or changes in deposit mix that may necessitate increased borrowing to fund loans and investments; (ix) access to wholesale or other funding sources; (x) operational risks including, cybersecurity threats, fraud, model risk and natural disasters; (xi) credit risk management; (xii) political developments, wars or other hostilities that may disrupt financial markets or economic conditions; (xiii) volatility or adverse trends in the securities markets that could affect the value of the Company’s investment portfolio or broader financial conditions; (xiv) delays or incomplete resolution of regulatory matters or supervisory issues that could impact the Company’s planning or operations; (xv) the outcome of regulatory or legal investigations, proceedings or other matters that may arise from time to time; and</w:t>
      </w:r>
    </w:p>
    <w:p>
      <w:pPr>
        <w:ind w:left="446" w:hanging="446"/>
        <w:spacing w:after="0"/>
        <w:tabs>
          <w:tab w:leader="none" w:pos="446"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risk that the Company may not be successful in the implementation of its business strategy.</w:t>
      </w:r>
    </w:p>
    <w:p>
      <w:pPr>
        <w:spacing w:after="0" w:line="240" w:lineRule="exact"/>
        <w:rPr>
          <w:sz w:val="20"/>
          <w:szCs w:val="20"/>
          <w:color w:val="auto"/>
        </w:rPr>
      </w:pPr>
    </w:p>
    <w:p>
      <w:pPr>
        <w:jc w:val="both"/>
        <w:ind w:left="6" w:right="20"/>
        <w:spacing w:after="0" w:line="311" w:lineRule="auto"/>
        <w:rPr>
          <w:sz w:val="20"/>
          <w:szCs w:val="20"/>
          <w:color w:val="auto"/>
        </w:rPr>
      </w:pPr>
      <w:r>
        <w:rPr>
          <w:rFonts w:ascii="Arial" w:cs="Arial" w:eastAsia="Arial" w:hAnsi="Arial"/>
          <w:sz w:val="20"/>
          <w:szCs w:val="20"/>
          <w:color w:val="auto"/>
        </w:rPr>
        <w:t>Additional factors that could cause actual results to differ materially are described in the section of this report entitled “Management’s Discussion and Analysis of Financial Condition and Results of Operations” as well as other periodic filings with the Securities and Exchange Commission (“SEC”), which are available at the SEC’s website, www.sec.gov. While the Company believes it has identified and discussed the material risks affecting its business, there may be additional risks and uncertainties not currently known or considered immaterial that could affect the forward-looking statements made herein.</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5 / 59</w:t>
      </w:r>
    </w:p>
    <w:p>
      <w:pPr>
        <w:sectPr>
          <w:pgSz w:w="11900" w:h="16838" w:orient="portrait"/>
          <w:cols w:equalWidth="0" w:num="1">
            <w:col w:w="9366"/>
          </w:cols>
          <w:pgMar w:left="1254" w:top="1440" w:right="1286" w:bottom="0" w:gutter="0" w:footer="0" w:header="0"/>
          <w:type w:val="continuous"/>
        </w:sectPr>
      </w:pPr>
    </w:p>
    <w:bookmarkStart w:id="5" w:name="page6"/>
    <w:bookmarkEnd w:id="5"/>
    <w:p>
      <w:pPr>
        <w:jc w:val="both"/>
        <w:ind w:right="60"/>
        <w:spacing w:after="0" w:line="330" w:lineRule="auto"/>
        <w:rPr>
          <w:sz w:val="20"/>
          <w:szCs w:val="20"/>
          <w:color w:val="auto"/>
        </w:rPr>
      </w:pPr>
      <w:r>
        <w:rPr>
          <w:rFonts w:ascii="Arial" w:cs="Arial" w:eastAsia="Arial" w:hAnsi="Arial"/>
          <w:sz w:val="19"/>
          <w:szCs w:val="19"/>
          <w:color w:val="auto"/>
        </w:rPr>
        <w:t>Given these risks and uncertainties, investors should not place undue reliance on forward-looking statements as predictions of future results. Any forward-looking statement speaks only as of the date on which it is made, and the Company undertakes no obligation to update or revise any forward-looking statement, whether as a result of new information, future events, or otherwise, except as required by applicable law.</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Pathfinder Bancorp, Inc.</w:t>
      </w:r>
    </w:p>
    <w:p>
      <w:pPr>
        <w:spacing w:after="0" w:line="200"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Pathfinder Bancorp, Inc. (the "Company") is a Maryland corporation incorporated in 2014 and headquartered in Oswego, New York. The primary business of the Company is its investment in Pathfinder Bank (the "Bank") which is 100% owned by the Company. The Company is a registered bank holding company subject to supervision and regulation by the Board of Governors of the Federal Reserve System (the “Federal Reserve Board”). The Company is also subject to supervision and regulation by the New York State Department of Financial Services (the “NYSDFS”).</w:t>
      </w:r>
    </w:p>
    <w:p>
      <w:pPr>
        <w:spacing w:after="0" w:line="132"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Company owns a non-consolidated Delaware statutory trust subsidiary, Pathfinder Statutory Trust II, of which 100% of the common equity is owned by the Company. Pathfinder Statutory Trust II was formed in connection with the issuance of $5.2 million in trust preferred securities.</w:t>
      </w:r>
    </w:p>
    <w:p>
      <w:pPr>
        <w:spacing w:after="0" w:line="137"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At December 31, 2025 and 2024, 6,185,644 and 6,125,649 shares of Company common stock (voting and non-voting) were outstanding, respectively.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59</w:t>
      </w:r>
    </w:p>
    <w:p>
      <w:pPr>
        <w:sectPr>
          <w:pgSz w:w="11900" w:h="16838" w:orient="portrait"/>
          <w:cols w:equalWidth="0" w:num="1">
            <w:col w:w="9400"/>
          </w:cols>
          <w:pgMar w:left="1260" w:top="1173" w:right="1246"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Following shareholder approval obtained on June 4, 2021, the Company converted 1,380,283, or 100%, of its previously-outstanding shares of Series B Convertible Perpetual Preferred Stock to an equal number of Series A Non-Voting Common Stock. Neither the previously-issued Series B Convertible Perpetual Preferred Stock, nor the Series A Non-Voting Common Stock had, or will have, dividend or liquidation preference over the Company’s existing Voting Common Stock. Holders of the Series A Non-Voting Common Stock will be entitled to receive dividends, if and when declared by the Company’s Board of Directors, in the same per share amount as paid on the Company’s Voting Common Stock.</w:t>
      </w:r>
    </w:p>
    <w:p>
      <w:pPr>
        <w:spacing w:after="0" w:line="134"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color w:val="auto"/>
        </w:rPr>
        <w:t>At December 31, 2025, the Company had total consolidated assets of $1.43 billion, total deposits of $1.18 billion and shareholders' equity of $122.5 million.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Pathfinder Bank</w:t>
      </w:r>
    </w:p>
    <w:p>
      <w:pPr>
        <w:spacing w:after="0" w:line="200"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The Bank is a New York-chartered commercial bank and its deposit accounts are insured up to applicable limits by the Federal Deposit Insurance Corporation (“FDIC”) through the Deposit Insurance Fund (“DIF”). The Bank is subject to supervision and regulation by the NYSDFS, as its chartering agency, and by the FDIC, as its deposit insurer and primary federal regulator. The Bank is a member of the Federal Home Loan Bank of New York (“FHLB-NY”) and is also subject to certain regulations by the Federal Home Loan Bank System.</w:t>
      </w:r>
    </w:p>
    <w:p>
      <w:pPr>
        <w:spacing w:after="0" w:line="118" w:lineRule="exact"/>
        <w:rPr>
          <w:sz w:val="20"/>
          <w:szCs w:val="20"/>
          <w:color w:val="auto"/>
        </w:rPr>
      </w:pPr>
    </w:p>
    <w:p>
      <w:pPr>
        <w:jc w:val="both"/>
        <w:ind w:right="40"/>
        <w:spacing w:after="0" w:line="295" w:lineRule="exact"/>
        <w:rPr>
          <w:sz w:val="20"/>
          <w:szCs w:val="20"/>
          <w:color w:val="auto"/>
        </w:rPr>
      </w:pPr>
      <w:r>
        <w:rPr>
          <w:rFonts w:ascii="Arial" w:cs="Arial" w:eastAsia="Arial" w:hAnsi="Arial"/>
          <w:sz w:val="18"/>
          <w:szCs w:val="18"/>
          <w:color w:val="auto"/>
        </w:rPr>
        <w:t>The Bank is primarily engaged in the business of attracting deposits from the general public in the Bank's market area, and investing such deposits, together with other sources of funds, in loans secured by commercial and residential real estate, and commercial business and consumer assets other than real estate. In addition, the Bank originates unsecured small business and consumer loans. The Bank also invests a portion of its assets in a broad range of debt securities issued by the United States Government and its agencies and sponsored enterprises, state and municipal governments and agencies, and corporations. The Company also invests in mortgage</w:t>
      </w:r>
      <w:r>
        <w:rPr>
          <w:rFonts w:ascii="MS PMincho" w:cs="MS PMincho" w:eastAsia="MS PMincho" w:hAnsi="MS PMincho"/>
          <w:sz w:val="18"/>
          <w:szCs w:val="18"/>
          <w:color w:val="auto"/>
        </w:rPr>
        <w:t>‑</w:t>
      </w:r>
      <w:r>
        <w:rPr>
          <w:rFonts w:ascii="Arial" w:cs="Arial" w:eastAsia="Arial" w:hAnsi="Arial"/>
          <w:sz w:val="18"/>
          <w:szCs w:val="18"/>
          <w:color w:val="auto"/>
        </w:rPr>
        <w:t>backed securities issued or guaranteed by United States Government sponsored enterprises, collateralized mortgage obligations and similar debt securities issued by both government sponsored entities and private (non-governmental) issuers, and asset-backed securities that are generally issued by private entities. The Company invests primarily in debt securities but will, within certain regulatory limits, invest from time to time in mutual funds and equity securities. The Bank's principal sources of funds are deposits, principal and interest payments on loans and investments, as well as borrowings from the FHLB-NY and correspondent financial institutions. The principal source of the Company’s income is interest on loans and investment securities. The Bank's principal expenses are interest paid on deposits and borrowed funds, employee compensation and benefits, data processing and facilities.</w:t>
      </w:r>
    </w:p>
    <w:p>
      <w:pPr>
        <w:spacing w:after="0" w:line="203"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The Bank also owns 100% of Whispering Oaks Development Corp. (“Whispering Oaks”), a New York corporation that is retained to operate or develop real estate-related projects. Whispering Oaks, through a wholly-owned second-tier subsidiary, is the sole limited partner in an unconsolidated special-purpose real estate management partnership. The partnership currently operates a low-income residential housing facility. The activities of Whispering Oaks resulted in a pre-tax gain of $11,000 in 2025.</w:t>
      </w:r>
    </w:p>
    <w:p>
      <w:pPr>
        <w:spacing w:after="0" w:line="135" w:lineRule="exact"/>
        <w:rPr>
          <w:sz w:val="20"/>
          <w:szCs w:val="20"/>
          <w:color w:val="auto"/>
        </w:rPr>
      </w:pPr>
    </w:p>
    <w:p>
      <w:pPr>
        <w:jc w:val="both"/>
        <w:ind w:right="60"/>
        <w:spacing w:after="0" w:line="351" w:lineRule="auto"/>
        <w:rPr>
          <w:sz w:val="20"/>
          <w:szCs w:val="20"/>
          <w:color w:val="auto"/>
        </w:rPr>
      </w:pPr>
      <w:r>
        <w:rPr>
          <w:rFonts w:ascii="Arial" w:cs="Arial" w:eastAsia="Arial" w:hAnsi="Arial"/>
          <w:sz w:val="18"/>
          <w:szCs w:val="18"/>
          <w:color w:val="auto"/>
        </w:rPr>
        <w:t>Additionally, the Bank owns 100% of Pathfinder Risk Management Company, Inc., ("PRMC") which was established to record the 51% controlling interest upon the December 2013 purchase of FitzGibbons Agency, LLC (the “Agency”), an Oswego County property, casualty and life insurance brokerage business. The Company completed the sale of its majority membership interest in the FitzGibbons Agency to Marshall &amp; Sterling Enterprises, Inc. in October 2024. PRMC continues to exist as a separate legal entity, but is currently inactive.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59</w:t>
      </w:r>
    </w:p>
    <w:p>
      <w:pPr>
        <w:sectPr>
          <w:pgSz w:w="11900" w:h="16838" w:orient="portrait"/>
          <w:cols w:equalWidth="0" w:num="1">
            <w:col w:w="9400"/>
          </w:cols>
          <w:pgMar w:left="1260" w:top="1440" w:right="1246" w:bottom="0" w:gutter="0" w:footer="0" w:header="0"/>
          <w:type w:val="continuous"/>
        </w:sectPr>
      </w:pPr>
    </w:p>
    <w:bookmarkStart w:id="7" w:name="page8"/>
    <w:bookmarkEnd w:id="7"/>
    <w:p>
      <w:pPr>
        <w:jc w:val="both"/>
        <w:spacing w:after="0" w:line="330" w:lineRule="auto"/>
        <w:rPr>
          <w:sz w:val="20"/>
          <w:szCs w:val="20"/>
          <w:color w:val="auto"/>
        </w:rPr>
      </w:pPr>
      <w:r>
        <w:rPr>
          <w:rFonts w:ascii="Arial" w:cs="Arial" w:eastAsia="Arial" w:hAnsi="Arial"/>
          <w:sz w:val="19"/>
          <w:szCs w:val="19"/>
          <w:color w:val="auto"/>
        </w:rPr>
        <w:t>Although the Company previously owned, through its wholly owned subsidiary PRMC, 51% of the membership interest in the Agency until its October 2024 sale, the Company is required to consolidate 100% of the Agency within the consolidated financial statements. The 49% of the Agency which the Company did not own is accounted for separately as noncontrolling interests within the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AREA AND COMPETITION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Area</w:t>
      </w:r>
    </w:p>
    <w:p>
      <w:pPr>
        <w:spacing w:after="0" w:line="200"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We provide financial services to individuals, families, small to mid-size businesses and municipalities through our seven branch offices located in Oswego County, NY, five branch offices located in Onondaga County, NY and one limited purpose office located in Oneida County, NY. Our primary lending market area includes both Oswego and Onondaga Counties. However, our primary deposit generating area is concentrated in Oswego County and in the areas surrounding our Onondaga County branches.</w:t>
      </w:r>
    </w:p>
    <w:p>
      <w:pPr>
        <w:spacing w:after="0" w:line="135"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economies of Oswego County and Onondaga County are based primarily on manufacturing, energy production, health care, education, and government. These economies are widely expected to benefit from transformational public and private investments in semiconductor manufacturing, including but not limited to plans for one of the United States’ largest chip fabrication facilities near two existing Pathfinder Bank branches in Clay, NY and Cicero, NY. In addition to financial services, the broader Central New York market has a more diverse array of economic sectors, including food processing production and transportation. The region has more recently also developed particular strength in the commercialization of certain emerging technologies such as bio-processing, medical devices, aircraft systems and renewable energy.</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59</w:t>
      </w:r>
    </w:p>
    <w:p>
      <w:pPr>
        <w:sectPr>
          <w:pgSz w:w="11900" w:h="16838" w:orient="portrait"/>
          <w:cols w:equalWidth="0" w:num="1">
            <w:col w:w="9340"/>
          </w:cols>
          <w:pgMar w:left="1260" w:top="1173" w:right="1306"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Based on recent independent market survey reports, median home values were $266,321 in Onondaga County and $203,160 in Oswego County at the end of 2025. Home values have shown modestly accelerating increases in recent years within the Syracuse, NY metro area, including Onondaga and Oswego Counties.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00"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Pathfinder Bank encounters strong competition both in attracting deposits and in originating loans. Our most direct competition for deposits and loans comes from commercial banks, savings institutions and credit unions in our market area. In addition, potential new competitors may be emerging that are generically defined as financial technology (also referred to as “FinTech” or “fintech”) companies. These entities seek to employ new technology to compete with traditional methods of delivering financial services, seek to replace or supplement the financial services provided by established financial institutions, as well as offer fintech products and services that are implemented by many established financial institutions themselves. Some of these technologies either have been implemented to varying degrees by the Bank, or will be available to the Bank for future implementation through its network of service providers and computer system vendors. It cannot be predicted with certainty at this time how effective these new competitors will be in our marketplace or what costs the Company will incur in the future to implement and maintain competitive technologies.</w:t>
      </w:r>
    </w:p>
    <w:p>
      <w:pPr>
        <w:spacing w:after="0" w:line="125"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Our primary focus is to build and develop profitable consumer and commercial customer relationships while maintaining our role as a community bank. We compete for deposits by offering depositors a high level of personal service, a wide range of competitively-priced financial services, and a well distributed network of branches, ATMs, and electronic banking. We compete for loans through our competitive pricing, our experienced and active loan officers, local knowledge of our market and local decision making, strong community support and involvement, and a highly reputable brand. Overall economic activity in the local marketplace and more specifically, demand for commercial and residential loans grew significantly over the past decade. This growth in overall loan demand in our market area also attracted increased competition from financial institutions for those loans. Additionally, from a competitive perspective, some of our competitors offer products and services that we do not offer, such as trust services and private banking.</w:t>
      </w:r>
    </w:p>
    <w:p>
      <w:pPr>
        <w:spacing w:after="0" w:line="125"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As of June 30, 2025, based on the most recently-available FDIC data, we had the largest market share in Oswego County, representing 43.9% of all deposits, and we held 3.7% of all deposits in Onondaga County. In addition, when combining both Oswego and Onondaga Counties, we have the fourth largest market share of 14 institutions, representing 8.6% of the total market.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LENDING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Our primary lending activities are originating commercial real estate and commercial loans, the vast majority of which have periodically adjustable rates of interest, and one-to-four family residential real estate loans, the majority of which have fixed rates of interest. Our loan portfolio also includes municipal loans, home equity loans and lines and consumer loans. In order to diversify our loan portfolio, increase our revenues, and make our loan portfolio less interest rate sensitive, the Company has actively sought to increase its commercial real estate and commercial business lending activities, consistent with safe and sound underwriting practices. Accordingly, we offer adjustable-rate commercial mortgage loans and floating rate commercial loans and lines of credit.</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Real Estate Loans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59</w:t>
      </w:r>
    </w:p>
    <w:p>
      <w:pPr>
        <w:sectPr>
          <w:pgSz w:w="11900" w:h="16838" w:orient="portrait"/>
          <w:cols w:equalWidth="0" w:num="1">
            <w:col w:w="9400"/>
          </w:cols>
          <w:pgMar w:left="1260" w:top="1440" w:right="1246" w:bottom="0" w:gutter="0" w:footer="0" w:header="0"/>
          <w:type w:val="continuous"/>
        </w:sectPr>
      </w:pPr>
    </w:p>
    <w:bookmarkStart w:id="9" w:name="page10"/>
    <w:bookmarkEnd w:id="9"/>
    <w:p>
      <w:pPr>
        <w:jc w:val="both"/>
        <w:ind w:right="40"/>
        <w:spacing w:after="0" w:line="311" w:lineRule="auto"/>
        <w:rPr>
          <w:sz w:val="20"/>
          <w:szCs w:val="20"/>
          <w:color w:val="auto"/>
        </w:rPr>
      </w:pPr>
      <w:r>
        <w:rPr>
          <w:rFonts w:ascii="Arial" w:cs="Arial" w:eastAsia="Arial" w:hAnsi="Arial"/>
          <w:sz w:val="20"/>
          <w:szCs w:val="20"/>
          <w:color w:val="auto"/>
        </w:rPr>
        <w:t>Over the past several years, we have focused on originating commercial real estate loans, and we believe that commercial real estate loans will continue to provide growth opportunities for us. We expect to increase, subject to our underwriting standards and market conditions, this business line in the future with a target loan size of $500,000 to $2.0 million to small businesses and real estate projects in our market area. Commercial real estate loans are secured by properties such as multi-family residential, office, retail, warehouse and owner-occupied commercial properties.</w:t>
      </w:r>
    </w:p>
    <w:p>
      <w:pPr>
        <w:spacing w:after="0" w:line="132"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Our commercial real estate underwriting policies provide that such real estate loans are typically made in amounts up to 80% of the appraised value of the property. Commercial real estate loans are offered with interest rates that are generally fixed for up to three or five years then are adjustable based on the FHLB-NY advance rate. Contractual maturities generally do not exceed 20 years. In reaching a decision whether to make a commercial real estate loan, we consider market conditions, operating trends, net cash flows of the property, the borrower’s expertise and credit history, and the appraised value of the underlying property. We will also consider the terms and conditions of the leases and the stability of the tenant base. Environmental due diligence is generally conducted for commercial real estate loans. Typically, commercial real estate loans made to corporations, partnerships and other business entities require personal guarantees by the owners of 20% or more of the borrowing entity.</w:t>
      </w:r>
    </w:p>
    <w:p>
      <w:pPr>
        <w:spacing w:after="0" w:line="111"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auto"/>
        </w:rPr>
        <w:t>A commercial real estate borrower’s financial condition is monitored on an ongoing basis by requiring current financial statements, rent rolls, payment history reviews, property inspections and periodic face-to-face meetings with the borrower. We generally require borrowers with aggregate outstanding balances exceeding $250,000 to provide annual updated financial statements and/or federal tax returns. These requirements also apply to all guarantors on these loans.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 / 59</w:t>
      </w:r>
    </w:p>
    <w:p>
      <w:pPr>
        <w:sectPr>
          <w:pgSz w:w="11900" w:h="16838" w:orient="portrait"/>
          <w:cols w:equalWidth="0" w:num="1">
            <w:col w:w="9380"/>
          </w:cols>
          <w:pgMar w:left="1260" w:top="1173" w:right="1266"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Loans secured by commercial real estate generally have greater credit risk than one-to-four family residential real estate loans. The increased credit risk associated with commercial real estate loans is a result of several factors, including larger loan balances concentrated with a limited number of borrowers, and the impact of local and general economic conditions on the borrower’s ability to repay the loan. Furthermore, the repayment of loans secured by commercial real estate properties typically depends upon the successful operation of the real property securing the loan. If the cash flows from the property are reduced, the borrower’s ability to repay the loan may be impaired. However, commercial real estate loans generally have higher interest rates than loans secured by one-to-four family residential real estate.</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Loans</w:t>
      </w:r>
    </w:p>
    <w:p>
      <w:pPr>
        <w:spacing w:after="0" w:line="200"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Our commercial lines of credit are typically adjustable rate lines, indexed to the prime interest rate. We typically originate commercial loans, including commercial term loans and commercial lines of credit, on the basis of a borrower’s ability to make repayment from the cash flows of the borrower’s business, conversion of current assets in the normal course of business (for seasonal working capital lines), the industry and market in which they operate, experience and stability of the borrower’s management team, earnings projections and the underlying assumptions, and the value and marketability of any collateral securing the loan. As a result, the availability of funds for the repayment of commercial loans and commercial lines of credit is substantially dependent on the success of the business itself and the general economic environment in our market area. Therefore, commercial loans and commercial lines of credit that we originate have greater credit risk than one-to-four family residential real estate loans.</w:t>
      </w:r>
    </w:p>
    <w:p>
      <w:pPr>
        <w:spacing w:after="0" w:line="14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Commercial term loans are typically secured by equipment, furniture and fixtures, inventory, accounts receivable or other business assets, or, in some circumstances, such loans may be unsecured. From time to time, we also originate commercial loans that are guaranteed by the United States Small Business Administration (“SBA”) or United States Department of Agriculture (“USDA”) loan programs. Over the past several years, we have focused on increasing our commercial lending and our business strategy is to continue to increase our originations of commercial loans to small businesses in our market area, subject to our underwriting standards and market conditions. Our commercial loans are generally comprised of adjustable-rate loans, indexed to the prime rate, with terms consisting of three to seven years, depending on the needs of the borrower and the useful life of the underlying collateral. We make commercial loans to businesses operating in our market area for purchasing equipment, property improvements, business expansion or working capital. If a commercial loan is secured by equipment, the maturity of a term loan will depend on the useful life of the equipment purchased, the source of repayment for the loan and the purpose of the loan. We generally obtain personal guarantees on our commercial loans.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Real Estate Loans</w:t>
      </w:r>
    </w:p>
    <w:p>
      <w:pPr>
        <w:spacing w:after="0" w:line="200"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We currently offer one-to-four family residential real estate loans, made to borrowers in our general market area, with terms up to 30 years that are generally underwritten according to Federal National Mortgage Association (“Fannie Mae”) guidelines, and we refer to loans that conform to such guidelines as “conforming loans.” We generally originate both fixed-rate and adjustable-rate mortgage loans in amounts up to the maximum conforming loan limits as established by the Federal Housing Finance Agency, which as of December 31, 2025, was generally $806,500 for single-family homes in our market area.</w:t>
      </w:r>
    </w:p>
    <w:p>
      <w:pPr>
        <w:spacing w:after="0" w:line="123" w:lineRule="exact"/>
        <w:rPr>
          <w:sz w:val="20"/>
          <w:szCs w:val="20"/>
          <w:color w:val="auto"/>
        </w:rPr>
      </w:pPr>
    </w:p>
    <w:p>
      <w:pPr>
        <w:jc w:val="both"/>
        <w:ind w:right="40"/>
        <w:spacing w:after="0" w:line="355" w:lineRule="auto"/>
        <w:rPr>
          <w:sz w:val="20"/>
          <w:szCs w:val="20"/>
          <w:color w:val="auto"/>
        </w:rPr>
      </w:pPr>
      <w:r>
        <w:rPr>
          <w:rFonts w:ascii="Arial" w:cs="Arial" w:eastAsia="Arial" w:hAnsi="Arial"/>
          <w:sz w:val="18"/>
          <w:szCs w:val="18"/>
          <w:color w:val="auto"/>
        </w:rPr>
        <w:t>We hold our one-to-four family residential real estate loans in our portfolio but do sell mortgages into the secondary market, at management’s discretion, as a source of liquidity or as a means of managing liquidity and interest-rate risks. A significant portion of our retained loan portfolio consists of fixed-rate one-to-four family residential real</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59</w:t>
      </w:r>
    </w:p>
    <w:p>
      <w:pPr>
        <w:sectPr>
          <w:pgSz w:w="11900" w:h="16838" w:orient="portrait"/>
          <w:cols w:equalWidth="0" w:num="1">
            <w:col w:w="9380"/>
          </w:cols>
          <w:pgMar w:left="1260" w:top="1440" w:right="1266" w:bottom="0" w:gutter="0" w:footer="0" w:header="0"/>
          <w:type w:val="continuous"/>
        </w:sectPr>
      </w:pPr>
    </w:p>
    <w:bookmarkStart w:id="11" w:name="page12"/>
    <w:bookmarkEnd w:id="11"/>
    <w:p>
      <w:pPr>
        <w:jc w:val="both"/>
        <w:spacing w:after="0" w:line="307" w:lineRule="auto"/>
        <w:rPr>
          <w:sz w:val="20"/>
          <w:szCs w:val="20"/>
          <w:color w:val="auto"/>
        </w:rPr>
      </w:pPr>
      <w:r>
        <w:rPr>
          <w:rFonts w:ascii="Arial" w:cs="Arial" w:eastAsia="Arial" w:hAnsi="Arial"/>
          <w:sz w:val="20"/>
          <w:szCs w:val="20"/>
          <w:color w:val="auto"/>
        </w:rPr>
        <w:t>estate loans with terms in excess of 15 years. We also originate one-to-four family residential real estate loans secured by non-owner occupied properties. However, we generally do not make loans in excess of 80% loan-to-value on non-owner occupied properties.</w:t>
      </w:r>
    </w:p>
    <w:p>
      <w:pPr>
        <w:spacing w:after="0" w:line="137"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Our fixed-rate one-to-four family residential real estate loans include loans that generally amortize on a monthly basis over periods between 10 to 30 years. Fixed-rate one-to-four family residential real estate loans often remain outstanding for significantly shorter periods than their contractual terms because borrowers have the right to refinance or prepay their loans. Our adjustable-rate one-to-four family residential real estate loans generally consist of loans with initial interest rates fixed for one, three, or five years, and annual adjustments thereafter are indexed based on changes in the one-year United States Treasury bill constant maturity rate. Our adjustable-rate mortgage loans generally have an interest rate adjustment limit of 200 basis points per adjustment, with a maximum lifetime interest rate adjustment limit of 600 basis points. Although adjustable-rate one-to-four family residential real estate loans may reduce, to an extent, our vulnerability to changes in market interest rates because they periodically re-price, as interest rates increase the required payments due from a borrower also increase (subject to rate caps), thereby increasing the potential for default by the borrower. At the same time, the ability of the borrower to repay the loan and the marketability of the underlying collateral may be adversely affected by higher interest rates. Upward adjustments of the contractual interest rate are also limited by our maximum periodic and lifetime rate adjustments.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Construction Loans</w:t>
      </w:r>
    </w:p>
    <w:p>
      <w:pPr>
        <w:spacing w:after="0" w:line="20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Our one-to-four family residential real estate loan portfolio also includes residential constructions loans. Our residential construction loans generally have initial terms of up to six months, subject to extension, during which the borrower pays interest only. Upon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59</w:t>
      </w:r>
    </w:p>
    <w:p>
      <w:pPr>
        <w:sectPr>
          <w:pgSz w:w="11900" w:h="16838" w:orient="portrait"/>
          <w:cols w:equalWidth="0" w:num="1">
            <w:col w:w="9400"/>
          </w:cols>
          <w:pgMar w:left="1260" w:top="1173" w:right="1246" w:bottom="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completion of construction, these loans typically convert to permanent loans secured by the completed residential real estate. Our construction loans generally have rates and terms comparable to residential real estate loans that we originate.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Tax-exempt Loans</w:t>
      </w:r>
    </w:p>
    <w:p>
      <w:pPr>
        <w:spacing w:after="0" w:line="200"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We make loans to local governments and municipalities for either tax anticipation or for small expenditure projects, including equipment acquisitions and construction projects. Our municipal loans are generally fixed for a term of one year or less, and are generally unsecured. Interest earned on municipal loans is tax exempt for federal tax purposes, which enhances the overall yield on each loan. Generally, the municipality will have a deposit relationship with us along with the lending relationship.</w:t>
      </w:r>
    </w:p>
    <w:p>
      <w:pPr>
        <w:spacing w:after="0" w:line="135"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color w:val="auto"/>
        </w:rPr>
        <w:t>We also make tax-exempt loans to commercial borrowers based on obligations issued by a state or local authority to provide economic development such as the state dormitory authority.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Home Equity Loans and Junior Liens</w:t>
      </w:r>
    </w:p>
    <w:p>
      <w:pPr>
        <w:spacing w:after="0" w:line="200"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Home equity loans and junior liens are made up of lines of credit secured by owner-occupied and non-owner occupied one-to-four family residences and second and third real estate mortgage loans. Home equity loans and home equity lines of credit are generally underwritten using the same criteria that we use to underwrite one-to-four family residential mortgage loans. We typically originate home equity loans and home equity lines of credit on the basis of the applicant's credit history, an assessment of the applicant's ability to meet existing obligations and payments on the proposed loan, and the value of the collateral securing the loan. Home equity loans are offered with fixed interest rates. Lines of credit are offered with adjustable rates, which are indexed to the prime rate, and with a draw period of up to 10 years and a payback period of up to 20 years. The loan-to-value ratio for our home equity loans is generally limited to 80% when combined with the first security lien, if applicable. The loan to value of our home equity lines of credit is generally limited to 80%, unless the Bank holds the first mortgage. If we hold the first mortgage, we will permit a loan to value of up to 90%, and we adjust the interest rate and underwriting standards to compensate for the additional risk.</w:t>
      </w:r>
    </w:p>
    <w:p>
      <w:pPr>
        <w:spacing w:after="0" w:line="126"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Home equity loans and junior liens secured by junior mortgages have greater risk than one-to-four family residential mortgage loans secured by first mortgages. We face the risk that the collateral will be insufficient to compensate us for credit losses and costs of foreclosure, after repayment of the senior mortgages, if applicable. When customers default on their loans, we attempt to work out the relationship in order to avoid foreclosure because the value of the collateral may not be sufficient to compensate us for the amount of the unpaid loan and we may be unsuccessful in recovering the remaining balance from those customers. Moreover, decreases in real estate values could adversely affect our ability to fully recover the loan balance in the event of a default.</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Consumer Loans</w:t>
      </w:r>
    </w:p>
    <w:p>
      <w:pPr>
        <w:spacing w:after="0" w:line="200"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We make consumer loans for a variety of personal and consumer purposes. Our consumer portfolio consists primarily of automobile, recreational vehicles and unsecured personal loans, as well as unsecured lines of credit and loans secured by deposit accounts. Our procedure for underwriting consumer loans includes an assessment of the applicant’s credit history and ability to meet existing obligations and payments for the proposed loan, as well as an evaluation of the value of the collateral security, if any.</w:t>
      </w:r>
    </w:p>
    <w:p>
      <w:pPr>
        <w:spacing w:after="0" w:line="118" w:lineRule="exact"/>
        <w:rPr>
          <w:sz w:val="20"/>
          <w:szCs w:val="20"/>
          <w:color w:val="auto"/>
        </w:rPr>
      </w:pPr>
    </w:p>
    <w:p>
      <w:pPr>
        <w:jc w:val="both"/>
        <w:ind w:right="40"/>
        <w:spacing w:after="0" w:line="352" w:lineRule="auto"/>
        <w:rPr>
          <w:sz w:val="20"/>
          <w:szCs w:val="20"/>
          <w:color w:val="auto"/>
        </w:rPr>
      </w:pPr>
      <w:r>
        <w:rPr>
          <w:rFonts w:ascii="Arial" w:cs="Arial" w:eastAsia="Arial" w:hAnsi="Arial"/>
          <w:sz w:val="18"/>
          <w:szCs w:val="18"/>
          <w:color w:val="auto"/>
        </w:rPr>
        <w:t>Consumer loans generally entail greater credit-related risk than one-to-four family residential mortgage loans, particularly in the case of loans that are unsecured or are secured by assets that tend to depreciate in value, such as automobiles. As a result, consumer loan collections are primarily dependent on the borrower’s continuing financial stability and thus are more likely to be adversely affected by job loss, divorce, illness or personal bankruptcy. In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59</w:t>
      </w:r>
    </w:p>
    <w:p>
      <w:pPr>
        <w:sectPr>
          <w:pgSz w:w="11900" w:h="16838" w:orient="portrait"/>
          <w:cols w:equalWidth="0" w:num="1">
            <w:col w:w="9380"/>
          </w:cols>
          <w:pgMar w:left="1260" w:top="1440" w:right="1266" w:bottom="0" w:gutter="0" w:footer="0" w:header="0"/>
          <w:type w:val="continuous"/>
        </w:sectPr>
      </w:pPr>
    </w:p>
    <w:bookmarkStart w:id="13" w:name="page14"/>
    <w:bookmarkEnd w:id="13"/>
    <w:p>
      <w:pPr>
        <w:jc w:val="both"/>
        <w:ind w:right="40"/>
        <w:spacing w:after="0" w:line="307" w:lineRule="auto"/>
        <w:rPr>
          <w:sz w:val="20"/>
          <w:szCs w:val="20"/>
          <w:color w:val="auto"/>
        </w:rPr>
      </w:pPr>
      <w:r>
        <w:rPr>
          <w:rFonts w:ascii="Arial" w:cs="Arial" w:eastAsia="Arial" w:hAnsi="Arial"/>
          <w:sz w:val="20"/>
          <w:szCs w:val="20"/>
          <w:color w:val="auto"/>
        </w:rPr>
        <w:t>these cases, repossessed collateral for a defaulted consumer loan may not provide an adequate source of repayment for the outstanding loan, and the remaining value often does not warrant further substantial collection efforts against the borrower.</w:t>
      </w:r>
    </w:p>
    <w:p>
      <w:pPr>
        <w:spacing w:after="0" w:line="137"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The Company will invest from time to time in pools of collateralized consumer loans originated and serviced by financial institutions operating outside of the Company’s primary market area. Third party-originated consumer loan pools are generally acquired primarily when, in the view of management, they offer superior risk vs. return characteristics to debt securities. Such pools will, in some instances, have projected economic advantages in terms of yield and/or other portfolio characteristics, such as interest rate risk sensitivity, superior to debt securities that would otherwise be purchased and are acquired to increase the overall performance characteristics of the Company’s interest earning-asset portfolios viewed as a whole. Loans acquired through these transactions are required by the Company’s internal policies to be underwritten to standards that are consistent with those of the Company’s own underwriting guidelines and internal practices.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Originations, Purchases, Sales and Servicing</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We benefit from a number of sources for our loan originations, including real estate broker referrals, existing customers, borrowers, builders, attorneys, and “walk-in” customers. Our loan origination activity may be affected adversely by a rising interest rate environment which may result in decreased loan demand. Other factors, such as the overall health of the local economy and competition from other financial institutions, can also impact our loan originations. Although we originate both fixed-rate and adjustable-rate loans, our ability to generate each type of loan depends upon borrower demand, market interest rates, borrower preference for fixed-rate versus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59</w:t>
      </w:r>
    </w:p>
    <w:p>
      <w:pPr>
        <w:sectPr>
          <w:pgSz w:w="11900" w:h="16838" w:orient="portrait"/>
          <w:cols w:equalWidth="0" w:num="1">
            <w:col w:w="9380"/>
          </w:cols>
          <w:pgMar w:left="1260" w:top="1173" w:right="1266"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adjustable-rate loans, and the interest rates offered on each type of loan by other lenders in our market area. These lenders include commercial banks, savings institutions, credit unions, and mortgage banking companies that also actively compete for local real estate loans. Accordingly, the volume of loan originations may vary from period to period.</w:t>
      </w:r>
    </w:p>
    <w:p>
      <w:pPr>
        <w:spacing w:after="0" w:line="136"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The majority of the fixed rate residential loans that are originated each year meet the underwriting guidelines established by Fannie Mae. While infrequent, in the past, we have sold residential mortgage loans in the secondary market, and we may do so in the future, although we continue to service loans once they are sold.</w:t>
      </w:r>
    </w:p>
    <w:p>
      <w:pPr>
        <w:spacing w:after="0" w:line="119"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From time to time, although infrequent, we may purchase commercial real estate loan participations in which we are not the lead lender. In these circumstances, we follow our customary loan underwriting and approval policies. We also have participated out portions of commercial and commercial real estate loans that exceeded our loans-to-one borrower legal lending limit and for purposes of risk diversification.</w:t>
      </w:r>
    </w:p>
    <w:p>
      <w:pPr>
        <w:spacing w:after="0" w:line="136"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In recent years, the Bank has purchased broadly-diversified pools of essentially homogenous loans from originators outside of the Bank’s market area. These originators generally specialize in loan types, such as consumer loans, other than those loan types that the Bank specializes in. These loans, which are generally relatively short in duration, are acquired to provide supplementary interest income as well as to provide improvements to the Bank’s overall asset/ liability mix, particularly with respect to interest rate risk. Third party-originated loan pools are acquired primarily when, in the view of management, they offer superior risk vs. return characteristics to debt securities. Such loans are generally acquired through the facilitation of third-party brokerages and are serviced in perpetuity by the originating entries or their designees. Funding for loan purchases of this type is generally obtained through incremental usage of brokered deposits and/or other forms of borrowed funds. The Bank intends to purchase similar pools of loans on an occasional basis in the future if and when management believes that it is economically advantageous to do so. See Note 5 within the Notes to consolidated financial statements contained herein.</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Approval Procedures and Authority</w:t>
      </w:r>
    </w:p>
    <w:p>
      <w:pPr>
        <w:spacing w:after="0" w:line="200"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The Bank’s lending activities follow written, non-discriminatory underwriting standards and loan origination procedures established by management and the Board of Directors. Our policies are designed to provide loan officers with guidelines on acceptable levels of risk, given a broad range of factors. The loan approval process is intended to assess the borrower’s ability to repay the loan, the viability of the loan and the adequacy of the value of the collateral that will secure the loan, if applicable.</w:t>
      </w:r>
    </w:p>
    <w:p>
      <w:pPr>
        <w:spacing w:after="0" w:line="135"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auto"/>
        </w:rPr>
        <w:t>The Board of Directors grants loan officers individual lending authority to approve extensions of credit. The level of authority for loan officers varies based upon the loan type, total relationship, form of collateral and risk rating of the borrower. Each loan officer is charged with the responsibility of achieving high credit standards. Individual lending authority can be increased, suspended or removed by the Board of Directors, as recommended by the President or Senior Vice President and Chief Credit Officer.</w:t>
      </w:r>
    </w:p>
    <w:p>
      <w:pPr>
        <w:spacing w:after="0" w:line="135"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If a loan is in excess of any individual loan officer’s lending authority, the extension of credit must be referred to the Officer Loan Committee (“OLC”) or the Directors Loan Committee ("DLC"), depending on either the size of the loan or the loan relationship. The OLC is comprised of select senior officers, and the DLC includes certain members of the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Loans to One Borrower</w:t>
      </w:r>
    </w:p>
    <w:p>
      <w:pPr>
        <w:spacing w:after="0" w:line="200" w:lineRule="exact"/>
        <w:rPr>
          <w:sz w:val="20"/>
          <w:szCs w:val="20"/>
          <w:color w:val="auto"/>
        </w:rPr>
      </w:pPr>
    </w:p>
    <w:p>
      <w:pPr>
        <w:jc w:val="both"/>
        <w:ind w:right="60"/>
        <w:spacing w:after="0" w:line="355" w:lineRule="auto"/>
        <w:rPr>
          <w:sz w:val="20"/>
          <w:szCs w:val="20"/>
          <w:color w:val="auto"/>
        </w:rPr>
      </w:pPr>
      <w:r>
        <w:rPr>
          <w:rFonts w:ascii="Arial" w:cs="Arial" w:eastAsia="Arial" w:hAnsi="Arial"/>
          <w:sz w:val="18"/>
          <w:szCs w:val="18"/>
          <w:color w:val="auto"/>
        </w:rPr>
        <w:t>Under New York law, New York commercial banks are subject to loans-to-one borrower limits, which are substantially similar as those applicable to national banks, which generally restrict loans to one borrower to an amount equal to 15% of unimpaired capital and unimpaired surplus, which was $24.5 million at December 31, 2025,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59</w:t>
      </w:r>
    </w:p>
    <w:p>
      <w:pPr>
        <w:sectPr>
          <w:pgSz w:w="11900" w:h="16838" w:orient="portrait"/>
          <w:cols w:equalWidth="0" w:num="1">
            <w:col w:w="9400"/>
          </w:cols>
          <w:pgMar w:left="1260" w:top="1440" w:right="1246" w:bottom="0" w:gutter="0" w:footer="0" w:header="0"/>
          <w:type w:val="continuous"/>
        </w:sectPr>
      </w:pPr>
    </w:p>
    <w:bookmarkStart w:id="15" w:name="page16"/>
    <w:bookmarkEnd w:id="15"/>
    <w:p>
      <w:pPr>
        <w:jc w:val="both"/>
        <w:spacing w:after="0" w:line="307" w:lineRule="auto"/>
        <w:rPr>
          <w:sz w:val="20"/>
          <w:szCs w:val="20"/>
          <w:color w:val="auto"/>
        </w:rPr>
      </w:pPr>
      <w:r>
        <w:rPr>
          <w:rFonts w:ascii="Arial" w:cs="Arial" w:eastAsia="Arial" w:hAnsi="Arial"/>
          <w:sz w:val="20"/>
          <w:szCs w:val="20"/>
          <w:color w:val="auto"/>
        </w:rPr>
        <w:t>on an unsecured basis, and an additional amount equal to 10% of unimpaired capital and unimpaired surplus, which was $16.3 million at December 31, 2025, if the loan is secured by readily marketable collateral (generally, financial instruments and bullion, but not real estate), subject to exceptions.</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Additionally, our internal loan policies limit the total related credit to be extended to any one borrower (after application of the rules of attribution), with respect to any and all loans with the Bank to 10% of Tier 1 and 2 capital, subject to certain exceptions. The indebtedness includes all credit exposure whether direct or contingent, used or unused.</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QUALITY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Delinquencies and Collection Procedures</w:t>
      </w:r>
    </w:p>
    <w:p>
      <w:pPr>
        <w:spacing w:after="0" w:line="200"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When a loan becomes delinquent, we make attempts to contact the borrower to determine the cause of the delayed payments and seek a solution to permit the loan to be brought current within a reasonable period of time. The outcome can vary with each individual borrower. The Bank strictly adheres to the requirements of federal and New York State laws and regulations with respect to consumer loan collections. Commercial loans may experience longer workout times than consumer loans and may trigger a need for complex loan modifications.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 / 59</w:t>
      </w:r>
    </w:p>
    <w:p>
      <w:pPr>
        <w:sectPr>
          <w:pgSz w:w="11900" w:h="16838" w:orient="portrait"/>
          <w:cols w:equalWidth="0" w:num="1">
            <w:col w:w="9340"/>
          </w:cols>
          <w:pgMar w:left="1260" w:top="1173" w:right="1306" w:bottom="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Individually Evaluated Loans, Non-performing Loans and Loan Modifications</w:t>
      </w:r>
    </w:p>
    <w:p>
      <w:pPr>
        <w:spacing w:after="0" w:line="200"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color w:val="auto"/>
        </w:rPr>
        <w:t>The policy of the Bank is to provide a continuous assessment of the quality of its loan portfolio through the maintenance of an internal and external loan review process. The process incorporates a loan risk grading system designed to recognize degrees of risk on individual commercial and mortgage loans in the portfolio. Management is responsible for monitoring of asset quality and risk grade designations, which are communicated to the board on a regular basis.</w:t>
      </w:r>
    </w:p>
    <w:p>
      <w:pPr>
        <w:spacing w:after="0" w:line="135"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We generally cease accruing interest on our loans when contractual payments of principal or interest have become 90 days past due or management has serious doubts about further collectability of principal or interest, even though the loan is currently performing. A loan may remain on accrual status if it is in the process of collection and is either guaranteed or well secured. When a loan is placed on non-accrual status, unpaid interest credited to income is reversed. Interest received on non-accrual loans generally is applied against principal or interest if it is recognized on the cash basis method. Generally, loans are restored to accrual status when the obligation is brought current, has performed in accordance with the contractual terms for a reasonable period of time, generally for a minimum of six months, and the ultimate collectability of the total contractual principal and interest is no longer in doubt.</w:t>
      </w:r>
    </w:p>
    <w:p>
      <w:pPr>
        <w:spacing w:after="0" w:line="105"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The Company establishes specific allowances for loans with unique risk characteristics identified through both normal and targeted credit review processes. Accordingly, such loans are excluded from collective pools and individually evaluated for expected credit losses.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w:t>
      </w:r>
    </w:p>
    <w:p>
      <w:pPr>
        <w:spacing w:after="0" w:line="106"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132"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Because the effect of most loan modifications made with borrowers experiencing financial difficulty is already included in the allowance for credit losses, a change to the allowance for credit losses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 be granted. During the year ended December 31, 2025, the Company modified three loans with a total outstanding balance of $15.2 million that were considered to be a loan modified to borrowers experiencing financial difficulty.</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 / 59</w:t>
      </w:r>
    </w:p>
    <w:p>
      <w:pPr>
        <w:sectPr>
          <w:pgSz w:w="11900" w:h="16838" w:orient="portrait"/>
          <w:cols w:equalWidth="0" w:num="1">
            <w:col w:w="9380"/>
          </w:cols>
          <w:pgMar w:left="1260" w:top="1440" w:right="1266" w:bottom="0" w:gutter="0" w:footer="0" w:header="0"/>
          <w:type w:val="continuous"/>
        </w:sectPr>
      </w:pPr>
    </w:p>
    <w:bookmarkStart w:id="17" w:name="page18"/>
    <w:bookmarkEnd w:id="17"/>
    <w:p>
      <w:pPr>
        <w:jc w:val="both"/>
        <w:ind w:right="20"/>
        <w:spacing w:after="0" w:line="302" w:lineRule="auto"/>
        <w:rPr>
          <w:sz w:val="20"/>
          <w:szCs w:val="20"/>
          <w:color w:val="auto"/>
        </w:rPr>
      </w:pPr>
      <w:r>
        <w:rPr>
          <w:rFonts w:ascii="Arial" w:cs="Arial" w:eastAsia="Arial" w:hAnsi="Arial"/>
          <w:sz w:val="20"/>
          <w:szCs w:val="20"/>
          <w:color w:val="auto"/>
        </w:rPr>
        <w:t>Nonaccrual loans that are modified will remain on nonaccrual status, but may move to accrual status after they have performed according to the modified terms for a period of time of at least six months.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Foreclosed real estate</w:t>
      </w:r>
    </w:p>
    <w:p>
      <w:pPr>
        <w:spacing w:after="0" w:line="200"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Fair values for foreclosed real estate are initially recorded based on market value evaluations by third parties, less costs to sell (“initial cost basis”). Any write-downs required when the related loan receivable is exchanged for the underlying real estate collateral at the time of transfer to foreclosed real estate are recorded to the allowance for credit losses. Values are derived from appraisals of underlying collateral or discounted cash flow analysis. Subsequent to foreclosure, valuations are updated periodically and assets are marked to current fair value, not to exceed the initial cost basis. In the determination of fair value subsequent to foreclosure, management also considers other factors or recent developments, such as, changes in absorption rates and market conditions from the time of valuation, and anticipated sales values considering management’s plans for disposition. Either change could result in adjustment to lower the property value estimates indicated in the appraisals.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Loan delinquencies together with properties within our Foreclosed Real Estate portfolio are reviewed monthly by the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Classified Assets</w:t>
      </w:r>
    </w:p>
    <w:p>
      <w:pPr>
        <w:spacing w:after="0" w:line="200"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Federal regulations provide for the classification of loans and other assets, such as debt and equity securities considered by the FDIC to be of lesser quality, as “substandard,” “doubtful” or “loss.” An asset is considered “substandard” if it is inadequately protected by the current net worth and paying capacity of the obligor or of the collateral pledged, if any. “Substandard” assets include those characterized by the “distinct possibility” that the insured institution will sustain “some loss” if the deficiencies are not corrected. Assets classified as “doubtful” have all of the weaknesses inherent in those classified “substandard,” with the added characteristic that the weaknesses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 / 59</w:t>
      </w:r>
    </w:p>
    <w:p>
      <w:pPr>
        <w:sectPr>
          <w:pgSz w:w="11900" w:h="16838" w:orient="portrait"/>
          <w:cols w:equalWidth="0" w:num="1">
            <w:col w:w="9360"/>
          </w:cols>
          <w:pgMar w:left="1260" w:top="1173" w:right="1286" w:bottom="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 w:right="20"/>
        <w:spacing w:after="0" w:line="351" w:lineRule="auto"/>
        <w:rPr>
          <w:sz w:val="20"/>
          <w:szCs w:val="20"/>
          <w:color w:val="auto"/>
        </w:rPr>
      </w:pPr>
      <w:r>
        <w:rPr>
          <w:rFonts w:ascii="Arial" w:cs="Arial" w:eastAsia="Arial" w:hAnsi="Arial"/>
          <w:sz w:val="18"/>
          <w:szCs w:val="18"/>
          <w:color w:val="auto"/>
        </w:rPr>
        <w:t>present make “collection or liquidation in full,” on the basis of currently existing facts, conditions, and values, “highly questionable and improbable.” Assets classified as “loss” are those considered “uncollectible” and of such little value that their continuance as assets without the establishment of a specific allowance for credit losses is not warranted. Assets that do not currently expose the insured institution to sufficient risk to warrant classification in one of the aforementioned categories but possess weaknesses are designated as “special mention” by our management.</w:t>
      </w:r>
    </w:p>
    <w:p>
      <w:pPr>
        <w:spacing w:after="0" w:line="9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Allowance for Credit Losses</w:t>
      </w:r>
    </w:p>
    <w:p>
      <w:pPr>
        <w:spacing w:after="0" w:line="200" w:lineRule="exact"/>
        <w:rPr>
          <w:sz w:val="20"/>
          <w:szCs w:val="20"/>
          <w:color w:val="auto"/>
        </w:rPr>
      </w:pPr>
    </w:p>
    <w:p>
      <w:pPr>
        <w:jc w:val="both"/>
        <w:ind w:left="6"/>
        <w:spacing w:after="0" w:line="329" w:lineRule="auto"/>
        <w:rPr>
          <w:sz w:val="20"/>
          <w:szCs w:val="20"/>
          <w:color w:val="auto"/>
        </w:rPr>
      </w:pPr>
      <w:r>
        <w:rPr>
          <w:rFonts w:ascii="Arial" w:cs="Arial" w:eastAsia="Arial" w:hAnsi="Arial"/>
          <w:sz w:val="19"/>
          <w:szCs w:val="19"/>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Therefore, the allowance for credit losses ("ACL") represents management’s estimate of losses inherent in credit-exposed asset portfolios, including the loan portfolio, unfunded loan commitments and the portion of the investment securities portfolio classified as held-to-maturity ("HTM"). The ACL is established as of the date of the statement of condition and it is recorded as a reduction of either loans or HTM securities or as an other liability, in the case of unfunded loan commitments, in accordance with generally accepted accounting principles ("GAAP").</w:t>
      </w:r>
    </w:p>
    <w:p>
      <w:pPr>
        <w:spacing w:after="0" w:line="124" w:lineRule="exact"/>
        <w:rPr>
          <w:sz w:val="20"/>
          <w:szCs w:val="20"/>
          <w:color w:val="auto"/>
        </w:rPr>
      </w:pPr>
    </w:p>
    <w:p>
      <w:pPr>
        <w:jc w:val="both"/>
        <w:ind w:left="6" w:right="20"/>
        <w:spacing w:after="0" w:line="329" w:lineRule="auto"/>
        <w:rPr>
          <w:sz w:val="20"/>
          <w:szCs w:val="20"/>
          <w:color w:val="auto"/>
        </w:rPr>
      </w:pPr>
      <w:r>
        <w:rPr>
          <w:rFonts w:ascii="Arial" w:cs="Arial" w:eastAsia="Arial" w:hAnsi="Arial"/>
          <w:sz w:val="19"/>
          <w:szCs w:val="19"/>
          <w:color w:val="auto"/>
        </w:rPr>
        <w:t>The ACL is maintained at a level considered adequate to provide for losses that can be reasonably anticipated. Management performs a quarterly evaluation of the adequacy of the allowance. The allowance is increased by the provision for credit losses, and decreased by charge-offs, net of recoveries. Loans deemed to be uncollectible are recorded against the allowance for credit losses, and subsequent recoveries, if any, are credited to the allowance. All or part of the principal balance of loans receivable are charged off to the allowance as soon as it is determined that the repayment of all or part of the principal balance is highly unlikely. Non-residential consumer loans are generally charged off no later than 120 days past due on a contractual basis, unless productive collection efforts are providing results. Consumer loans may be charged off earlier in the event of bankruptcy, or if there is an amount that is deemed uncollectible. No portion of the ACL is restricted to any individual loan type and the entire allowance is available to absorb any and all credit losses.</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ACL is based on three major components which are: (i) specific components for individually evaluated loans,</w:t>
      </w:r>
    </w:p>
    <w:p>
      <w:pPr>
        <w:spacing w:after="0" w:line="93" w:lineRule="exact"/>
        <w:rPr>
          <w:sz w:val="20"/>
          <w:szCs w:val="20"/>
          <w:color w:val="auto"/>
        </w:rPr>
      </w:pPr>
    </w:p>
    <w:p>
      <w:pPr>
        <w:jc w:val="both"/>
        <w:ind w:left="6" w:right="80" w:hanging="6"/>
        <w:spacing w:after="0" w:line="307" w:lineRule="auto"/>
        <w:tabs>
          <w:tab w:leader="none" w:pos="318" w:val="left"/>
        </w:tabs>
        <w:numPr>
          <w:ilvl w:val="0"/>
          <w:numId w:val="5"/>
        </w:numPr>
        <w:rPr>
          <w:rFonts w:ascii="Arial" w:cs="Arial" w:eastAsia="Arial" w:hAnsi="Arial"/>
          <w:sz w:val="20"/>
          <w:szCs w:val="20"/>
          <w:color w:val="auto"/>
        </w:rPr>
      </w:pPr>
      <w:r>
        <w:rPr>
          <w:rFonts w:ascii="Arial" w:cs="Arial" w:eastAsia="Arial" w:hAnsi="Arial"/>
          <w:sz w:val="20"/>
          <w:szCs w:val="20"/>
          <w:color w:val="auto"/>
        </w:rPr>
        <w:t>quantitative factors, applied to pooled loans derived from historical bank-specific and industry loss charge-off patterns that have been correlated to prior period econometric factors, and (iii) a broad range of qualitative factors intended to provide further forward-looking perspectives on overall credit quality.</w:t>
      </w:r>
    </w:p>
    <w:p>
      <w:pPr>
        <w:spacing w:after="0" w:line="137" w:lineRule="exact"/>
        <w:rPr>
          <w:sz w:val="20"/>
          <w:szCs w:val="20"/>
          <w:color w:val="auto"/>
        </w:rPr>
      </w:pPr>
    </w:p>
    <w:p>
      <w:pPr>
        <w:jc w:val="both"/>
        <w:ind w:left="6" w:right="20"/>
        <w:spacing w:after="0" w:line="349" w:lineRule="auto"/>
        <w:rPr>
          <w:sz w:val="20"/>
          <w:szCs w:val="20"/>
          <w:color w:val="auto"/>
        </w:rPr>
      </w:pPr>
      <w:r>
        <w:rPr>
          <w:rFonts w:ascii="Arial" w:cs="Arial" w:eastAsia="Arial" w:hAnsi="Arial"/>
          <w:sz w:val="18"/>
          <w:szCs w:val="18"/>
          <w:color w:val="auto"/>
        </w:rPr>
        <w:t>The first component is the specific allowance that relates to loans that are individually evaluated or where analysis for impairment is appropriate. For these loans, an allowance is established when the loans are determined to have unique risk characteristics when their risk profile, repayment characteristics, or loss exposure are sufficiently distinct such that inclusion in a pooled evaluation would not appropriately reflect its expected credit loss. Factors considered by management in determining individually evaluated loans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19 / 59</w:t>
      </w:r>
    </w:p>
    <w:p>
      <w:pPr>
        <w:sectPr>
          <w:pgSz w:w="11900" w:h="16838" w:orient="portrait"/>
          <w:cols w:equalWidth="0" w:num="1">
            <w:col w:w="9406"/>
          </w:cols>
          <w:pgMar w:left="1254" w:top="1440" w:right="1246" w:bottom="0" w:gutter="0" w:footer="0" w:header="0"/>
          <w:type w:val="continuous"/>
        </w:sectPr>
      </w:pPr>
    </w:p>
    <w:bookmarkStart w:id="19" w:name="page20"/>
    <w:bookmarkEnd w:id="19"/>
    <w:p>
      <w:pPr>
        <w:jc w:val="both"/>
        <w:spacing w:after="0" w:line="329" w:lineRule="auto"/>
        <w:rPr>
          <w:sz w:val="20"/>
          <w:szCs w:val="20"/>
          <w:color w:val="auto"/>
        </w:rPr>
      </w:pPr>
      <w:r>
        <w:rPr>
          <w:rFonts w:ascii="Arial" w:cs="Arial" w:eastAsia="Arial" w:hAnsi="Arial"/>
          <w:sz w:val="19"/>
          <w:szCs w:val="19"/>
          <w:color w:val="auto"/>
        </w:rPr>
        <w:t>When a loan is determined to be individually evaluated, we will reevaluate the collateral which secures the loan. For real estate loans, we will obtain a new appraisal or broker’s opinion, whichever is considered to provide the most accurate value in the event of sale. An evaluation of equipment held as collateral will be obtained from an independent firm able to provide such an evaluation. Collateral will be inspected not less than annually for all individually evaluated loans and will be reevaluated not less than every two years. Appraised values are discounted to arrive at the estimated selling price of the collateral, which is considered to be the estimated fair value. The discounts also include estimated costs to sell the property. For commercial and industrial loans secured by non-real estate collateral, such as accounts receivable, inventory and equipment, estimated fair values are determined based on the borrower’s financial statements, inventory reports, accounts receivable agings or equipment appraisals or invoices. Indications of value from these sources are generally discounted based on the age of the financial information or the quality of the assets.</w:t>
      </w:r>
    </w:p>
    <w:p>
      <w:pPr>
        <w:spacing w:after="0" w:line="125"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Large groups of homogeneous loans, including purchased loans, are evaluated for borrowers experiencing financial difficulties in the aggregate. Accordingly, we do not separately identify individual residential mortgage loans with outstanding principal balances less than $300,000, home equity and other consumer loans for impairment disclosures. We make exceptions to this general rule when such loans are (1) rated substandard or worse, on nonaccrual status and are related to borrowers with total related credit exposure in excess of our threshold balance of $300,000; or (2) the loans are modified due to borrowers experiencing financial difficulties. 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 / 59</w:t>
      </w:r>
    </w:p>
    <w:p>
      <w:pPr>
        <w:sectPr>
          <w:pgSz w:w="11900" w:h="16838" w:orient="portrait"/>
          <w:cols w:equalWidth="0" w:num="1">
            <w:col w:w="9340"/>
          </w:cols>
          <w:pgMar w:left="1260" w:top="1173" w:right="1306" w:bottom="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331" w:lineRule="auto"/>
        <w:rPr>
          <w:sz w:val="20"/>
          <w:szCs w:val="20"/>
          <w:color w:val="auto"/>
        </w:rPr>
      </w:pPr>
      <w:r>
        <w:rPr>
          <w:rFonts w:ascii="Arial" w:cs="Arial" w:eastAsia="Arial" w:hAnsi="Arial"/>
          <w:sz w:val="19"/>
          <w:szCs w:val="19"/>
          <w:color w:val="auto"/>
        </w:rPr>
        <w:t>the time of purchase and is modified, to the extent necessary, during the life of the purchased loan pools. The Bank does not initially increase the allowance for credit losses on the purchase date of the loan pools.</w:t>
      </w:r>
    </w:p>
    <w:p>
      <w:pPr>
        <w:spacing w:after="0" w:line="117"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second component of the ACL estimation is based on quantitative factors, which cover discrete pools of loans, by loan class, not considered individually evaluated, smaller balance homogenous loans, such as residential real estate, home equity and other consumer loans. These pools of loans are evaluated for loss exposure based on historical loss rates for each of these categories of loans. Under the CECL methodology, quantitative analysis is used to predict future life-of loan charge-offs based on historical charge-off patterns correlated to a range of specific econometric factors, such as the national unemployment rate. The Company utilizes the Discounted Cash Flow (“DCF”) method for its pooled segment calculation. The DCF method implements a probability of default with loss given default and loss exposure at default estimation. The probability of default and loss given default are applied to future cash flows that are adjusted to present value and these discounted expected losses become the quantitatively-derived portion of the ACL.</w:t>
      </w:r>
    </w:p>
    <w:p>
      <w:pPr>
        <w:spacing w:after="0" w:line="125"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Within the third component of the ACL, 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The Company assesses quarterly the magnitude of QF adjustments necessary to be applied to the quantitatively-derived ACL in order to incorporate forward-looking projections in its final evaluation of current expected credit losses.</w:t>
      </w:r>
    </w:p>
    <w:p>
      <w:pPr>
        <w:spacing w:after="0" w:line="124"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auto"/>
        </w:rPr>
        <w:t>In addition, the FDIC and NYSDFS, as an integral part of their examination process, periodically review our allowance for credit losses and may require us to recognize additions to the allowance based on their judgments about information available to them at the time of their examination, which may not be currently available to management. Based on management’s comprehensive analysis of the loan portfolio, we believe the current level of the allowance for credit losses is adequate.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ACTIVITIES</w:t>
      </w:r>
    </w:p>
    <w:p>
      <w:pPr>
        <w:spacing w:after="0" w:line="200"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Our investment policy is established by the Board of Directors. Our investment policy dictates that investment decisions will be made based on the safety of the investment, liquidity requirements, potential returns, cash flow targets, and consistency with our interest rate risk management objectives. The Asset Liability Management Committee (the “ALCO”) of the Board of Directors acts in the capacity of an investment committee and is responsible for overseeing our investment program and evaluating on an ongoing basis our investment policy and objectives. Our President and Chief Executive Office and Chief Financial Officer have the authority to purchase and sell securities within specific guidelines established by the investment policy. All transactions are reviewed by the Board of Directors at its regular meetings.</w:t>
      </w:r>
    </w:p>
    <w:p>
      <w:pPr>
        <w:spacing w:after="0" w:line="136"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The general objectives of the investment securities portfolio are to assist in the overall interest rate risk management of the Bank, while generating a reasonable rate of return consistent with the risk of purchased principal, provide a source of liquidity, and reduce our overall credit risk profile. We also purchase securities to provide necessary liquidity for day-to-day operations and when investable funds exceed loan demand, as well as to provide highly liquid assets under collateralization arrangements related to municipal deposits. The effect that the proposed security purchase would have on our overall credit and interest rate risk profile and our risk-based equity ratios is also considered in evaluating the timing, mix and characteristics of investment security purchases.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59</w:t>
      </w:r>
    </w:p>
    <w:p>
      <w:pPr>
        <w:sectPr>
          <w:pgSz w:w="11900" w:h="16838" w:orient="portrait"/>
          <w:cols w:equalWidth="0" w:num="1">
            <w:col w:w="9400"/>
          </w:cols>
          <w:pgMar w:left="1260" w:top="1440" w:right="1246" w:bottom="0" w:gutter="0" w:footer="0" w:header="0"/>
          <w:type w:val="continuous"/>
        </w:sectPr>
      </w:pPr>
    </w:p>
    <w:bookmarkStart w:id="21" w:name="page22"/>
    <w:bookmarkEnd w:id="21"/>
    <w:p>
      <w:pPr>
        <w:jc w:val="both"/>
        <w:ind w:right="40"/>
        <w:spacing w:after="0" w:line="290" w:lineRule="exact"/>
        <w:rPr>
          <w:sz w:val="20"/>
          <w:szCs w:val="20"/>
          <w:color w:val="auto"/>
        </w:rPr>
      </w:pPr>
      <w:r>
        <w:rPr>
          <w:rFonts w:ascii="Arial" w:cs="Arial" w:eastAsia="Arial" w:hAnsi="Arial"/>
          <w:sz w:val="19"/>
          <w:szCs w:val="19"/>
          <w:color w:val="auto"/>
        </w:rPr>
        <w:t>All investment securities purchased/held must meet regulatory guidelines and be permissible bank investments. Our investment securities include a broad range of debt securities issued by the United States Government and its agencies and sponsored enterprises, state and municipal governments and agencies, and corporations. The Company also invests in mortgage</w:t>
      </w:r>
      <w:r>
        <w:rPr>
          <w:rFonts w:ascii="MS PMincho" w:cs="MS PMincho" w:eastAsia="MS PMincho" w:hAnsi="MS PMincho"/>
          <w:sz w:val="19"/>
          <w:szCs w:val="19"/>
          <w:color w:val="auto"/>
        </w:rPr>
        <w:t>‑</w:t>
      </w:r>
      <w:r>
        <w:rPr>
          <w:rFonts w:ascii="Arial" w:cs="Arial" w:eastAsia="Arial" w:hAnsi="Arial"/>
          <w:sz w:val="19"/>
          <w:szCs w:val="19"/>
          <w:color w:val="auto"/>
        </w:rPr>
        <w:t>backed securities issued or guaranteed by United States Government sponsored enterprises, collateralized mortgage obligations and similar debt securities issued by both government sponsored entities and private (non-governmental) issuers, and asset-backed securities that are generally issued by private entities. The Company invests primarily in debt securities but will from time to time also invest, within certain regulatory limits, in mutual funds and equity securities.</w:t>
      </w:r>
    </w:p>
    <w:p>
      <w:pPr>
        <w:spacing w:after="0" w:line="204"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All securities purchased are classified at the time of purchase as either HTM or available-for-sale ("AFS"). We do not maintain a trading account. Securities purchased with the intent and ability to hold until maturity will be classified as HTM. Securities placed in the HTM category will be accounted for at amortized cost.</w:t>
      </w:r>
    </w:p>
    <w:p>
      <w:pPr>
        <w:spacing w:after="0" w:line="119"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Securities that do not qualify or are not categorized as HTM are classified as AFS. This classification includes securities that may be sold in response to changes in interest rates, the security's prepayment risk, liquidity needs, the availability of and the yield on alternative investments, and funding sources and terms. These securities are reported at fair value, which is determined on a monthly basis. Unrealized gains and losses are reported as a separate component of capital, net of tax. The aggregate change in value of the portfolio is reported to the Board of Directors monthly.</w:t>
      </w:r>
    </w:p>
    <w:p>
      <w:pPr>
        <w:spacing w:after="0" w:line="132"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The composition of the investment portfolio is substantially the same for securities classified as both HTM and AFS, although the portion of the securities portfolio classified as AFS generally has a higher concentration of shorter-term, and/or more liquid assets. Such securities are held as part of the Bank’s liquidity management programs. The Bank holds a significant portion of its investment securities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 / 59</w:t>
      </w:r>
    </w:p>
    <w:p>
      <w:pPr>
        <w:sectPr>
          <w:pgSz w:w="11900" w:h="16838" w:orient="portrait"/>
          <w:cols w:equalWidth="0" w:num="1">
            <w:col w:w="9380"/>
          </w:cols>
          <w:pgMar w:left="1260" w:top="1173" w:right="1266" w:bottom="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80"/>
        <w:spacing w:after="0" w:line="329" w:lineRule="auto"/>
        <w:rPr>
          <w:sz w:val="20"/>
          <w:szCs w:val="20"/>
          <w:color w:val="auto"/>
        </w:rPr>
      </w:pPr>
      <w:r>
        <w:rPr>
          <w:rFonts w:ascii="Arial" w:cs="Arial" w:eastAsia="Arial" w:hAnsi="Arial"/>
          <w:sz w:val="19"/>
          <w:szCs w:val="19"/>
          <w:color w:val="auto"/>
        </w:rPr>
        <w:t>in mortgage-backed securities and collateralized mortgage obligations (many, but not all of which are issued by government-sponsored enterprises) and direct federal government and federal agency obligations. Federal agency issuers include the Federal Farm Credit Bank, Federal Home Loan Bank, Federal National Mortgage Association (“Fannie Mae”), Federal Home Loan Mortgage Corporation (“Freddie Mac”) and the Government National Mortgage Association (“Ginnie Mae”), among others. For a discussion on mortgage-backed securities, see “Mortgage-Backed Securities and Collateralized Mortgage Obligations.”</w:t>
      </w:r>
    </w:p>
    <w:p>
      <w:pPr>
        <w:spacing w:after="0" w:line="123"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As part of our membership in the FHLB-NY, we are required to maintain a dividend-earning investment in FHLB-NY stock. This investment is classified separately from securities due to significant restrictions on sale or transfer of the stock. For further information regarding our securities portfolio, see Note 4 to the consolidated financial statements.</w:t>
      </w:r>
    </w:p>
    <w:p>
      <w:pPr>
        <w:spacing w:after="0" w:line="136"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More specifically, we purchase mortgage-backed and asset-backed securities, as well as collateralized mortgage obligations guaranteed by Fannie Mae, Freddie Mac and Ginnie Mae as well as a number of private issuers. Mortgage-backed and asset-backed securities and collateralized mortgage obligations are created by pooling loan assets (mortgages or other loan types) and issuing a security with an interest rate which is less than the interest rate on the underlying loans. These securities typically represent a participation interest in a pool of mortgages or other loans The issuers of such securities pool and resell the participation interests in the form of securities to investors such as the Bank, and in the case of government agency sponsored issues, guarantee the payment of principal and interest to investors.</w:t>
      </w:r>
    </w:p>
    <w:p>
      <w:pPr>
        <w:spacing w:after="0" w:line="136"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The securities issued by private entities are generally senior tranches, and most often the most senior tranche of multi-class issuances that provide substantial credit enhancements to their senior tranches and therefore reasonable, but not absolute, protection for the Bank from the risks of default. We invest in mortgage-backed and asset-backed securities and collateralized mortgage obligations to achieve positive interest rate spreads with minimal administrative expense, and to lower our credit risk through geographic diversification. These securities are generally relatively short in duration and therefore reduce the Bank’s sensitivity to changes in interest rates. All privately issued mortgage-backed securities held by the Bank at December 31, 2025 were either rated at or above the lowest investment grade for credit quality by a nationally-recognized statistical rating organization (a “NRSRO”) or were the most senior tranches of securitizations that were not rated by a NRSRO at the time of the securities’ issuance. We regularly monitor the credit quality of this portfolio. At December 31, 2025, no securities held by the Bank in this category had been downgraded by a NRSRO.</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HEDGING ACTIVITIES</w:t>
      </w:r>
    </w:p>
    <w:p>
      <w:pPr>
        <w:spacing w:after="0" w:line="200"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generally entered into with counterparties that meet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December 31, 2025. Interest rate hedging agreements are recorded at fair value as other assets or liabilities. The Company had no material derivative contracts not designated as hedging agreements at December 31, 2025 or December 31, 2024. See Note 21 within the Notes to consolidated financial statements contained herein.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59</w:t>
      </w:r>
    </w:p>
    <w:p>
      <w:pPr>
        <w:sectPr>
          <w:pgSz w:w="11900" w:h="16838" w:orient="portrait"/>
          <w:cols w:equalWidth="0" w:num="1">
            <w:col w:w="9400"/>
          </w:cols>
          <w:pgMar w:left="1260" w:top="1440" w:right="1246" w:bottom="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i w:val="1"/>
          <w:iCs w:val="1"/>
          <w:color w:val="auto"/>
        </w:rPr>
        <w:t>SOURCES OF FUNDS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Deposits have traditionally been our primary source of funds for use in lending and investment activities. We also rely on advances from the FHLB-NY, the Certificates of Deposit Account Registry Service (“CDARS”) provided by an independent third-party, IntraFi Network, and other deposits acquired through unaffiliated third-party financial institutions as forms of brokered deposits. In addition to deposits and borrowings, we derive funds from scheduled loan payments, investment maturities, loan prepayments, retained earnings and income on interest-earning assets. While scheduled loan payments and income on interest-earning assets are relatively stable sources of funds, deposit inflows and outflows can vary widely and are influenced by prevailing market interest rates, economic conditions and competition from other financial institutions.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Deposits</w:t>
      </w:r>
    </w:p>
    <w:p>
      <w:pPr>
        <w:spacing w:after="0" w:line="20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A majority of our depositors are persons or businesses who work, reside or operate in Oswego and Onondaga Counties. We offer a variety of deposits, including checking, savings, money market deposit accounts, and certificates of deposit. Deposit account terms vary, with the principal differences being the minimum balance required, the amount of time the funds must remain on deposit and the interest rate. We establish interest rates, maturity terms, service fees and withdrawal penalties on a periodic basis. Management determines the rates and terms based on rates paid by competitors, our need for funds or liquidity, overall growth goals and federal and state regulations. The flow of deposits is influenced significantly by general economic conditions, changes in interest rates and competition. The variety</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 / 59</w:t>
      </w:r>
    </w:p>
    <w:p>
      <w:pPr>
        <w:sectPr>
          <w:pgSz w:w="11900" w:h="16838" w:orient="portrait"/>
          <w:cols w:equalWidth="0" w:num="1">
            <w:col w:w="9380"/>
          </w:cols>
          <w:pgMar w:left="1260" w:top="1163" w:right="1266" w:bottom="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of deposit accounts that we offer allows us to be competitive in generating deposits and to respond with flexibility to changes in our customers’ demands. We believe that deposits are a stable source of funds, but our ability to attract and maintain deposits at favorable rates will be affected by market conditions, including competition and prevailing interest rates.</w:t>
      </w:r>
    </w:p>
    <w:p>
      <w:pPr>
        <w:spacing w:after="0" w:line="136"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The Bank participates in a number of programs collectively designed to allow it to supplement deposit funding from its core customers with brokered deposits garnered from outside the Bank's primary locations. These programs, which include certain facilities for which we have participated in since 2009, are employed by the Bank’s management to supplement the funding that the Bank obtains from customer deposits and other borrowings, principally from the FHLB-NY, and are used to increase the overall efficiency of the Bank’s funding mix. We also participate in reciprocal deposit services for our customers through the Certificate of Deposit Account Registry Services (“CDARS”) and Insured Cash Sweep (“ICS”) networks. Management intends to continue to use brokered deposits in the future as an integral part of its overall funding strategies. See Note 11 to the consolidated financial statements for further details on our brokered deposits.</w:t>
      </w:r>
    </w:p>
    <w:p>
      <w:pPr>
        <w:spacing w:after="0" w:line="124" w:lineRule="exact"/>
        <w:rPr>
          <w:sz w:val="20"/>
          <w:szCs w:val="20"/>
          <w:color w:val="auto"/>
        </w:rPr>
      </w:pPr>
    </w:p>
    <w:p>
      <w:pPr>
        <w:jc w:val="both"/>
        <w:ind w:right="80"/>
        <w:spacing w:after="0" w:line="355" w:lineRule="auto"/>
        <w:rPr>
          <w:sz w:val="20"/>
          <w:szCs w:val="20"/>
          <w:color w:val="auto"/>
        </w:rPr>
      </w:pPr>
      <w:r>
        <w:rPr>
          <w:rFonts w:ascii="Arial" w:cs="Arial" w:eastAsia="Arial" w:hAnsi="Arial"/>
          <w:sz w:val="18"/>
          <w:szCs w:val="18"/>
          <w:color w:val="auto"/>
        </w:rPr>
        <w:t>As noted above, we participate in reciprocal deposit programs, which enable depositors to receive FDIC insurance coverage for deposits otherwise exceeding the maximum insurable amount. Through these programs, deposits in excess of the maximum insurable amount are placed with multiple participating financial institutions.</w:t>
      </w:r>
    </w:p>
    <w:p>
      <w:pPr>
        <w:spacing w:after="0" w:line="102" w:lineRule="exact"/>
        <w:rPr>
          <w:sz w:val="20"/>
          <w:szCs w:val="20"/>
          <w:color w:val="auto"/>
        </w:rPr>
      </w:pPr>
    </w:p>
    <w:p>
      <w:pPr>
        <w:jc w:val="both"/>
        <w:ind w:right="60"/>
        <w:spacing w:after="0" w:line="352" w:lineRule="auto"/>
        <w:rPr>
          <w:sz w:val="20"/>
          <w:szCs w:val="20"/>
          <w:color w:val="auto"/>
        </w:rPr>
      </w:pPr>
      <w:r>
        <w:rPr>
          <w:rFonts w:ascii="Arial" w:cs="Arial" w:eastAsia="Arial" w:hAnsi="Arial"/>
          <w:sz w:val="18"/>
          <w:szCs w:val="18"/>
          <w:color w:val="auto"/>
        </w:rPr>
        <w:t>As an additional source of funding, we offer a variety of public (municipal) deposit products to the towns, villages, counties and school districts within our market. There is a high degree of seasonality in this component of funding, because the level of deposits varies with the seasonal cash flows for these public customers. We maintain the necessary levels of short-term liquid assets to accommodate the seasonality associated with public deposits.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Borrowings</w:t>
      </w:r>
    </w:p>
    <w:p>
      <w:pPr>
        <w:spacing w:after="0" w:line="200"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The Bank has a number of existing credit facilities available to it. At December 31, 2025, the Bank had existing lines of credit at FHLB-NY, the Federal Reserve Bank (“FRB”), and two other correspondent banks. We obtain advances primarily from the FHLB-NY utilizing the common stock we own in the FHLB-NY, qualifying residential and commercial mortgage loans held in portfolio, and certain investment securities as collateral provided certain standards related to creditworthiness are met. These advances are made pursuant to several credit programs, each of which has its own interest rate and range of maturities. FHLB-NY advances are generally available to meet seasonal and other withdrawals of deposit accounts and to permit increased lending.</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Trust Preferred Securities and Subordinated Debt</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Company has a non-consolidated subsidiary trust, Pathfinder Statutory Trust II, of which the Company owns 100% of the common equity. The Trust issued $5,000,000 of 30-year floating rate Company-obligated pooled capital securities of Pathfinder Statutory Trust II (“Floating-Rate Debentures”). The Company borrowed the proceeds of the capital securities from its subsidiary by issuing floating rate junior subordinated deferrable interest debentures having substantially similar terms. The capital securities mature in 2037 and are treated as Tier 1 capital by the FDIC and the Federal Reserve. The capital securities of the trust are a pooled trust preferred fund of Preferred Term Securities VI, Ltd., with interest rates that reset quarterly, and are indexed to the three-month the Secured Overnight Financing Rate ("SOFR") which is a broad measure of the cost of borrowing cash overnight collateralized by Treasury securities, plus 1.91%. These securities have a five-year call provision. The Company paid $321,000 and $373,000 in interest expense related to this issuance in 2025 and 2024, respectively. The Company guarantees all of these securities.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59</w:t>
      </w:r>
    </w:p>
    <w:p>
      <w:pPr>
        <w:sectPr>
          <w:pgSz w:w="11900" w:h="16838" w:orient="portrait"/>
          <w:cols w:equalWidth="0" w:num="1">
            <w:col w:w="9400"/>
          </w:cols>
          <w:pgMar w:left="1260" w:top="1440" w:right="1246" w:bottom="0" w:gutter="0" w:footer="0" w:header="0"/>
          <w:type w:val="continuous"/>
        </w:sectPr>
      </w:pPr>
    </w:p>
    <w:bookmarkStart w:id="25" w:name="page26"/>
    <w:bookmarkEnd w:id="25"/>
    <w:p>
      <w:pPr>
        <w:jc w:val="both"/>
        <w:spacing w:after="0" w:line="351" w:lineRule="auto"/>
        <w:rPr>
          <w:sz w:val="20"/>
          <w:szCs w:val="20"/>
          <w:color w:val="auto"/>
        </w:rPr>
      </w:pPr>
      <w:r>
        <w:rPr>
          <w:rFonts w:ascii="Arial" w:cs="Arial" w:eastAsia="Arial" w:hAnsi="Arial"/>
          <w:sz w:val="18"/>
          <w:szCs w:val="18"/>
          <w:color w:val="auto"/>
        </w:rPr>
        <w:t>The Company's equity interest in the trust subsidiary is included in other assets on the Consolidated Statements of Financial Condition at December 31, 2025 and 2024.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regulatory capital, the securities become callable and the Company may redeem them.</w:t>
      </w:r>
    </w:p>
    <w:p>
      <w:pPr>
        <w:spacing w:after="0" w:line="106"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On October 14, 2020, the Company executed a private placement of $25.0 million of its 5.50% Fixed to Floating Rate non-amortizing Subordinated Debt (the “2020 Subordinated Debt”) to certain qualified institutional investors. The 2020 Subordinated Debt has a maturity date of October 15, 2030, and initially was interest-bearing, payable semi-annually, at a fixed annual rate of 5.50% per annum until October 15, 2025. The 2020 Subordinated Debt is senior in the Company’s credit repayment hierarchy only to the Company’s common equity and any future senior indebtedness and is intended to qualify as Tier 2 capital for regulatory capital purposes for the Company.</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Commencing on October 16, 2025, the interest rate applicable to the outstanding principal amount due reset quarterly to an interest rate per annum equal to the then current three-month SOFR plus 5.32%, payable quarterly through maturity (9.22% as of December 31, 2025). The Company has the option to redeem the 2020 Subordinated Debt at par, in whole or in part, at any time after October 15, 2025 (the first redemption date). As of December 31, 2025, the Company allowed the debt to remain outstanding. The Company paid $783,000 in origination and legal fees as part of this transaction. These fees were fully amortized over the life of the 2020 Subordinated Debt through its first redemption date using the effective interest method, giving rise to an effective cost of funds of 6.22% from the issuance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 / 59</w:t>
      </w:r>
    </w:p>
    <w:p>
      <w:pPr>
        <w:sectPr>
          <w:pgSz w:w="11900" w:h="16838" w:orient="portrait"/>
          <w:cols w:equalWidth="0" w:num="1">
            <w:col w:w="9340"/>
          </w:cols>
          <w:pgMar w:left="1260" w:top="1173" w:right="1306" w:bottom="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date calculated under this method. Accordingly, interest expense related to this indebtedness of $1.7 million and $1.6 million was recorded in the years ended December 31, 2025 and 2024,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SUPERVISION AND REGULATION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Pathfinder Bank is a New York-chartered commercial bank and the Company is a Maryland corporation and a registered bank holding company. The Bank’s deposits are insured up to applicable limits by the FDIC. The Bank is subject to extensive regulation by NYSDFS, as its chartering agency, and by the FDIC, its primary federal regulator and deposit insurer. The Bank is required to file reports with, and is periodically examined by, the FDIC and the NYSDFS concerning its activities and financial condition and must obtain regulatory approvals prior to entering into certain transactions, including, but not limited to, mergers with or acquisitions of other financial institutions. As a registered bank holding company, the Company is regulated by the Federal Reserve Board.</w:t>
      </w:r>
    </w:p>
    <w:p>
      <w:pPr>
        <w:spacing w:after="0" w:line="107"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The regulatory and supervisory structure establishes a comprehensive framework of activities in which an institution can engage and is intended primarily for the protection of depositors and the deposit insurance funds, rather than for the protection of shareholders and creditors. The regulatory structure also gives the regulatory authorities extensive discretion in connection with their supervisory and enforcement activities and examination policies, including policies concerning the establishment of deposit insurance assessment fees, classification of assets and establishment of adequate credit loss reserves for regulatory purposes. Any change in such regulatory requirements and policies, whether by the New York State legislature, the NYSDFS, the FDIC, the Federal Reserve Board or the United States Congress, could have a material adverse impact on the financial condition and results of operations of the Company and the Bank.</w:t>
      </w:r>
    </w:p>
    <w:p>
      <w:pPr>
        <w:spacing w:after="0" w:line="124"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Set forth below is a summary of certain material statutory and regulatory requirements applicable to the Company and the Bank. The summary is not intended to be a complete description of such statutes and regulations and their effects on the Company and the Bank.</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York Bank Regulation</w:t>
      </w:r>
    </w:p>
    <w:p>
      <w:pPr>
        <w:spacing w:after="0" w:line="200"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Pathfinder Bank derives its lending, investment, branching and other authority primarily from the applicable provisions of New York State Banking Law and the regulations of the NYSDFS, as limited by federal laws and regulations. Under these laws and regulations, commercial banks, including Pathfinder Bank, may invest in real estate mortgages, consumer and commercial loans, certain types of debt securities, including certain corporate debt securities and obligations of federal, state and local governments and agencies, certain types of corporate equity securities and certain other assets. Under the statutory authority for investing in equity securities, a bank may invest up to 2% of its assets or 20% of its capital, whichever is less in exchange-registered corporate stock. Investment in the stock of a single corporation is limited to the lesser of 1% of the bank’s assets or 15% of the Bank’s capital. The Bank’s authority to invest in equity securities is constrained by federal law, as explained later. Such equity securities must meet certain earnings ratios and other tests of financial performance. A bank may also exercise trust powers upon approval of the NYSDFS. Pathfinder Bank does not presently have trust powers.</w:t>
      </w:r>
    </w:p>
    <w:p>
      <w:pPr>
        <w:spacing w:after="0" w:line="109"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New York State chartered banks may also invest in subsidiaries. A bank may use this power to invest in corporations that engage in various activities authorized for banks, plus any additional activities that may be authorized by the NYSDFS.</w:t>
      </w:r>
    </w:p>
    <w:p>
      <w:pPr>
        <w:spacing w:after="0" w:line="137" w:lineRule="exact"/>
        <w:rPr>
          <w:sz w:val="20"/>
          <w:szCs w:val="20"/>
          <w:color w:val="auto"/>
        </w:rPr>
      </w:pPr>
    </w:p>
    <w:p>
      <w:pPr>
        <w:jc w:val="both"/>
        <w:ind w:right="40"/>
        <w:spacing w:after="0" w:line="355" w:lineRule="auto"/>
        <w:rPr>
          <w:sz w:val="20"/>
          <w:szCs w:val="20"/>
          <w:color w:val="auto"/>
        </w:rPr>
      </w:pPr>
      <w:r>
        <w:rPr>
          <w:rFonts w:ascii="Arial" w:cs="Arial" w:eastAsia="Arial" w:hAnsi="Arial"/>
          <w:sz w:val="18"/>
          <w:szCs w:val="18"/>
          <w:color w:val="auto"/>
        </w:rPr>
        <w:t>Furthermore, New York banking regulations impose requirements on loans which a bank may make to its executive officers and directors and to certain corporations or partnerships in which such persons have equity interests. These requirements include that (i) certain loans must be approved in advance by a majority of the entire Board of</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 / 59</w:t>
      </w:r>
    </w:p>
    <w:p>
      <w:pPr>
        <w:sectPr>
          <w:pgSz w:w="11900" w:h="16838" w:orient="portrait"/>
          <w:cols w:equalWidth="0" w:num="1">
            <w:col w:w="9380"/>
          </w:cols>
          <w:pgMar w:left="1260" w:top="1440" w:right="1266" w:bottom="0" w:gutter="0" w:footer="0" w:header="0"/>
          <w:type w:val="continuous"/>
        </w:sectPr>
      </w:pPr>
    </w:p>
    <w:bookmarkStart w:id="27" w:name="page28"/>
    <w:bookmarkEnd w:id="27"/>
    <w:p>
      <w:pPr>
        <w:jc w:val="both"/>
        <w:ind w:right="20"/>
        <w:spacing w:after="0" w:line="330" w:lineRule="auto"/>
        <w:rPr>
          <w:sz w:val="20"/>
          <w:szCs w:val="20"/>
          <w:color w:val="auto"/>
        </w:rPr>
      </w:pPr>
      <w:r>
        <w:rPr>
          <w:rFonts w:ascii="Arial" w:cs="Arial" w:eastAsia="Arial" w:hAnsi="Arial"/>
          <w:sz w:val="19"/>
          <w:szCs w:val="19"/>
          <w:color w:val="auto"/>
        </w:rPr>
        <w:t>Directors and the interested party must abstain from participating directly or indirectly in voting on such loan, (ii) the loan must be on terms that are not more favorable than those offered to unaffiliated third parties, and (iii) the loan must not involve more than a normal risk of repayment or present other unfavorable features.</w:t>
      </w:r>
    </w:p>
    <w:p>
      <w:pPr>
        <w:spacing w:after="0" w:line="119"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Under the New York State Banking Law, the Superintendent may issue an order to a New York State chartered banking institution to appear and explain an apparent violation of law, to discontinue unauthorized or unsafe practices and to keep prescribed books and accounts. Upon a finding by the NYSDFS that any director, trustee or officer of any banking organization has violated any law, or has continued unauthorized or unsafe practices in conducting the business of the banking organization after having been notified by the Superintendent to discontinue such practices, such director, trustee or officer may be removed from office after notice and an opportunity to be heard. The Bank does not know of any past or current practice, condition or violation that may lead to any proceeding by the Superintendent or the NYSDFS against the Bank or any of its directors or officers.</w:t>
      </w:r>
    </w:p>
    <w:p>
      <w:pPr>
        <w:spacing w:after="0" w:line="105"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The NYSDFS requires New York State-chartered or licensed banks regulated by the NYSDFS, such as the Bank, to adopt broad cybersecurity protections. In particular, the Bank has established a program designed to ensure the safety of its information systems, adopted a written cybersecurity policy, and designated an information security officer. The Bank is subject to ongoing compliance and reporting requirements of the NYSDFS. In November 2023, the NYSDFS amended its cybersecurity regulations to include heightened governance requirements and an expansion of the breadth and depth of required policies and procedures, among other things.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59</w:t>
      </w:r>
    </w:p>
    <w:p>
      <w:pPr>
        <w:sectPr>
          <w:pgSz w:w="11900" w:h="16838" w:orient="portrait"/>
          <w:cols w:equalWidth="0" w:num="1">
            <w:col w:w="9400"/>
          </w:cols>
          <w:pgMar w:left="1260" w:top="1173" w:right="1246" w:bottom="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York State Community Reinvestment Regulation</w:t>
      </w:r>
    </w:p>
    <w:p>
      <w:pPr>
        <w:spacing w:after="0" w:line="200"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Pathfinder Bank is also subject to provisions of the New York State Banking Law which imposes continuing and affirmative obligations upon banking institutions organized in New York State to serve the credit needs of its local community (“NYCRA”) which are substantially similar to those imposed by the Federal Community Reinvestment Act (“CRA”). Pursuant to the NYCRA, a bank must file copies of all federal CRA reports with the NYSDFS. The NYCRA requires the NYSDFS to make a written assessment of a bank’s compliance with the NYCRA every 24 to 36 months, utilizing a four-tiered rating system and make such assessment available to the public. The NYCRA also requires the Superintendent to consider a bank’s NYCRA rating when reviewing a bank’s application to engage in certain transactions, including mergers, asset purchases and the establishment of branch offices or automated teller machines, and provides that such assessment may serve as a basis for the denial of any such application. Pathfinder Bank’s NYCRA most recent rating, dated September 30, 2021, was “satisfactory.”</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Regulations</w:t>
      </w:r>
    </w:p>
    <w:p>
      <w:pPr>
        <w:spacing w:after="0" w:line="190" w:lineRule="exact"/>
        <w:rPr>
          <w:sz w:val="20"/>
          <w:szCs w:val="20"/>
          <w:color w:val="auto"/>
        </w:rPr>
      </w:pPr>
    </w:p>
    <w:p>
      <w:pPr>
        <w:spacing w:after="0"/>
        <w:tabs>
          <w:tab w:leader="none" w:pos="4380" w:val="left"/>
        </w:tabs>
        <w:rPr>
          <w:sz w:val="20"/>
          <w:szCs w:val="20"/>
          <w:color w:val="auto"/>
        </w:rPr>
      </w:pPr>
      <w:r>
        <w:rPr>
          <w:rFonts w:ascii="Arial" w:cs="Arial" w:eastAsia="Arial" w:hAnsi="Arial"/>
          <w:sz w:val="20"/>
          <w:szCs w:val="20"/>
          <w:b w:val="1"/>
          <w:bCs w:val="1"/>
          <w:i w:val="1"/>
          <w:iCs w:val="1"/>
          <w:color w:val="auto"/>
        </w:rPr>
        <w:t>Capital</w:t>
      </w:r>
      <w:r>
        <w:rPr>
          <w:sz w:val="20"/>
          <w:szCs w:val="20"/>
          <w:color w:val="auto"/>
        </w:rPr>
        <w:tab/>
      </w:r>
      <w:r>
        <w:rPr>
          <w:rFonts w:ascii="Arial" w:cs="Arial" w:eastAsia="Arial" w:hAnsi="Arial"/>
          <w:sz w:val="20"/>
          <w:szCs w:val="20"/>
          <w:b w:val="1"/>
          <w:bCs w:val="1"/>
          <w:i w:val="1"/>
          <w:iCs w:val="1"/>
          <w:color w:val="auto"/>
        </w:rPr>
        <w:t>Requirements.</w:t>
      </w:r>
    </w:p>
    <w:p>
      <w:pPr>
        <w:spacing w:after="0" w:line="80"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Federal regulations require federally insured depository institutions to meet several minimum capital standards: Total risk-based capital ratio of 8.0%, a Tier 1 risk-based capital ratio of 6.0%, a Common Equity Tier 1 ("CET1") risk-based capital ratio of 4.5%, and a Tier 1 capital to average assets ratio (known as the "leverage ratio") of 4.0%.</w:t>
      </w:r>
    </w:p>
    <w:p>
      <w:pPr>
        <w:spacing w:after="0" w:line="102"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(e.g., recourse obligations, direct credit substitutes, residual interests) are multiplied by a risk weight factor assigned by the regulations based on the risks believed inherent in the type of asset. Higher levels of capital are required for asset categories believed to present greater risk. CET1 capital is generally defined as common stockholders’ equity and retained earnings. Tier 1 capital is generally defined as CET1 and additional Tier 1 capital. Additional Tier 1 capital includes certain noncumulative perpetual preferred stock and related surplus and minority interests in equity accounts of consolidated subsidiaries. Total capital includes Tier 1 capital (CET1 capital plus additional Tier 1 capital) and Tier 2 capital. Tier 2 capital is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for credit losses limited to a maximum of 1.25% of risk-weighted assets and, for institutions that have exercised an opt-out election regarding the treatment of Accumulated Other Comprehensive Income, up to 45% of net unrealized gains on AFS equity securities with readily determinable fair market values. Pathfinder Bank exercised the opt-out election. Calculation of all types of regulatory capital is subject to deductions and adjustments specified in the regulations. In assessing an institution’s capital adequacy, regulators take into consideration, not only these numeric factors, but qualitative factors as well, and has the authority to establish higher capital requirements for individual institutions when and where deemed necessary.</w:t>
      </w:r>
    </w:p>
    <w:p>
      <w:pPr>
        <w:spacing w:after="0" w:line="118"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In addition to establishing the minimum regulatory capital requirements, the regulations limit capital distributions and certain discretionary bonus payments to management personnel if the institution does not hold a “capital conservation buffer” consisting of 2.5% of CET1 to risk-weighted assets above the amount necessary to meet its minimum risk-based capital requirements. Notwithstanding the foregoing, pursuant to the EGRRCPA, the FDIC finalized a rule that established a community bank leverage ratio (“CBLR”). The CBLR (Tier 1 capital to average consolidated assets) was established at 9% for institutions under $10 billion in assets and such institutions may elect to utilize the CBLR threshold level of capital in lieu of the generally-applicable risk-based capital requirements under Basel III. Such institutions that meet the CBLR threshold and certain other qualifying criteria will automatically be deemed to be well-capitalized. A financial institution can elect to be subject to this new definition.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59</w:t>
      </w:r>
    </w:p>
    <w:p>
      <w:pPr>
        <w:sectPr>
          <w:pgSz w:w="11900" w:h="16838" w:orient="portrait"/>
          <w:cols w:equalWidth="0" w:num="1">
            <w:col w:w="9400"/>
          </w:cols>
          <w:pgMar w:left="1260" w:top="1440" w:right="1246" w:bottom="0" w:gutter="0" w:footer="0" w:header="0"/>
          <w:type w:val="continuous"/>
        </w:sectPr>
      </w:pPr>
    </w:p>
    <w:bookmarkStart w:id="29" w:name="page30"/>
    <w:bookmarkEnd w:id="29"/>
    <w:p>
      <w:pPr>
        <w:jc w:val="both"/>
        <w:ind w:right="80"/>
        <w:spacing w:after="0" w:line="307" w:lineRule="auto"/>
        <w:rPr>
          <w:sz w:val="20"/>
          <w:szCs w:val="20"/>
          <w:color w:val="auto"/>
        </w:rPr>
      </w:pPr>
      <w:r>
        <w:rPr>
          <w:rFonts w:ascii="Arial" w:cs="Arial" w:eastAsia="Arial" w:hAnsi="Arial"/>
          <w:sz w:val="20"/>
          <w:szCs w:val="20"/>
          <w:color w:val="auto"/>
        </w:rPr>
        <w:t>In November 2025, the federal banking agencies issued a proposed rule to lower the CBLR ratio to 8%. That proposed rule was not effective as of December 31, 2025. As of December 31, 2025, the Bank did not elect to become subject to the CBLR.</w:t>
      </w:r>
    </w:p>
    <w:p>
      <w:pPr>
        <w:spacing w:after="0" w:line="137"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b w:val="1"/>
          <w:bCs w:val="1"/>
          <w:i w:val="1"/>
          <w:iCs w:val="1"/>
          <w:color w:val="auto"/>
        </w:rPr>
        <w:t xml:space="preserve">Standards for Safety and Soundness. </w:t>
      </w:r>
      <w:r>
        <w:rPr>
          <w:rFonts w:ascii="Arial" w:cs="Arial" w:eastAsia="Arial" w:hAnsi="Arial"/>
          <w:sz w:val="18"/>
          <w:szCs w:val="18"/>
          <w:color w:val="auto"/>
        </w:rPr>
        <w:t>As required by statute, the federal banking agencies have adopted final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and Interagency Guidelines Establishing Standards for Safety and Soundness to implement safety and soundness standards. The guidelines set forth the safety and soundness standards that the federal banking agencies use to identify and address problems at insured depository institutions before capital becomes impaired. The guidelines address internal controls and information systems, internal audit systems, credit underwriting, loan documentation, interest rate exposure, asset growth, asset quality, earnings, compensation, fees and benefits and, more recently, safeguarding customer information. If the appropriate federal banking agency determines that an institution fails to meet any standard prescribed by the guidelines, the agency may require the institution to submit to the agency an acceptable plan to achieve compliance with the standard.</w:t>
      </w:r>
    </w:p>
    <w:p>
      <w:pPr>
        <w:spacing w:after="0" w:line="111" w:lineRule="exact"/>
        <w:rPr>
          <w:sz w:val="20"/>
          <w:szCs w:val="20"/>
          <w:color w:val="auto"/>
        </w:rPr>
      </w:pPr>
    </w:p>
    <w:p>
      <w:pPr>
        <w:spacing w:after="0" w:line="309" w:lineRule="auto"/>
        <w:rPr>
          <w:sz w:val="20"/>
          <w:szCs w:val="20"/>
          <w:color w:val="auto"/>
        </w:rPr>
      </w:pPr>
      <w:r>
        <w:rPr>
          <w:rFonts w:ascii="Arial" w:cs="Arial" w:eastAsia="Arial" w:hAnsi="Arial"/>
          <w:sz w:val="20"/>
          <w:szCs w:val="20"/>
          <w:b w:val="1"/>
          <w:bCs w:val="1"/>
          <w:i w:val="1"/>
          <w:iCs w:val="1"/>
          <w:color w:val="auto"/>
        </w:rPr>
        <w:t xml:space="preserve">Business and Investment Activities. </w:t>
      </w:r>
      <w:r>
        <w:rPr>
          <w:rFonts w:ascii="Arial" w:cs="Arial" w:eastAsia="Arial" w:hAnsi="Arial"/>
          <w:sz w:val="20"/>
          <w:szCs w:val="20"/>
          <w:color w:val="auto"/>
        </w:rPr>
        <w:t>Under federal law, all state-chartered FDIC-insured banks,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commercial banks, have been limited in their activities as principal and in their equity investments to the type and the amount authorized for national banks, notwithstanding state law. Federal law permits certain exceptions to these limitations.</w:t>
      </w:r>
    </w:p>
    <w:p>
      <w:pPr>
        <w:spacing w:after="0" w:line="136" w:lineRule="exact"/>
        <w:rPr>
          <w:sz w:val="20"/>
          <w:szCs w:val="20"/>
          <w:color w:val="auto"/>
        </w:rPr>
      </w:pPr>
    </w:p>
    <w:p>
      <w:pPr>
        <w:jc w:val="both"/>
        <w:ind w:right="80"/>
        <w:spacing w:after="0" w:line="350" w:lineRule="auto"/>
        <w:rPr>
          <w:sz w:val="20"/>
          <w:szCs w:val="20"/>
          <w:color w:val="auto"/>
        </w:rPr>
      </w:pPr>
      <w:r>
        <w:rPr>
          <w:rFonts w:ascii="Arial" w:cs="Arial" w:eastAsia="Arial" w:hAnsi="Arial"/>
          <w:sz w:val="18"/>
          <w:szCs w:val="18"/>
          <w:color w:val="auto"/>
        </w:rPr>
        <w:t>The FDIC is also authorized to permit state banks to engage in state authorized activities or investments not permissible for national banks (other than non-subsidiary equity investments) if they meet all applicable capital requirements and it is determined that such activities or investments do not pose a significant risk to the FDIC insurance fund. The FDIC has adopted regulations governing the procedures for institutions seeking approval to engage in such activities or investments. The Gramm-Leach-Bliley Act of 1999 specified that a state bank may control a subsidiary that engages in activities as principal that would only be permitted for a national bank to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59</w:t>
      </w:r>
    </w:p>
    <w:p>
      <w:pPr>
        <w:sectPr>
          <w:pgSz w:w="11900" w:h="16838" w:orient="portrait"/>
          <w:cols w:equalWidth="0" w:num="1">
            <w:col w:w="9400"/>
          </w:cols>
          <w:pgMar w:left="1260" w:top="1173" w:right="1246" w:bottom="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conduct in a “financial subsidiary,” if a bank meets specified conditions and deducts its investment in the subsidiary for regulatory capital purposes.</w:t>
      </w:r>
    </w:p>
    <w:p>
      <w:pPr>
        <w:spacing w:after="0" w:line="141" w:lineRule="exact"/>
        <w:rPr>
          <w:sz w:val="20"/>
          <w:szCs w:val="20"/>
          <w:color w:val="auto"/>
        </w:rPr>
      </w:pPr>
    </w:p>
    <w:p>
      <w:pPr>
        <w:jc w:val="both"/>
        <w:spacing w:after="0" w:line="309" w:lineRule="auto"/>
        <w:rPr>
          <w:sz w:val="20"/>
          <w:szCs w:val="20"/>
          <w:color w:val="auto"/>
        </w:rPr>
      </w:pPr>
      <w:r>
        <w:rPr>
          <w:rFonts w:ascii="Arial" w:cs="Arial" w:eastAsia="Arial" w:hAnsi="Arial"/>
          <w:sz w:val="20"/>
          <w:szCs w:val="20"/>
          <w:b w:val="1"/>
          <w:bCs w:val="1"/>
          <w:i w:val="1"/>
          <w:iCs w:val="1"/>
          <w:color w:val="auto"/>
        </w:rPr>
        <w:t xml:space="preserve">Prompt Corrective Regulatory Action. </w:t>
      </w:r>
      <w:r>
        <w:rPr>
          <w:rFonts w:ascii="Arial" w:cs="Arial" w:eastAsia="Arial" w:hAnsi="Arial"/>
          <w:sz w:val="20"/>
          <w:szCs w:val="20"/>
          <w:color w:val="auto"/>
        </w:rPr>
        <w:t>Federal law requires, among other things, that federal bank regulatory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authorities take “prompt corrective action” with respect to banks that do not meet minimum capital requirements. For these purposes, the law establishes five capital categories: well capitalized, adequately capitalized, undercapitalized, significantly undercapitalized and critically undercapitalized.</w:t>
      </w:r>
    </w:p>
    <w:p>
      <w:pPr>
        <w:spacing w:after="0" w:line="136"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An institution is deemed to be “well capitalized” if it has a total risk-based capital ratio of 10.0% or greater, a Tier 1 risk-based capital ratio of 8.0% or greater, a CET1 risk-based capital ratio of 6.5% or greater, and a leverage ratio of 5.0% or greater . An institution is “adequately capitalized” if it has a total risk-based capital ratio of 8.0% or greater, a Tier 1 risk-based capital ratio of 6.0% or greater, a CET1 risk-based capital ratio of 4.5% or greater, and a leverage ratio of 4.0% or greater. An institution is “undercapitalized” if it has a total risk-based capital ratio of less than 8.0%, a Tier 1 risk-based capital ratio of less than 6.0%, a CET1 risk-based capital ratio of less than 4.5%, or a leverage ratio of less than 4.0%. An institution is deemed to be “significantly undercapitalized” if it has a total risk-based capital ratio of less than 6.0%, a Tier 1 risk-based capital ratio of less than 4.0%, a CET1 risk-based capital ratio of less than 3.0%, or a leverage ratio of less than 3.0%. An institution is considered to be “critically undercapitalized” if it has a ratio of tangible equity (as defined in the regulations) to total assets that is equal to or less than 2.0%.</w:t>
      </w:r>
    </w:p>
    <w:p>
      <w:pPr>
        <w:spacing w:after="0" w:line="11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“Undercapitalized” banks must adhere to growth, capital distribution (including dividend) and other limitations and are required to submit a capital restoration plan. A bank’s compliance with such a plan must be guaranteed by any company that controls the undercapitalized institution in an amount equal to the lesser of 5% of the institution’s total assets when deemed undercapitalized or the amount necessary to achieve the status of adequately capitalized. If an “undercapitalized” bank fails to submit an acceptable plan, it is treated as if it is “significantly undercapitalized.” “Significantly undercapitalized” banks must comply with one or more of a number of additional measures, including, but not limited to, a required sale of sufficient voting stock to become adequately capitalized, a requirement to reduce total assets, cessation of taking deposits from correspondent banks, the dismissal of directors or officers and restrictions on interest rates paid on deposits, compensation of executive officers and capital distributions by the parent holding company. “Critically undercapitalized” institutions are subject to additional measures including, subject to a narrow exception, the appointment of a receiver or conservator within 270 days after being designated “critically undercapitalized.”</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2025, Pathfinder Bank was well-capitalized.</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b w:val="1"/>
          <w:bCs w:val="1"/>
          <w:i w:val="1"/>
          <w:iCs w:val="1"/>
          <w:color w:val="auto"/>
        </w:rPr>
        <w:t xml:space="preserve">Transactions with Affiliates and Loans to Insiders. </w:t>
      </w:r>
      <w:r>
        <w:rPr>
          <w:rFonts w:ascii="Arial" w:cs="Arial" w:eastAsia="Arial" w:hAnsi="Arial"/>
          <w:sz w:val="19"/>
          <w:szCs w:val="19"/>
          <w:color w:val="auto"/>
        </w:rPr>
        <w:t>Transactions between a bank and its affiliates are limited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Sections 23A and 23B of the Federal Reserve Act. An affiliate of a bank is any company or entity that controls, is controlled by or is under common control with the bank. In a holding company context, the parent bank holding company (“BHC”) and any companies which are controlled by such parent holding company are affiliates of the bank. Generally, Sections 23A and 23B of the Federal Reserve Act limit the extent to which the bank or its subsidiaries may engage in “covered transactions” with any one affiliate to 10% of such institution’s capital stock and surplus and contain an aggregate limit on all such transactions with all affiliates to an amount equal to 20% of such institution’s capital stock and surplus. The term “covered transaction” includes the making of loans, purchase of assets, issuance of a guarantee and similar transactions.</w:t>
      </w:r>
    </w:p>
    <w:p>
      <w:pPr>
        <w:spacing w:after="0" w:line="124" w:lineRule="exact"/>
        <w:rPr>
          <w:sz w:val="20"/>
          <w:szCs w:val="20"/>
          <w:color w:val="auto"/>
        </w:rPr>
      </w:pPr>
    </w:p>
    <w:p>
      <w:pPr>
        <w:jc w:val="both"/>
        <w:ind w:right="40"/>
        <w:spacing w:after="0" w:line="355" w:lineRule="auto"/>
        <w:rPr>
          <w:sz w:val="20"/>
          <w:szCs w:val="20"/>
          <w:color w:val="auto"/>
        </w:rPr>
      </w:pPr>
      <w:r>
        <w:rPr>
          <w:rFonts w:ascii="Arial" w:cs="Arial" w:eastAsia="Arial" w:hAnsi="Arial"/>
          <w:sz w:val="18"/>
          <w:szCs w:val="18"/>
          <w:color w:val="auto"/>
        </w:rPr>
        <w:t>In addition, loans or other extensions of credit by the institution to the affiliate are required to be collateralized in accordance with specified requirements. The law also requires that affiliate transactions be on terms and conditions that are substantially the same, or at least as favorable to the institution, as those provided to non-affiliates.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 / 59</w:t>
      </w:r>
    </w:p>
    <w:p>
      <w:pPr>
        <w:sectPr>
          <w:pgSz w:w="11900" w:h="16838" w:orient="portrait"/>
          <w:cols w:equalWidth="0" w:num="1">
            <w:col w:w="9380"/>
          </w:cols>
          <w:pgMar w:left="1260" w:top="1440" w:right="1266" w:bottom="0" w:gutter="0" w:footer="0" w:header="0"/>
          <w:type w:val="continuous"/>
        </w:sectPr>
      </w:pPr>
    </w:p>
    <w:bookmarkStart w:id="31" w:name="page32"/>
    <w:bookmarkEnd w:id="31"/>
    <w:p>
      <w:pPr>
        <w:jc w:val="both"/>
        <w:ind w:right="20"/>
        <w:spacing w:after="0" w:line="309" w:lineRule="auto"/>
        <w:rPr>
          <w:sz w:val="20"/>
          <w:szCs w:val="20"/>
          <w:color w:val="auto"/>
        </w:rPr>
      </w:pPr>
      <w:r>
        <w:rPr>
          <w:rFonts w:ascii="Arial" w:cs="Arial" w:eastAsia="Arial" w:hAnsi="Arial"/>
          <w:sz w:val="20"/>
          <w:szCs w:val="20"/>
          <w:color w:val="auto"/>
        </w:rPr>
        <w:t>Pathfinder Bank’s authority to extend credit to its directors, executive officers and 10% shareholders, as well as to entities controlled by such persons, is governed by the requirements of Sections 22(g) and 22(h) of the Federal Reserve Act and Regulation O of the Federal Reserve Board. Among other things, these provisions generally require that extensions of credit to insiders:</w:t>
      </w:r>
    </w:p>
    <w:p>
      <w:pPr>
        <w:spacing w:after="0" w:line="181" w:lineRule="exact"/>
        <w:rPr>
          <w:sz w:val="20"/>
          <w:szCs w:val="20"/>
          <w:color w:val="auto"/>
        </w:rPr>
      </w:pPr>
    </w:p>
    <w:p>
      <w:pPr>
        <w:jc w:val="both"/>
        <w:ind w:left="840" w:hanging="420"/>
        <w:spacing w:after="0" w:line="396" w:lineRule="auto"/>
        <w:tabs>
          <w:tab w:leader="none" w:pos="840" w:val="left"/>
        </w:tabs>
        <w:numPr>
          <w:ilvl w:val="0"/>
          <w:numId w:val="6"/>
        </w:numPr>
        <w:rPr>
          <w:rFonts w:ascii="Arial" w:cs="Arial" w:eastAsia="Arial" w:hAnsi="Arial"/>
          <w:sz w:val="19"/>
          <w:szCs w:val="19"/>
          <w:color w:val="auto"/>
        </w:rPr>
      </w:pPr>
      <w:r>
        <w:rPr>
          <w:rFonts w:ascii="Arial" w:cs="Arial" w:eastAsia="Arial" w:hAnsi="Arial"/>
          <w:sz w:val="19"/>
          <w:szCs w:val="19"/>
          <w:color w:val="auto"/>
        </w:rPr>
        <w:t>be made on terms that are substantially the same as, and follow credit underwriting procedures that are not less stringent than, those prevailing for comparable transactions with unaffiliated persons and that do not involve more than the normal risk of repayment or present other unfavorable features; and</w:t>
      </w:r>
    </w:p>
    <w:p>
      <w:pPr>
        <w:spacing w:after="0" w:line="118" w:lineRule="exact"/>
        <w:rPr>
          <w:rFonts w:ascii="Arial" w:cs="Arial" w:eastAsia="Arial" w:hAnsi="Arial"/>
          <w:sz w:val="19"/>
          <w:szCs w:val="19"/>
          <w:color w:val="auto"/>
        </w:rPr>
      </w:pPr>
    </w:p>
    <w:p>
      <w:pPr>
        <w:ind w:left="840" w:right="40" w:hanging="420"/>
        <w:spacing w:after="0" w:line="397" w:lineRule="auto"/>
        <w:tabs>
          <w:tab w:leader="none" w:pos="84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 exceed certain limitations on the amount of credit extended to such persons, individually and in the aggregate, which limits are based, in part, on the amount of Pathfinder Bank’s capital.</w:t>
      </w:r>
    </w:p>
    <w:p>
      <w:pPr>
        <w:spacing w:after="0" w:line="72"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In addition, extensions of credit in excess of certain limits must be approved by Pathfinder Bank’s Board of Directors. Extensions of credit to executive officers are subject to additional limits based on the type of extension involved.</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 / 59</w:t>
      </w:r>
    </w:p>
    <w:p>
      <w:pPr>
        <w:sectPr>
          <w:pgSz w:w="11900" w:h="16838" w:orient="portrait"/>
          <w:cols w:equalWidth="0" w:num="1">
            <w:col w:w="9360"/>
          </w:cols>
          <w:pgMar w:left="1260" w:top="1173" w:right="1286" w:bottom="0"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b w:val="1"/>
          <w:bCs w:val="1"/>
          <w:i w:val="1"/>
          <w:iCs w:val="1"/>
          <w:color w:val="auto"/>
        </w:rPr>
        <w:t xml:space="preserve">Enforcement. </w:t>
      </w:r>
      <w:r>
        <w:rPr>
          <w:rFonts w:ascii="Arial" w:cs="Arial" w:eastAsia="Arial" w:hAnsi="Arial"/>
          <w:sz w:val="18"/>
          <w:szCs w:val="18"/>
          <w:color w:val="auto"/>
        </w:rPr>
        <w:t>The FDIC has extensive enforcement authority over insured state banks, including Pathfinder Bank.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enforcement authority includes, among other things, the ability to assess civil money penalties, issue cease and desist orders and remove directors and officers. In general, enforcement actions may be initiated in response to violations of laws and regulations, breaches of fiduciary duties and unsafe or unsound practices. The FDIC also has authority under federal law to appoint a conservator or receiver for an insured bank under certain circumstances. The FDIC is required, with certain exceptions, to appoint a receiver or conservator for an insured state non-member bank if the bank was “critically undercapitalized” on average during the calendar quarter beginning 270 days after the date on which the institution became “critically undercapitalized.”</w:t>
      </w:r>
    </w:p>
    <w:p>
      <w:pPr>
        <w:spacing w:after="0" w:line="105"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i w:val="1"/>
          <w:iCs w:val="1"/>
          <w:color w:val="auto"/>
        </w:rPr>
        <w:t xml:space="preserve">Federal Insurance of Deposit Accounts. </w:t>
      </w:r>
      <w:r>
        <w:rPr>
          <w:rFonts w:ascii="Arial" w:cs="Arial" w:eastAsia="Arial" w:hAnsi="Arial"/>
          <w:sz w:val="20"/>
          <w:szCs w:val="20"/>
          <w:color w:val="auto"/>
        </w:rPr>
        <w:t>The Dodd-Frank Act permanently increased the maximum amount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deposit insurance for banks, savings institutions and credit unions to $250,000 per depositor.</w:t>
      </w:r>
    </w:p>
    <w:p>
      <w:pPr>
        <w:spacing w:after="0" w:line="141"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The FDIC assesses insured depository institutions to maintain its Deposit Insurance Fund. Under the FDIC’s risk-based assessment system, institutions deemed less risky pay lower assessments. Assessments for institutions of less than $10 billion of assets are now based on financial measures and supervisory ratings derived from statistical modeling estimating the probability of failure of an institution’s failure within three years.</w:t>
      </w:r>
    </w:p>
    <w:p>
      <w:pPr>
        <w:spacing w:after="0" w:line="118"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The FDIC has authority to increase insurance assessments and adopted a final rule in October 2022 to increase initial base deposit insurance assessment rates by two basis points beginning in the first quarterly assessment period of 2023. As a result, effective January 1, 2023, assessment rates for institutions of the Bank’s size ranged from 2.5 to 32 basis points. The FDIC may also issue special assessments.</w:t>
      </w:r>
    </w:p>
    <w:p>
      <w:pPr>
        <w:spacing w:after="0" w:line="118"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currently know of any practice, condition or violation that may lead to termination of our deposit insurance.</w:t>
      </w:r>
    </w:p>
    <w:p>
      <w:pPr>
        <w:spacing w:after="0" w:line="136"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b w:val="1"/>
          <w:bCs w:val="1"/>
          <w:i w:val="1"/>
          <w:iCs w:val="1"/>
          <w:color w:val="auto"/>
        </w:rPr>
        <w:t xml:space="preserve">Community Reinvestment Act. </w:t>
      </w:r>
      <w:r>
        <w:rPr>
          <w:rFonts w:ascii="Arial" w:cs="Arial" w:eastAsia="Arial" w:hAnsi="Arial"/>
          <w:sz w:val="19"/>
          <w:szCs w:val="19"/>
          <w:color w:val="auto"/>
        </w:rPr>
        <w:t>Under the CRA, a bank has a continuing and affirmative obligation, consistent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its safe and sound operation, to help meet the credit needs of its entire community, including low and moderate income neighborhoods. The CRA does not establish specific lending requirements or programs for financial institutions nor does it limit an institution’s discretion to develop the types of products and services that it believes are best suited to its particular community. The CRA does require the FDIC, in connection with its examination of a bank, to assess the institution’s record of meeting the credit needs of its community and to take such record into account in its evaluation of certain applications by such institution, including applications to establish or acquire branches and merger with other depository institutions. The CRA requires the FDIC to provide a written evaluation of an institution’s CRA performance utilizing a four-tiered descriptive rating system. Pathfinder Bank’s latest FDIC CRA rating, dated February 18, 2025, was “satisfactory.”</w:t>
      </w:r>
    </w:p>
    <w:p>
      <w:pPr>
        <w:spacing w:after="0" w:line="125"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b w:val="1"/>
          <w:bCs w:val="1"/>
          <w:i w:val="1"/>
          <w:iCs w:val="1"/>
          <w:color w:val="auto"/>
        </w:rPr>
        <w:t xml:space="preserve">Cybersecurity. </w:t>
      </w:r>
      <w:r>
        <w:rPr>
          <w:rFonts w:ascii="Arial" w:cs="Arial" w:eastAsia="Arial" w:hAnsi="Arial"/>
          <w:sz w:val="19"/>
          <w:szCs w:val="19"/>
          <w:color w:val="auto"/>
        </w:rPr>
        <w:t>Banking organizations are required to notify their primary federal regulator as soon as possible,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 later than 36 hours after, the banking organization determines that a “computer-security incident” rising to the level of a “notification incident” has occurred. Notification is required for incidents that have materially affected or are reasonably likely to materially affect the viability of a banking organization’s operations, its ability to deliver banking products and services, or the stability of the financial sector. Service providers are required under the rule to notify affected banking organization customers as soon as possible when the provider determines that it has experienced a computer-security incident that has materially affected or is reasonably likely to materially affect the banking organization’s customers for four or more hours.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 / 59</w:t>
      </w:r>
    </w:p>
    <w:p>
      <w:pPr>
        <w:sectPr>
          <w:pgSz w:w="11900" w:h="16838" w:orient="portrait"/>
          <w:cols w:equalWidth="0" w:num="1">
            <w:col w:w="9380"/>
          </w:cols>
          <w:pgMar w:left="1260" w:top="1440" w:right="1266" w:bottom="0" w:gutter="0" w:footer="0" w:header="0"/>
          <w:type w:val="continuous"/>
        </w:sectPr>
      </w:pPr>
    </w:p>
    <w:bookmarkStart w:id="33" w:name="page34"/>
    <w:bookmarkEnd w:id="33"/>
    <w:p>
      <w:pPr>
        <w:jc w:val="both"/>
        <w:ind w:right="20"/>
        <w:spacing w:after="0" w:line="351" w:lineRule="auto"/>
        <w:rPr>
          <w:sz w:val="20"/>
          <w:szCs w:val="20"/>
          <w:color w:val="auto"/>
        </w:rPr>
      </w:pPr>
      <w:r>
        <w:rPr>
          <w:rFonts w:ascii="Arial" w:cs="Arial" w:eastAsia="Arial" w:hAnsi="Arial"/>
          <w:sz w:val="18"/>
          <w:szCs w:val="18"/>
          <w:b w:val="1"/>
          <w:bCs w:val="1"/>
          <w:i w:val="1"/>
          <w:iCs w:val="1"/>
          <w:color w:val="auto"/>
        </w:rPr>
        <w:t xml:space="preserve">Federal Home Loan Bank System. </w:t>
      </w:r>
      <w:r>
        <w:rPr>
          <w:rFonts w:ascii="Arial" w:cs="Arial" w:eastAsia="Arial" w:hAnsi="Arial"/>
          <w:sz w:val="18"/>
          <w:szCs w:val="18"/>
          <w:color w:val="auto"/>
        </w:rPr>
        <w:t>Pathfinder Bank is a member of the Federal Home Loan Bank System,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 eleven regional Federal Home Loan Banks. The Federal Home Loan Bank System provides a central credit facility primarily for member institutions as well as other entities involved in home mortgage lending. As a member of the FHLB-NY, Pathfinder Bank is required to acquire and hold a specified amount of shares of capital stock in the FHLB-NY. As of December 31, 2025, Pathfinder Bank was in compliance with this requirement.</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Regulations</w:t>
      </w:r>
    </w:p>
    <w:p>
      <w:pPr>
        <w:spacing w:after="0" w:line="200"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Interest and other charges collected or contracted for by Pathfinder Bank are subject to state usury laws and federal laws concerning interest rates. Pathfinder Bank’s operations are also subject to federal laws applicable to credit transactions, such as the:</w:t>
      </w:r>
    </w:p>
    <w:p>
      <w:pPr>
        <w:spacing w:after="0" w:line="173" w:lineRule="exact"/>
        <w:rPr>
          <w:sz w:val="20"/>
          <w:szCs w:val="20"/>
          <w:color w:val="auto"/>
        </w:rPr>
      </w:pPr>
    </w:p>
    <w:p>
      <w:pPr>
        <w:ind w:left="840" w:hanging="420"/>
        <w:spacing w:after="0"/>
        <w:tabs>
          <w:tab w:leader="none" w:pos="8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Truth-In-Lending Act, governing disclosures of credit terms to consumer borrowers;</w:t>
      </w:r>
    </w:p>
    <w:p>
      <w:pPr>
        <w:spacing w:after="0" w:line="259" w:lineRule="exact"/>
        <w:rPr>
          <w:rFonts w:ascii="Arial" w:cs="Arial" w:eastAsia="Arial" w:hAnsi="Arial"/>
          <w:sz w:val="20"/>
          <w:szCs w:val="20"/>
          <w:color w:val="auto"/>
        </w:rPr>
      </w:pPr>
    </w:p>
    <w:p>
      <w:pPr>
        <w:jc w:val="both"/>
        <w:ind w:left="840" w:hanging="420"/>
        <w:spacing w:after="0" w:line="372" w:lineRule="auto"/>
        <w:tabs>
          <w:tab w:leader="none" w:pos="8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Real Estate Settlement Procedures Act, requiring that borrowers for mortgage loans for one-to-four family residential real estate receive various disclosures, including good faith estimates of settlement costs, lender servicing and escrow account practices, and prohibiting certain practices that increase the cost of settlement services;</w:t>
      </w:r>
    </w:p>
    <w:p>
      <w:pPr>
        <w:spacing w:after="0" w:line="134" w:lineRule="exact"/>
        <w:rPr>
          <w:rFonts w:ascii="Arial" w:cs="Arial" w:eastAsia="Arial" w:hAnsi="Arial"/>
          <w:sz w:val="20"/>
          <w:szCs w:val="20"/>
          <w:color w:val="auto"/>
        </w:rPr>
      </w:pPr>
    </w:p>
    <w:p>
      <w:pPr>
        <w:ind w:left="840" w:hanging="420"/>
        <w:spacing w:after="0" w:line="370" w:lineRule="auto"/>
        <w:tabs>
          <w:tab w:leader="none" w:pos="8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TILA-RESPA Integrated Disclosure Rule, commonly known as the TRID rule. This rule amended the Truth in Lending Act and the Real Estate Settlement Procedures Act to integrate several consumer disclosures for mortgage loans;</w:t>
      </w:r>
    </w:p>
    <w:p>
      <w:pPr>
        <w:spacing w:after="0" w:line="136" w:lineRule="exact"/>
        <w:rPr>
          <w:rFonts w:ascii="Arial" w:cs="Arial" w:eastAsia="Arial" w:hAnsi="Arial"/>
          <w:sz w:val="20"/>
          <w:szCs w:val="20"/>
          <w:color w:val="auto"/>
        </w:rPr>
      </w:pPr>
    </w:p>
    <w:p>
      <w:pPr>
        <w:jc w:val="both"/>
        <w:ind w:left="840" w:right="40" w:hanging="420"/>
        <w:spacing w:after="0" w:line="370" w:lineRule="auto"/>
        <w:tabs>
          <w:tab w:leader="none" w:pos="840" w:val="left"/>
        </w:tabs>
        <w:numPr>
          <w:ilvl w:val="0"/>
          <w:numId w:val="7"/>
        </w:numPr>
        <w:rPr>
          <w:rFonts w:ascii="Arial" w:cs="Arial" w:eastAsia="Arial" w:hAnsi="Arial"/>
          <w:sz w:val="20"/>
          <w:szCs w:val="20"/>
          <w:color w:val="auto"/>
        </w:rPr>
      </w:pPr>
      <w:r>
        <w:rPr>
          <w:rFonts w:ascii="Arial" w:cs="Arial" w:eastAsia="Arial" w:hAnsi="Arial"/>
          <w:sz w:val="20"/>
          <w:szCs w:val="20"/>
          <w:color w:val="auto"/>
        </w:rPr>
        <w:t>Home Mortgage Disclosure Act, requiring financial institutions to provide information to enable the public and public officials to determine whether a financial institution is fulfilling its obligation to help meet the housing needs of the community it serves;</w:t>
      </w:r>
    </w:p>
    <w:p>
      <w:pPr>
        <w:spacing w:after="0" w:line="203" w:lineRule="exact"/>
        <w:rPr>
          <w:rFonts w:ascii="Arial" w:cs="Arial" w:eastAsia="Arial" w:hAnsi="Arial"/>
          <w:sz w:val="20"/>
          <w:szCs w:val="20"/>
          <w:color w:val="auto"/>
        </w:rPr>
      </w:pPr>
    </w:p>
    <w:p>
      <w:pPr>
        <w:ind w:left="4580" w:hanging="125"/>
        <w:spacing w:after="0"/>
        <w:tabs>
          <w:tab w:leader="none" w:pos="4580" w:val="left"/>
        </w:tabs>
        <w:numPr>
          <w:ilvl w:val="1"/>
          <w:numId w:val="7"/>
        </w:numPr>
        <w:rPr>
          <w:rFonts w:ascii="Arial" w:cs="Arial" w:eastAsia="Arial" w:hAnsi="Arial"/>
          <w:sz w:val="22"/>
          <w:szCs w:val="22"/>
          <w:color w:val="auto"/>
        </w:rPr>
      </w:pPr>
      <w:r>
        <w:rPr>
          <w:rFonts w:ascii="Arial" w:cs="Arial" w:eastAsia="Arial" w:hAnsi="Arial"/>
          <w:sz w:val="22"/>
          <w:szCs w:val="22"/>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 / 59</w:t>
      </w:r>
    </w:p>
    <w:p>
      <w:pPr>
        <w:sectPr>
          <w:pgSz w:w="11900" w:h="16838" w:orient="portrait"/>
          <w:cols w:equalWidth="0" w:num="1">
            <w:col w:w="9360"/>
          </w:cols>
          <w:pgMar w:left="1260" w:top="1173" w:right="1286" w:bottom="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40" w:right="80" w:hanging="420"/>
        <w:spacing w:after="0" w:line="365" w:lineRule="auto"/>
        <w:tabs>
          <w:tab w:leader="none" w:pos="840" w:val="left"/>
        </w:tabs>
        <w:numPr>
          <w:ilvl w:val="0"/>
          <w:numId w:val="8"/>
        </w:numPr>
        <w:rPr>
          <w:rFonts w:ascii="Arial" w:cs="Arial" w:eastAsia="Arial" w:hAnsi="Arial"/>
          <w:sz w:val="20"/>
          <w:szCs w:val="20"/>
          <w:color w:val="auto"/>
        </w:rPr>
      </w:pPr>
      <w:r>
        <w:rPr>
          <w:rFonts w:ascii="Arial" w:cs="Arial" w:eastAsia="Arial" w:hAnsi="Arial"/>
          <w:sz w:val="20"/>
          <w:szCs w:val="20"/>
          <w:color w:val="auto"/>
        </w:rPr>
        <w:t>Equal Credit Opportunity Act, prohibiting discrimination on the basis of race, creed or other prohibited factors in extending credit;</w:t>
      </w:r>
    </w:p>
    <w:p>
      <w:pPr>
        <w:spacing w:after="0" w:line="140" w:lineRule="exact"/>
        <w:rPr>
          <w:rFonts w:ascii="Arial" w:cs="Arial" w:eastAsia="Arial" w:hAnsi="Arial"/>
          <w:sz w:val="20"/>
          <w:szCs w:val="20"/>
          <w:color w:val="auto"/>
        </w:rPr>
      </w:pPr>
    </w:p>
    <w:p>
      <w:pPr>
        <w:ind w:left="840" w:hanging="420"/>
        <w:spacing w:after="0"/>
        <w:tabs>
          <w:tab w:leader="none" w:pos="840" w:val="left"/>
        </w:tabs>
        <w:numPr>
          <w:ilvl w:val="0"/>
          <w:numId w:val="8"/>
        </w:numPr>
        <w:rPr>
          <w:rFonts w:ascii="Arial" w:cs="Arial" w:eastAsia="Arial" w:hAnsi="Arial"/>
          <w:sz w:val="19"/>
          <w:szCs w:val="19"/>
          <w:color w:val="auto"/>
        </w:rPr>
      </w:pPr>
      <w:r>
        <w:rPr>
          <w:rFonts w:ascii="Arial" w:cs="Arial" w:eastAsia="Arial" w:hAnsi="Arial"/>
          <w:sz w:val="19"/>
          <w:szCs w:val="19"/>
          <w:color w:val="auto"/>
        </w:rPr>
        <w:t>Fair Credit Reporting Act, governing the use and provision of information to credit reporting agencies;</w:t>
      </w:r>
    </w:p>
    <w:p>
      <w:pPr>
        <w:spacing w:after="0" w:line="261" w:lineRule="exact"/>
        <w:rPr>
          <w:rFonts w:ascii="Arial" w:cs="Arial" w:eastAsia="Arial" w:hAnsi="Arial"/>
          <w:sz w:val="19"/>
          <w:szCs w:val="19"/>
          <w:color w:val="auto"/>
        </w:rPr>
      </w:pPr>
    </w:p>
    <w:p>
      <w:pPr>
        <w:ind w:left="840" w:right="60" w:hanging="420"/>
        <w:spacing w:after="0" w:line="365" w:lineRule="auto"/>
        <w:tabs>
          <w:tab w:leader="none" w:pos="840" w:val="left"/>
        </w:tabs>
        <w:numPr>
          <w:ilvl w:val="0"/>
          <w:numId w:val="8"/>
        </w:numPr>
        <w:rPr>
          <w:rFonts w:ascii="Arial" w:cs="Arial" w:eastAsia="Arial" w:hAnsi="Arial"/>
          <w:sz w:val="20"/>
          <w:szCs w:val="20"/>
          <w:color w:val="auto"/>
        </w:rPr>
      </w:pPr>
      <w:r>
        <w:rPr>
          <w:rFonts w:ascii="Arial" w:cs="Arial" w:eastAsia="Arial" w:hAnsi="Arial"/>
          <w:sz w:val="20"/>
          <w:szCs w:val="20"/>
          <w:color w:val="auto"/>
        </w:rPr>
        <w:t>Fair Debt Collection Act, governing the manner in which consumer debts may be collected by collection agencies;</w:t>
      </w:r>
    </w:p>
    <w:p>
      <w:pPr>
        <w:spacing w:after="0" w:line="130" w:lineRule="exact"/>
        <w:rPr>
          <w:rFonts w:ascii="Arial" w:cs="Arial" w:eastAsia="Arial" w:hAnsi="Arial"/>
          <w:sz w:val="20"/>
          <w:szCs w:val="20"/>
          <w:color w:val="auto"/>
        </w:rPr>
      </w:pPr>
    </w:p>
    <w:p>
      <w:pPr>
        <w:ind w:left="840" w:hanging="420"/>
        <w:spacing w:after="0"/>
        <w:tabs>
          <w:tab w:leader="none" w:pos="8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Truth in Savings Act;</w:t>
      </w:r>
    </w:p>
    <w:p>
      <w:pPr>
        <w:spacing w:after="0" w:line="259" w:lineRule="exact"/>
        <w:rPr>
          <w:rFonts w:ascii="Arial" w:cs="Arial" w:eastAsia="Arial" w:hAnsi="Arial"/>
          <w:sz w:val="20"/>
          <w:szCs w:val="20"/>
          <w:color w:val="auto"/>
        </w:rPr>
      </w:pPr>
    </w:p>
    <w:p>
      <w:pPr>
        <w:ind w:left="840" w:right="20" w:hanging="420"/>
        <w:spacing w:after="0" w:line="365" w:lineRule="auto"/>
        <w:tabs>
          <w:tab w:leader="none" w:pos="8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Rules and regulations of the various federal agencies charged with the responsibility of implementing such federal laws;</w:t>
      </w:r>
    </w:p>
    <w:p>
      <w:pPr>
        <w:spacing w:after="0" w:line="140" w:lineRule="exact"/>
        <w:rPr>
          <w:rFonts w:ascii="Arial" w:cs="Arial" w:eastAsia="Arial" w:hAnsi="Arial"/>
          <w:sz w:val="20"/>
          <w:szCs w:val="20"/>
          <w:color w:val="auto"/>
        </w:rPr>
      </w:pPr>
    </w:p>
    <w:p>
      <w:pPr>
        <w:ind w:left="840" w:right="80" w:hanging="420"/>
        <w:spacing w:after="0" w:line="397" w:lineRule="auto"/>
        <w:tabs>
          <w:tab w:leader="none" w:pos="840" w:val="left"/>
        </w:tabs>
        <w:numPr>
          <w:ilvl w:val="0"/>
          <w:numId w:val="8"/>
        </w:numPr>
        <w:rPr>
          <w:rFonts w:ascii="Arial" w:cs="Arial" w:eastAsia="Arial" w:hAnsi="Arial"/>
          <w:sz w:val="19"/>
          <w:szCs w:val="19"/>
          <w:color w:val="auto"/>
        </w:rPr>
      </w:pPr>
      <w:r>
        <w:rPr>
          <w:rFonts w:ascii="Arial" w:cs="Arial" w:eastAsia="Arial" w:hAnsi="Arial"/>
          <w:sz w:val="19"/>
          <w:szCs w:val="19"/>
          <w:color w:val="auto"/>
        </w:rPr>
        <w:t>Right to Financial Privacy Act, which imposes a duty to maintain confidentiality of consumer financial records and prescribes procedures for complying with administrative subpoenas of financial records;</w:t>
      </w:r>
    </w:p>
    <w:p>
      <w:pPr>
        <w:spacing w:after="0" w:line="117" w:lineRule="exact"/>
        <w:rPr>
          <w:rFonts w:ascii="Arial" w:cs="Arial" w:eastAsia="Arial" w:hAnsi="Arial"/>
          <w:sz w:val="19"/>
          <w:szCs w:val="19"/>
          <w:color w:val="auto"/>
        </w:rPr>
      </w:pPr>
    </w:p>
    <w:p>
      <w:pPr>
        <w:jc w:val="both"/>
        <w:ind w:left="840" w:right="80" w:hanging="420"/>
        <w:spacing w:after="0" w:line="396" w:lineRule="auto"/>
        <w:tabs>
          <w:tab w:leader="none" w:pos="840" w:val="left"/>
        </w:tabs>
        <w:numPr>
          <w:ilvl w:val="0"/>
          <w:numId w:val="8"/>
        </w:numPr>
        <w:rPr>
          <w:rFonts w:ascii="Arial" w:cs="Arial" w:eastAsia="Arial" w:hAnsi="Arial"/>
          <w:sz w:val="19"/>
          <w:szCs w:val="19"/>
          <w:color w:val="auto"/>
        </w:rPr>
      </w:pPr>
      <w:r>
        <w:rPr>
          <w:rFonts w:ascii="Arial" w:cs="Arial" w:eastAsia="Arial" w:hAnsi="Arial"/>
          <w:sz w:val="19"/>
          <w:szCs w:val="19"/>
          <w:color w:val="auto"/>
        </w:rPr>
        <w:t>Electronic Funds Transfer Act and Regulation E promulgated thereunder, which govern automatic deposits to and withdrawals from deposit accounts and customers’ rights and liabilities arising from the use of automated teller machines and other electronic banking services;</w:t>
      </w:r>
    </w:p>
    <w:p>
      <w:pPr>
        <w:spacing w:after="0" w:line="110" w:lineRule="exact"/>
        <w:rPr>
          <w:rFonts w:ascii="Arial" w:cs="Arial" w:eastAsia="Arial" w:hAnsi="Arial"/>
          <w:sz w:val="19"/>
          <w:szCs w:val="19"/>
          <w:color w:val="auto"/>
        </w:rPr>
      </w:pPr>
    </w:p>
    <w:p>
      <w:pPr>
        <w:jc w:val="both"/>
        <w:ind w:left="840" w:right="80" w:hanging="420"/>
        <w:spacing w:after="0" w:line="325" w:lineRule="auto"/>
        <w:tabs>
          <w:tab w:leader="none" w:pos="8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Clearing for the 21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Century Act (also known as “Check 21”), which gives “substitute checks,” such as digital check images and copies made from that image, the same legal standing as the original paper check;</w:t>
      </w:r>
    </w:p>
    <w:p>
      <w:pPr>
        <w:spacing w:after="0" w:line="180" w:lineRule="exact"/>
        <w:rPr>
          <w:rFonts w:ascii="Arial" w:cs="Arial" w:eastAsia="Arial" w:hAnsi="Arial"/>
          <w:sz w:val="20"/>
          <w:szCs w:val="20"/>
          <w:color w:val="auto"/>
        </w:rPr>
      </w:pPr>
    </w:p>
    <w:p>
      <w:pPr>
        <w:jc w:val="both"/>
        <w:ind w:left="840" w:hanging="420"/>
        <w:spacing w:after="0" w:line="373" w:lineRule="auto"/>
        <w:tabs>
          <w:tab w:leader="none" w:pos="840" w:val="left"/>
        </w:tabs>
        <w:numPr>
          <w:ilvl w:val="0"/>
          <w:numId w:val="8"/>
        </w:numPr>
        <w:rPr>
          <w:rFonts w:ascii="Arial" w:cs="Arial" w:eastAsia="Arial" w:hAnsi="Arial"/>
          <w:sz w:val="20"/>
          <w:szCs w:val="20"/>
          <w:color w:val="auto"/>
        </w:rPr>
      </w:pPr>
      <w:r>
        <w:rPr>
          <w:rFonts w:ascii="Arial" w:cs="Arial" w:eastAsia="Arial" w:hAnsi="Arial"/>
          <w:sz w:val="20"/>
          <w:szCs w:val="20"/>
          <w:color w:val="auto"/>
        </w:rPr>
        <w:t>USA PATRIOT Act, which requires banks operating to, among other things, establish broadened anti-money laundering compliance programs, due diligence policies and controls to ensure the detection and reporting of money laundering. Such required compliance programs are intended to supplement existing compliance requirements, also applicable to financial institutions, under the Bank Secrecy Act and the Office of Foreign Assets Control regulations; and</w:t>
      </w:r>
    </w:p>
    <w:p>
      <w:pPr>
        <w:spacing w:after="0" w:line="132" w:lineRule="exact"/>
        <w:rPr>
          <w:rFonts w:ascii="Arial" w:cs="Arial" w:eastAsia="Arial" w:hAnsi="Arial"/>
          <w:sz w:val="20"/>
          <w:szCs w:val="20"/>
          <w:color w:val="auto"/>
        </w:rPr>
      </w:pPr>
    </w:p>
    <w:p>
      <w:pPr>
        <w:jc w:val="both"/>
        <w:ind w:left="840" w:right="60" w:hanging="420"/>
        <w:spacing w:after="0" w:line="421"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Gramm-Leach-Bliley Act, which places limitations on the sharing of consumer financial information by financial institutions with unaffiliated third parties. Specifically, the Gramm-Leach-Bliley Act requires all financial institutions offering financial products or services to retail customers to provide such customers with the financial institution’s privacy policy and provide such customers the opportunity to “opt out” of the sharing of certain personal financial information with unaffiliated third parties.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Holding Company Regulation</w:t>
      </w:r>
    </w:p>
    <w:p>
      <w:pPr>
        <w:spacing w:after="0" w:line="200"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The Company, as a Bank Holding Company ("BHC"), is subject to examination, regulation, and periodic reporting under the Bank Holding Company Act of 1956, as amended, as administered by the Federal Reserve Board. The Company is required to obtain the prior approval of the Federal Reserve Board to acquire all, or substantially all, of the assets of any bank or bank holding company. Prior Federal Reserve Board approval would be required for the Company to acquire direct or indirect ownership or control of any voting securities of any bank or BHC if it would, directly or indirectly, own or control more than 5% of any class of voting shares of the bank or bank holding company.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59</w:t>
      </w:r>
    </w:p>
    <w:p>
      <w:pPr>
        <w:sectPr>
          <w:pgSz w:w="11900" w:h="16838" w:orient="portrait"/>
          <w:cols w:equalWidth="0" w:num="1">
            <w:col w:w="9400"/>
          </w:cols>
          <w:pgMar w:left="1260" w:top="1440" w:right="1246" w:bottom="0" w:gutter="0" w:footer="0" w:header="0"/>
          <w:type w:val="continuous"/>
        </w:sectPr>
      </w:pPr>
    </w:p>
    <w:bookmarkStart w:id="35" w:name="page36"/>
    <w:bookmarkEnd w:id="35"/>
    <w:p>
      <w:pPr>
        <w:jc w:val="both"/>
        <w:ind w:right="60"/>
        <w:spacing w:after="0" w:line="311" w:lineRule="auto"/>
        <w:rPr>
          <w:sz w:val="20"/>
          <w:szCs w:val="20"/>
          <w:color w:val="auto"/>
        </w:rPr>
      </w:pPr>
      <w:r>
        <w:rPr>
          <w:rFonts w:ascii="Arial" w:cs="Arial" w:eastAsia="Arial" w:hAnsi="Arial"/>
          <w:sz w:val="20"/>
          <w:szCs w:val="20"/>
          <w:color w:val="auto"/>
        </w:rPr>
        <w:t>A BHC is generally prohibited from engaging in, or acquiring, direct or indirect control of more than 5% of the voting securities of any company engaged in non-banking activities. One of the principal exceptions to this prohibition is for activities found by the Federal Reserve Board to be so closely related to banking or managing or controlling banks as to be a proper incident thereto. Some of the principal activities that the Federal Reserve Board has determined by regulation to be closely related to banking are: (i) making or servicing loans; (ii) performing certain data processing services; (iii) providing securities brokerage services; (iv) acting as fiduciary, investment or financial advisor; (v) leasing personal or real property under certain conditions; (vi) making investments in corporations or projects designed primarily to promote community welfare; and (vii) acquiring a savings association.</w:t>
      </w:r>
    </w:p>
    <w:p>
      <w:pPr>
        <w:spacing w:after="0" w:line="138" w:lineRule="exact"/>
        <w:rPr>
          <w:sz w:val="20"/>
          <w:szCs w:val="20"/>
          <w:color w:val="auto"/>
        </w:rPr>
      </w:pPr>
    </w:p>
    <w:p>
      <w:pPr>
        <w:jc w:val="both"/>
        <w:ind w:right="80"/>
        <w:spacing w:after="0" w:line="310" w:lineRule="auto"/>
        <w:rPr>
          <w:sz w:val="20"/>
          <w:szCs w:val="20"/>
          <w:color w:val="auto"/>
        </w:rPr>
      </w:pPr>
      <w:r>
        <w:rPr>
          <w:rFonts w:ascii="Arial" w:cs="Arial" w:eastAsia="Arial" w:hAnsi="Arial"/>
          <w:sz w:val="20"/>
          <w:szCs w:val="20"/>
          <w:color w:val="auto"/>
        </w:rPr>
        <w:t>The Gramm-Leach-Bliley Act of 1999 authorizes a BHC that meets specified conditions, including depository institutions subsidiaries that are “well capitalized” and “well managed,” to opt to become a “financial holding company.” A “financial holding company” may engage in a broader array of financial activities than permitted a typical bank holding company. Such activities can include insurance underwriting and investment banking. The Company has elected to be a “financial holding company.”</w:t>
      </w:r>
    </w:p>
    <w:p>
      <w:pPr>
        <w:spacing w:after="0" w:line="135"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color w:val="auto"/>
        </w:rPr>
        <w:t>On August 28, 2018, pursuant to EGRRCPA, the Federal Reserve Board issued an interim final rule revising the “Small Bank Holding Company Policy Statement” increasing the consolidated asset limit to $3 billion. Under the Policy Statement, a BHC that meets certain Qualitative Requirements:</w:t>
      </w:r>
    </w:p>
    <w:p>
      <w:pPr>
        <w:spacing w:after="0" w:line="183" w:lineRule="exact"/>
        <w:rPr>
          <w:sz w:val="20"/>
          <w:szCs w:val="20"/>
          <w:color w:val="auto"/>
        </w:rPr>
      </w:pPr>
    </w:p>
    <w:p>
      <w:pPr>
        <w:ind w:left="600" w:hanging="319"/>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exempt from the FRB's risk-based capital and leverage rules (Appendixes A and D of Regulation Y); and</w:t>
      </w:r>
    </w:p>
    <w:p>
      <w:pPr>
        <w:spacing w:after="0" w:line="273" w:lineRule="exact"/>
        <w:rPr>
          <w:rFonts w:ascii="Arial" w:cs="Arial" w:eastAsia="Arial" w:hAnsi="Arial"/>
          <w:sz w:val="18"/>
          <w:szCs w:val="18"/>
          <w:color w:val="auto"/>
        </w:rPr>
      </w:pPr>
    </w:p>
    <w:p>
      <w:pPr>
        <w:ind w:left="600" w:right="120" w:hanging="319"/>
        <w:spacing w:after="0" w:line="365" w:lineRule="auto"/>
        <w:tabs>
          <w:tab w:leader="none" w:pos="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may use debt to finance up to 75% of the purchase price of an acquisition allowing a BHC to have a debt-to-equity ratio of up to 3:1.</w:t>
      </w:r>
    </w:p>
    <w:p>
      <w:pPr>
        <w:spacing w:after="0" w:line="95"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The Policy Statement now applies to a BHC with consolidated assets of less than $3 billion that meets the following Qualitative Requirements: (i) it is not engaged in significant non-banking activities either directly or through a non-bank subsidiary; (ii) it does not conduct significant off-balance sheet activities, including securitizations or asset management or administration, either directly or through a non-bank subsidiary; or (iii) it does not have a material amount of debt or equity securities outstanding (other than trust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59</w:t>
      </w:r>
    </w:p>
    <w:p>
      <w:pPr>
        <w:sectPr>
          <w:pgSz w:w="11900" w:h="16838" w:orient="portrait"/>
          <w:cols w:equalWidth="0" w:num="1">
            <w:col w:w="9400"/>
          </w:cols>
          <w:pgMar w:left="1260" w:top="1173" w:right="1246" w:bottom="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preferred securities) that are registered with the SEC. BHCs that meet these Qualitative Requirements are determined to be "Qualifying BHCs". A Qualifying BHC is exempt from the FRB's risk-based capital and leverage rules. As a consequence, it does not have to comply with the Basel III Capital Adequacy rules. Each subsidiary bank of a Qualifying BHC must comply with the Basel III Capital Adequacy rules (or the Community Bank Leverage Ratio) and must be well-capitalized. If any subsidiary bank is not, the Federal Reserve Board expects it to become well-capitalized within a brief period of time. This Policy Statement applies to the Company.</w:t>
      </w:r>
    </w:p>
    <w:p>
      <w:pPr>
        <w:spacing w:after="0" w:line="109"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A BHC is generally required to give the Federal Reserve Board prior written notice of any purchase or redemption of then outstanding equity securities if the gross consideration for the purchase or redemption, when combined with the net consideration paid for all such purchases or redemptions during the preceding 12 months, is equal to 10% or more of the company’s consolidated net worth. The Federal Reserve Board may disapprove such a purchase or redemption if it determines that the proposal would constitute an unsafe and unsound practice, or would violate any law, regulation, Federal Reserve Board order or directive, or any condition imposed by, or written agreement with, the Federal Reserve Board. The Federal Reserve Board has adopted an exception to that approval requirement for well-capitalized bank holding companies that meet certain other conditions. The Federal Reserve Board has issued guidance which requires consultation with the Federal Reserve Board prior to a redemption or repurchase in certain circumstances.</w:t>
      </w:r>
    </w:p>
    <w:p>
      <w:pPr>
        <w:spacing w:after="0" w:line="125"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The Federal Reserve Board has issued a policy statement regarding the payment of dividends by BHCs. In general, the Federal Reserve Board’s policies provide that dividends should be paid only out of current earnings and only if the prospective rate of earnings retention by the BHC appears consistent with the organization’s capital needs, asset quality and overall financial condition. The Federal Reserve Board’s policies also require that a BHC serve as a source of financial strength to its subsidiary banks by using available resources to provide capital funds during periods of financial stress or adversity and by maintaining the financial flexibility and capital-raising capacity to obtain additional resources for assisting its subsidiary banks where necessary. The Dodd-Frank Act codified the source of strength policy. Under the prompt corrective action laws, the ability of a BHC to pay dividends may be restricted if a subsidiary bank becomes undercapitalized. These regulatory policies could affect the ability of the Company to pay dividends or otherwise engage in capital distributions.</w:t>
      </w:r>
    </w:p>
    <w:p>
      <w:pPr>
        <w:spacing w:after="0" w:line="110" w:lineRule="exact"/>
        <w:rPr>
          <w:sz w:val="20"/>
          <w:szCs w:val="20"/>
          <w:color w:val="auto"/>
        </w:rPr>
      </w:pPr>
    </w:p>
    <w:p>
      <w:pPr>
        <w:jc w:val="both"/>
        <w:ind w:right="60"/>
        <w:spacing w:after="0" w:line="352" w:lineRule="auto"/>
        <w:rPr>
          <w:sz w:val="20"/>
          <w:szCs w:val="20"/>
          <w:color w:val="auto"/>
        </w:rPr>
      </w:pPr>
      <w:r>
        <w:rPr>
          <w:rFonts w:ascii="Arial" w:cs="Arial" w:eastAsia="Arial" w:hAnsi="Arial"/>
          <w:sz w:val="18"/>
          <w:szCs w:val="18"/>
          <w:color w:val="auto"/>
        </w:rPr>
        <w:t>The Company and the Bank will be affected by the monetary and fiscal policies of various agencies of the United States Government, including the Federal Reserve System. In view of changing conditions in the national economy and in the money markets, it is impossible for management to accurately predict future changes in monetary policy or the effect of such changes on the business or financial condition of the Company or the Bank.</w:t>
      </w:r>
    </w:p>
    <w:p>
      <w:pPr>
        <w:spacing w:after="0" w:line="106"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color w:val="auto"/>
        </w:rPr>
        <w:t>The Company’s status as a registered BHC under the Bank Holding Company Act will not exempt it from certain federal and state laws and regulations applicable to corporations generally, including, without limitation, certain provisions of the federal securities laws.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Securities Laws</w:t>
      </w:r>
    </w:p>
    <w:p>
      <w:pPr>
        <w:spacing w:after="0" w:line="200"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color w:val="auto"/>
        </w:rPr>
        <w:t>The Company’s common stock is registered with the Securities and Exchange Commission under the Securities Exchange Act of 1934. We are subject to the information, proxy solicitation, insider trading restrictions and other requirements under the Securities Exchange Act of 1934.</w:t>
      </w:r>
    </w:p>
    <w:p>
      <w:pPr>
        <w:spacing w:after="0" w:line="137" w:lineRule="exact"/>
        <w:rPr>
          <w:sz w:val="20"/>
          <w:szCs w:val="20"/>
          <w:color w:val="auto"/>
        </w:rPr>
      </w:pPr>
    </w:p>
    <w:p>
      <w:pPr>
        <w:jc w:val="both"/>
        <w:ind w:right="20"/>
        <w:spacing w:after="0" w:line="352" w:lineRule="auto"/>
        <w:rPr>
          <w:sz w:val="20"/>
          <w:szCs w:val="20"/>
          <w:color w:val="auto"/>
        </w:rPr>
      </w:pPr>
      <w:r>
        <w:rPr>
          <w:rFonts w:ascii="Arial" w:cs="Arial" w:eastAsia="Arial" w:hAnsi="Arial"/>
          <w:sz w:val="18"/>
          <w:szCs w:val="18"/>
          <w:color w:val="auto"/>
        </w:rPr>
        <w:t>The registration under the Securities Act of 1933 of the Company’s shares of common stock issued in the Company’s initial stock offering does not cover the resale of those shares. Shares of common stock purchased by persons who are not our affiliates may be resold without registration. Shares purchased by our affiliates are subject to the resale restrictions of Rule 144 under the Securities Act of 1933. If we meet the current public information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59</w:t>
      </w:r>
    </w:p>
    <w:p>
      <w:pPr>
        <w:sectPr>
          <w:pgSz w:w="11900" w:h="16838" w:orient="portrait"/>
          <w:cols w:equalWidth="0" w:num="1">
            <w:col w:w="9400"/>
          </w:cols>
          <w:pgMar w:left="1260" w:top="1440" w:right="1246" w:bottom="0" w:gutter="0" w:footer="0" w:header="0"/>
          <w:type w:val="continuous"/>
        </w:sectPr>
      </w:pPr>
    </w:p>
    <w:bookmarkStart w:id="37" w:name="page38"/>
    <w:bookmarkEnd w:id="37"/>
    <w:p>
      <w:pPr>
        <w:jc w:val="both"/>
        <w:spacing w:after="0" w:line="311" w:lineRule="auto"/>
        <w:rPr>
          <w:sz w:val="20"/>
          <w:szCs w:val="20"/>
          <w:color w:val="auto"/>
        </w:rPr>
      </w:pPr>
      <w:r>
        <w:rPr>
          <w:rFonts w:ascii="Arial" w:cs="Arial" w:eastAsia="Arial" w:hAnsi="Arial"/>
          <w:sz w:val="20"/>
          <w:szCs w:val="20"/>
          <w:color w:val="auto"/>
        </w:rPr>
        <w:t>requirements of Rule 144 under the Securities Act of 1933, each affiliate of ours that complies with the other conditions of Rule 144, including those that require the affiliate’s sale to be aggregated with those of other persons, would be able to sell in the public market, without registration, a number of shares not to exceed, in any three-month period, the greater of 1% of our outstanding shares, or the average weekly volume of trading in the shares during the preceding four calendar weeks. In the future, we may permit affiliates to have their shares registered for sale under the Securities Act of 1933.</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The Sarbanes-Oxley Act of 2002 addresses, among other issues, corporate governance, auditing and accounting, executive compensation, and enhanced and timely disclosure of corporate information. We have prepared policies, procedures and systems designed to ensure compliance with these regulations.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38 / 59</w:t>
      </w:r>
    </w:p>
    <w:p>
      <w:pPr>
        <w:sectPr>
          <w:pgSz w:w="11900" w:h="16838" w:orient="portrait"/>
          <w:cols w:equalWidth="0" w:num="1">
            <w:col w:w="9340"/>
          </w:cols>
          <w:pgMar w:left="1260" w:top="1173" w:right="1306" w:bottom="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FEDERAL AND STATE TAXATION</w:t>
      </w:r>
    </w:p>
    <w:p>
      <w:pPr>
        <w:spacing w:after="0" w:line="200"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b w:val="1"/>
          <w:bCs w:val="1"/>
          <w:i w:val="1"/>
          <w:iCs w:val="1"/>
          <w:color w:val="auto"/>
        </w:rPr>
        <w:t>Deferred Income Tax Assets and Liabilities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Deferred income tax assets and liabilities are determined using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Taxation</w:t>
      </w:r>
    </w:p>
    <w:p>
      <w:pPr>
        <w:spacing w:after="0" w:line="20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b w:val="1"/>
          <w:bCs w:val="1"/>
          <w:i w:val="1"/>
          <w:iCs w:val="1"/>
          <w:color w:val="auto"/>
        </w:rPr>
        <w:t>General</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Bank and the Company are subject to federal income taxation in the same general manner as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corporations, with some exceptions discussed below. The following discussion of federal taxation is intended only to summarize certain pertinent federal income tax matters and is not a comprehensive description of the tax rules applicable to the Company or the Bank.</w:t>
      </w:r>
    </w:p>
    <w:p>
      <w:pPr>
        <w:spacing w:after="0" w:line="136"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The Company’s federal tax returns are statutorily subject to potential audit for the years 2022 through 2025. No federal income tax returns are under audit as of the date of this report.</w:t>
      </w:r>
    </w:p>
    <w:p>
      <w:pPr>
        <w:spacing w:after="0" w:line="131" w:lineRule="exact"/>
        <w:rPr>
          <w:sz w:val="20"/>
          <w:szCs w:val="20"/>
          <w:color w:val="auto"/>
        </w:rPr>
      </w:pPr>
    </w:p>
    <w:p>
      <w:pPr>
        <w:spacing w:after="0"/>
        <w:tabs>
          <w:tab w:leader="none" w:pos="2500" w:val="left"/>
          <w:tab w:leader="none" w:pos="4560" w:val="left"/>
        </w:tabs>
        <w:rPr>
          <w:sz w:val="20"/>
          <w:szCs w:val="20"/>
          <w:color w:val="auto"/>
        </w:rPr>
      </w:pPr>
      <w:r>
        <w:rPr>
          <w:rFonts w:ascii="Arial" w:cs="Arial" w:eastAsia="Arial" w:hAnsi="Arial"/>
          <w:sz w:val="20"/>
          <w:szCs w:val="20"/>
          <w:b w:val="1"/>
          <w:bCs w:val="1"/>
          <w:i w:val="1"/>
          <w:iCs w:val="1"/>
          <w:color w:val="auto"/>
        </w:rPr>
        <w:t>Method</w:t>
      </w:r>
      <w:r>
        <w:rPr>
          <w:sz w:val="20"/>
          <w:szCs w:val="20"/>
          <w:color w:val="auto"/>
        </w:rPr>
        <w:tab/>
      </w:r>
      <w:r>
        <w:rPr>
          <w:rFonts w:ascii="Arial" w:cs="Arial" w:eastAsia="Arial" w:hAnsi="Arial"/>
          <w:sz w:val="20"/>
          <w:szCs w:val="20"/>
          <w:b w:val="1"/>
          <w:bCs w:val="1"/>
          <w:i w:val="1"/>
          <w:iCs w:val="1"/>
          <w:color w:val="auto"/>
        </w:rPr>
        <w:t>of</w:t>
      </w:r>
      <w:r>
        <w:rPr>
          <w:sz w:val="20"/>
          <w:szCs w:val="20"/>
          <w:color w:val="auto"/>
        </w:rPr>
        <w:tab/>
      </w:r>
      <w:r>
        <w:rPr>
          <w:rFonts w:ascii="Arial" w:cs="Arial" w:eastAsia="Arial" w:hAnsi="Arial"/>
          <w:sz w:val="17"/>
          <w:szCs w:val="17"/>
          <w:b w:val="1"/>
          <w:bCs w:val="1"/>
          <w:i w:val="1"/>
          <w:iCs w:val="1"/>
          <w:color w:val="auto"/>
        </w:rPr>
        <w:t>Accounting</w:t>
      </w:r>
      <w:r>
        <w:rPr>
          <w:rFonts w:ascii="Arial" w:cs="Arial" w:eastAsia="Arial" w:hAnsi="Arial"/>
          <w:sz w:val="17"/>
          <w:szCs w:val="17"/>
          <w:i w:val="1"/>
          <w:iCs w:val="1"/>
          <w:color w:val="auto"/>
        </w:rPr>
        <w:t>.</w:t>
      </w:r>
    </w:p>
    <w:p>
      <w:pPr>
        <w:spacing w:after="0" w:line="80" w:lineRule="exact"/>
        <w:rPr>
          <w:sz w:val="20"/>
          <w:szCs w:val="20"/>
          <w:color w:val="auto"/>
        </w:rPr>
      </w:pPr>
    </w:p>
    <w:p>
      <w:pPr>
        <w:jc w:val="both"/>
        <w:ind w:right="20"/>
        <w:spacing w:after="0" w:line="363" w:lineRule="auto"/>
        <w:rPr>
          <w:sz w:val="20"/>
          <w:szCs w:val="20"/>
          <w:color w:val="auto"/>
        </w:rPr>
      </w:pPr>
      <w:r>
        <w:rPr>
          <w:rFonts w:ascii="Arial" w:cs="Arial" w:eastAsia="Arial" w:hAnsi="Arial"/>
          <w:sz w:val="18"/>
          <w:szCs w:val="18"/>
          <w:color w:val="auto"/>
        </w:rPr>
        <w:t>For federal income tax purposes, the Company currently reports its income and expenses on the accrual method of accounting and uses a tax year ending December 31 for filing its federal and state income tax returns.</w:t>
      </w:r>
    </w:p>
    <w:p>
      <w:pPr>
        <w:spacing w:after="0" w:line="94"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b w:val="1"/>
          <w:bCs w:val="1"/>
          <w:i w:val="1"/>
          <w:iCs w:val="1"/>
          <w:color w:val="auto"/>
        </w:rPr>
        <w:t>Bad Debt Reserves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1996, Pathfinder Bank was permitted to establish a reserve for bad debts and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additions to the reserve. These additions could, within specified formula limits, be deducted in arriving at our taxable income. As a result of tax law changes in 1996, Pathfinder Bank was required to use the specific charge-off method in computing its bad debt deduction beginning with its 1996 federal tax return. Savings institutions were required to recapture any excess reserves over those established as of December 31, 1987 (base year reserve). At December 31, 2025, Pathfinder Bank had no reserves subject to recapture in excess of its base year reserves. The Bank continues to be required to use the specific charge-off method to account for tax bad debt deductions.</w:t>
      </w:r>
    </w:p>
    <w:p>
      <w:pPr>
        <w:spacing w:after="0" w:line="107"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b w:val="1"/>
          <w:bCs w:val="1"/>
          <w:i w:val="1"/>
          <w:iCs w:val="1"/>
          <w:color w:val="auto"/>
        </w:rPr>
        <w:t>Taxable Distributions and Recapture</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Prior to 1996, bad debt reserves created prior to 1988 were subject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recapture into taxable income if Pathfinder Bank failed to meet certain thrift asset and definitional tests or made certain distributions. Tax law changes in 1996 eliminated thrift-related recapture rules. However, under current law, pre-1988 tax bad debt reserves remain subject to recapture if Pathfinder Bank makes certain non-dividend distributions, repurchases any of its common stock, pays dividends in excess of earnings and profits, or fails to qualify as a “bank” for tax purposes. At December 31, 2025, our total federal pre-base year bad debt reserve was approximately $1.3 million.</w:t>
      </w:r>
    </w:p>
    <w:p>
      <w:pPr>
        <w:spacing w:after="0" w:line="134" w:lineRule="exact"/>
        <w:rPr>
          <w:sz w:val="20"/>
          <w:szCs w:val="20"/>
          <w:color w:val="auto"/>
        </w:rPr>
      </w:pPr>
    </w:p>
    <w:p>
      <w:pPr>
        <w:jc w:val="both"/>
        <w:ind w:right="20"/>
        <w:spacing w:after="0" w:line="331" w:lineRule="auto"/>
        <w:rPr>
          <w:sz w:val="20"/>
          <w:szCs w:val="20"/>
          <w:color w:val="auto"/>
        </w:rPr>
      </w:pPr>
      <w:r>
        <w:rPr>
          <w:rFonts w:ascii="Arial" w:cs="Arial" w:eastAsia="Arial" w:hAnsi="Arial"/>
          <w:sz w:val="19"/>
          <w:szCs w:val="19"/>
          <w:b w:val="1"/>
          <w:bCs w:val="1"/>
          <w:i w:val="1"/>
          <w:iCs w:val="1"/>
          <w:color w:val="auto"/>
        </w:rPr>
        <w:t xml:space="preserve">Net Operating Loss Carryovers. </w:t>
      </w:r>
      <w:r>
        <w:rPr>
          <w:rFonts w:ascii="Arial" w:cs="Arial" w:eastAsia="Arial" w:hAnsi="Arial"/>
          <w:sz w:val="19"/>
          <w:szCs w:val="19"/>
          <w:color w:val="auto"/>
        </w:rPr>
        <w:t>Federal tax law allows net operating losses to be carried forward indefinitely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net operating loss deduction limited to 80% of taxable income in any carryforward year.</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 / 59</w:t>
      </w:r>
    </w:p>
    <w:p>
      <w:pPr>
        <w:sectPr>
          <w:pgSz w:w="11900" w:h="16838" w:orient="portrait"/>
          <w:cols w:equalWidth="0" w:num="1">
            <w:col w:w="9360"/>
          </w:cols>
          <w:pgMar w:left="1260" w:top="1440" w:right="1286" w:bottom="0" w:gutter="0" w:footer="0" w:header="0"/>
          <w:type w:val="continuous"/>
        </w:sectPr>
      </w:pPr>
    </w:p>
    <w:bookmarkStart w:id="39" w:name="page40"/>
    <w:bookmarkEnd w:id="39"/>
    <w:p>
      <w:pPr>
        <w:jc w:val="both"/>
        <w:spacing w:after="0" w:line="310" w:lineRule="auto"/>
        <w:rPr>
          <w:sz w:val="20"/>
          <w:szCs w:val="20"/>
          <w:color w:val="auto"/>
        </w:rPr>
      </w:pPr>
      <w:r>
        <w:rPr>
          <w:rFonts w:ascii="Arial" w:cs="Arial" w:eastAsia="Arial" w:hAnsi="Arial"/>
          <w:sz w:val="20"/>
          <w:szCs w:val="20"/>
          <w:b w:val="1"/>
          <w:bCs w:val="1"/>
          <w:i w:val="1"/>
          <w:iCs w:val="1"/>
          <w:color w:val="auto"/>
        </w:rPr>
        <w:t xml:space="preserve">Corporate Dividends Received Deduction. </w:t>
      </w:r>
      <w:r>
        <w:rPr>
          <w:rFonts w:ascii="Arial" w:cs="Arial" w:eastAsia="Arial" w:hAnsi="Arial"/>
          <w:sz w:val="20"/>
          <w:szCs w:val="20"/>
          <w:color w:val="auto"/>
        </w:rPr>
        <w:t>The Company may exclude from its federal taxable income 100%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dividends received from Pathfinder Bank as a wholly-owned subsidiary by filing consolidated tax returns. The corporate dividends received deduction is 65% when the corporation receiving the dividend owns at least 20% of the stock of the distributing corporation. The dividends-received deduction is 50% when the corporation receiving the dividend owns less than 20% of the distributing corporation.</w:t>
      </w:r>
    </w:p>
    <w:p>
      <w:pPr>
        <w:spacing w:after="0" w:line="135" w:lineRule="exact"/>
        <w:rPr>
          <w:sz w:val="20"/>
          <w:szCs w:val="20"/>
          <w:color w:val="auto"/>
        </w:rPr>
      </w:pPr>
    </w:p>
    <w:p>
      <w:pPr>
        <w:jc w:val="both"/>
        <w:spacing w:after="0" w:line="309" w:lineRule="auto"/>
        <w:rPr>
          <w:sz w:val="20"/>
          <w:szCs w:val="20"/>
          <w:color w:val="auto"/>
        </w:rPr>
      </w:pPr>
      <w:r>
        <w:rPr>
          <w:rFonts w:ascii="Arial" w:cs="Arial" w:eastAsia="Arial" w:hAnsi="Arial"/>
          <w:sz w:val="20"/>
          <w:szCs w:val="20"/>
          <w:b w:val="1"/>
          <w:bCs w:val="1"/>
          <w:i w:val="1"/>
          <w:iCs w:val="1"/>
          <w:color w:val="auto"/>
        </w:rPr>
        <w:t xml:space="preserve">Employee Compensation. </w:t>
      </w:r>
      <w:r>
        <w:rPr>
          <w:rFonts w:ascii="Arial" w:cs="Arial" w:eastAsia="Arial" w:hAnsi="Arial"/>
          <w:sz w:val="20"/>
          <w:szCs w:val="20"/>
          <w:color w:val="auto"/>
        </w:rPr>
        <w:t>A publicly held corporation is not permitted to deduct compensation in excess of $1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million per year paid to certain employees. Federal tax law eliminates certain exceptions to the $1 million limit applicable under prior law related to performance-based compensation, such as equity grants and cash bonuses that are paid only on the attainment of performance goals.</w:t>
      </w:r>
    </w:p>
    <w:p>
      <w:pPr>
        <w:spacing w:after="0" w:line="136"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b w:val="1"/>
          <w:bCs w:val="1"/>
          <w:i w:val="1"/>
          <w:iCs w:val="1"/>
          <w:color w:val="auto"/>
        </w:rPr>
        <w:t xml:space="preserve">Business Asset Expensing. </w:t>
      </w:r>
      <w:r>
        <w:rPr>
          <w:rFonts w:ascii="Arial" w:cs="Arial" w:eastAsia="Arial" w:hAnsi="Arial"/>
          <w:sz w:val="18"/>
          <w:szCs w:val="18"/>
          <w:color w:val="auto"/>
        </w:rPr>
        <w:t>Federal tax law allows taxpayers to immediately expense the entire cost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qualifying depreciable tangible property and certain real property improvements under the bonus depreciation provisions of the Internal Revenue Code. Under the Tax Cuts and Jobs Act of 2017, taxpayers were permitted to claim 100% bonus depreciation for property acquired and placed in service after September 27, 2017 and before January 1, 2023 (with an additional year for certain property), with the deduction scheduled to phase down for property placed in service from 2023 through 2026. Subsequent legislation enacted in 2025 reinstated and made permanent 100% bonus depreciation for qualified property acquired and placed in service on or after January 19, 2025, subject to applicable acquisition and placed-in-service requirements.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 Taxation</w:t>
      </w:r>
    </w:p>
    <w:p>
      <w:pPr>
        <w:spacing w:after="0" w:line="200"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Pathfinder Bancorp, Inc., Pathfinder Bank, Whispering Oaks, and Pathfinder Risk Management Corporation report income on a combined basis to New York State. The New York State franchise tax is imposed in an amount equal to the greater of 6.5% of Business Income for companies with a Business Income Base up to $5 million, or 7.25% for companies with a Business Income Base greater than $5 million, 0.1875% of average Business Capital, or a fixed dollar amount based on New York sourced gross receipts.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 / 59</w:t>
      </w:r>
    </w:p>
    <w:p>
      <w:pPr>
        <w:sectPr>
          <w:pgSz w:w="11900" w:h="16838" w:orient="portrait"/>
          <w:cols w:equalWidth="0" w:num="1">
            <w:col w:w="9340"/>
          </w:cols>
          <w:pgMar w:left="1260" w:top="1173" w:right="1306" w:bottom="0"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As a Maryland business corporation, the Company is required to file an annual report with, and pay franchise taxes to, the State of Maryland.</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HUMAN CAPITAL RESOURCES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Mission</w:t>
      </w:r>
    </w:p>
    <w:p>
      <w:pPr>
        <w:spacing w:after="0" w:line="200" w:lineRule="exact"/>
        <w:rPr>
          <w:sz w:val="20"/>
          <w:szCs w:val="20"/>
          <w:color w:val="auto"/>
        </w:rPr>
      </w:pPr>
    </w:p>
    <w:p>
      <w:pPr>
        <w:jc w:val="both"/>
        <w:ind w:right="60"/>
        <w:spacing w:after="0" w:line="355" w:lineRule="auto"/>
        <w:rPr>
          <w:sz w:val="20"/>
          <w:szCs w:val="20"/>
          <w:color w:val="auto"/>
        </w:rPr>
      </w:pPr>
      <w:r>
        <w:rPr>
          <w:rFonts w:ascii="Arial" w:cs="Arial" w:eastAsia="Arial" w:hAnsi="Arial"/>
          <w:sz w:val="18"/>
          <w:szCs w:val="18"/>
          <w:color w:val="auto"/>
        </w:rPr>
        <w:t>Our Mission, which is thoroughly communicated to all of our team members, is “To foster relationships with individuals and businesses within our communities to be the financial provider of choice. Our goal is to continually enhance the value of the Bank for the benefit of our shareholders, customers, employees and communities.”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Values</w:t>
      </w:r>
    </w:p>
    <w:p>
      <w:pPr>
        <w:spacing w:after="0" w:line="200"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Our workplace culture is grounded in our customer and employee value proposition. We have adopted a formally-stated set of Values, which are also ingrained in our human capital resource management programs. These Values state that we are:</w:t>
      </w:r>
    </w:p>
    <w:p>
      <w:pPr>
        <w:spacing w:after="0" w:line="173"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Competent Professionals</w:t>
      </w:r>
    </w:p>
    <w:p>
      <w:pPr>
        <w:spacing w:after="0" w:line="130" w:lineRule="exact"/>
        <w:rPr>
          <w:rFonts w:ascii="Arial" w:cs="Arial" w:eastAsia="Arial" w:hAnsi="Arial"/>
          <w:sz w:val="20"/>
          <w:szCs w:val="20"/>
          <w:color w:val="auto"/>
        </w:rPr>
      </w:pPr>
    </w:p>
    <w:p>
      <w:pPr>
        <w:ind w:left="660" w:hanging="314"/>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Service-Driven</w:t>
      </w:r>
    </w:p>
    <w:p>
      <w:pPr>
        <w:spacing w:after="0" w:line="130" w:lineRule="exact"/>
        <w:rPr>
          <w:rFonts w:ascii="Arial" w:cs="Arial" w:eastAsia="Arial" w:hAnsi="Arial"/>
          <w:sz w:val="20"/>
          <w:szCs w:val="20"/>
          <w:color w:val="auto"/>
        </w:rPr>
      </w:pPr>
    </w:p>
    <w:p>
      <w:pPr>
        <w:ind w:left="660" w:hanging="314"/>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Family</w:t>
      </w:r>
    </w:p>
    <w:p>
      <w:pPr>
        <w:spacing w:after="0" w:line="130" w:lineRule="exact"/>
        <w:rPr>
          <w:rFonts w:ascii="Arial" w:cs="Arial" w:eastAsia="Arial" w:hAnsi="Arial"/>
          <w:sz w:val="20"/>
          <w:szCs w:val="20"/>
          <w:color w:val="auto"/>
        </w:rPr>
      </w:pPr>
    </w:p>
    <w:p>
      <w:pPr>
        <w:ind w:left="660" w:hanging="314"/>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Respectful</w:t>
      </w:r>
    </w:p>
    <w:p>
      <w:pPr>
        <w:spacing w:after="0" w:line="130" w:lineRule="exact"/>
        <w:rPr>
          <w:rFonts w:ascii="Arial" w:cs="Arial" w:eastAsia="Arial" w:hAnsi="Arial"/>
          <w:sz w:val="20"/>
          <w:szCs w:val="20"/>
          <w:color w:val="auto"/>
        </w:rPr>
      </w:pPr>
    </w:p>
    <w:p>
      <w:pPr>
        <w:ind w:left="660" w:hanging="314"/>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Compassionate</w:t>
      </w:r>
    </w:p>
    <w:p>
      <w:pPr>
        <w:spacing w:after="0" w:line="130" w:lineRule="exact"/>
        <w:rPr>
          <w:rFonts w:ascii="Arial" w:cs="Arial" w:eastAsia="Arial" w:hAnsi="Arial"/>
          <w:sz w:val="20"/>
          <w:szCs w:val="20"/>
          <w:color w:val="auto"/>
        </w:rPr>
      </w:pPr>
    </w:p>
    <w:p>
      <w:pPr>
        <w:ind w:left="660" w:hanging="314"/>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Proud</w:t>
      </w:r>
    </w:p>
    <w:p>
      <w:pPr>
        <w:spacing w:after="0" w:line="130" w:lineRule="exact"/>
        <w:rPr>
          <w:rFonts w:ascii="Arial" w:cs="Arial" w:eastAsia="Arial" w:hAnsi="Arial"/>
          <w:sz w:val="20"/>
          <w:szCs w:val="20"/>
          <w:color w:val="auto"/>
        </w:rPr>
      </w:pPr>
    </w:p>
    <w:p>
      <w:pPr>
        <w:ind w:left="660" w:hanging="314"/>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Honest</w:t>
      </w:r>
    </w:p>
    <w:p>
      <w:pPr>
        <w:spacing w:after="0" w:line="214"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Each of the Values, outlined above, are further defined in our internal communications, recognition programs, training programs and team-oriented activities.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200"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The success of our business is highly dependent on our team members, who provide value to our customers and communities through their dedication to our mission and values. We define, exemplify and foster our culture by the Values listed above. We value our team members by investing in a healthy work-life balance, competitive compensation and benefit packages, and a vibrant, team-oriented environment centered on professional service and open communication among team members. We strive to build and maintain a high-performing culture by creating a work environment that attracts and retains outstanding, engaged team members who embody our company mantra of "</w:t>
      </w:r>
      <w:r>
        <w:rPr>
          <w:rFonts w:ascii="Arial" w:cs="Arial" w:eastAsia="Arial" w:hAnsi="Arial"/>
          <w:sz w:val="20"/>
          <w:szCs w:val="20"/>
          <w:i w:val="1"/>
          <w:iCs w:val="1"/>
          <w:color w:val="auto"/>
        </w:rPr>
        <w:t>Local. Community. Trust.</w:t>
      </w:r>
      <w:r>
        <w:rPr>
          <w:rFonts w:ascii="Arial" w:cs="Arial" w:eastAsia="Arial" w:hAnsi="Arial"/>
          <w:sz w:val="20"/>
          <w:szCs w:val="20"/>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Demographics</w:t>
      </w:r>
    </w:p>
    <w:p>
      <w:pPr>
        <w:spacing w:after="0" w:line="200"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color w:val="auto"/>
        </w:rPr>
        <w:t>At December 31, 2025, we employed 187 team members, of which 179 were full-time, and 8 were part-time. Our staff is comprised of approximately 74% women. We continue to employ team members across our three-county footprint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68541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85415" cy="6350"/>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2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Date</w:t>
            </w:r>
          </w:p>
        </w:tc>
        <w:tc>
          <w:tcPr>
            <w:tcW w:w="2120" w:type="dxa"/>
            <w:vAlign w:val="bottom"/>
            <w:tcBorders>
              <w:bottom w:val="single" w:sz="8" w:color="CFF0FC"/>
            </w:tcBorders>
            <w:shd w:val="clear" w:color="auto" w:fill="CFF0FC"/>
          </w:tcPr>
          <w:p>
            <w:pPr>
              <w:jc w:val="center"/>
              <w:ind w:left="1040"/>
              <w:spacing w:after="0"/>
              <w:rPr>
                <w:sz w:val="20"/>
                <w:szCs w:val="20"/>
                <w:color w:val="auto"/>
              </w:rPr>
            </w:pPr>
            <w:r>
              <w:rPr>
                <w:rFonts w:ascii="Arial" w:cs="Arial" w:eastAsia="Arial" w:hAnsi="Arial"/>
                <w:sz w:val="20"/>
                <w:szCs w:val="20"/>
                <w:color w:val="auto"/>
                <w:w w:val="88"/>
              </w:rPr>
              <w:t>Headcount</w:t>
            </w:r>
          </w:p>
        </w:tc>
      </w:tr>
      <w:tr>
        <w:trPr>
          <w:trHeight w:val="274"/>
        </w:trPr>
        <w:tc>
          <w:tcPr>
            <w:tcW w:w="2100" w:type="dxa"/>
            <w:vAlign w:val="bottom"/>
          </w:tcPr>
          <w:p>
            <w:pPr>
              <w:spacing w:after="0"/>
              <w:rPr>
                <w:sz w:val="20"/>
                <w:szCs w:val="20"/>
                <w:color w:val="auto"/>
              </w:rPr>
            </w:pPr>
            <w:r>
              <w:rPr>
                <w:rFonts w:ascii="Arial" w:cs="Arial" w:eastAsia="Arial" w:hAnsi="Arial"/>
                <w:sz w:val="20"/>
                <w:szCs w:val="20"/>
                <w:color w:val="auto"/>
              </w:rPr>
              <w:t>12/31/2025</w:t>
            </w:r>
          </w:p>
        </w:tc>
        <w:tc>
          <w:tcPr>
            <w:tcW w:w="2120" w:type="dxa"/>
            <w:vAlign w:val="bottom"/>
          </w:tcPr>
          <w:p>
            <w:pPr>
              <w:jc w:val="center"/>
              <w:ind w:left="1040"/>
              <w:spacing w:after="0"/>
              <w:rPr>
                <w:sz w:val="20"/>
                <w:szCs w:val="20"/>
                <w:color w:val="auto"/>
              </w:rPr>
            </w:pPr>
            <w:r>
              <w:rPr>
                <w:rFonts w:ascii="Arial" w:cs="Arial" w:eastAsia="Arial" w:hAnsi="Arial"/>
                <w:sz w:val="20"/>
                <w:szCs w:val="20"/>
                <w:color w:val="auto"/>
                <w:w w:val="89"/>
              </w:rPr>
              <w:t>187</w:t>
            </w:r>
          </w:p>
        </w:tc>
      </w:tr>
      <w:tr>
        <w:trPr>
          <w:trHeight w:val="41"/>
        </w:trPr>
        <w:tc>
          <w:tcPr>
            <w:tcW w:w="210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94"/>
        </w:trPr>
        <w:tc>
          <w:tcPr>
            <w:tcW w:w="2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12/31/2024</w:t>
            </w:r>
          </w:p>
        </w:tc>
        <w:tc>
          <w:tcPr>
            <w:tcW w:w="2120" w:type="dxa"/>
            <w:vAlign w:val="bottom"/>
            <w:tcBorders>
              <w:bottom w:val="single" w:sz="8" w:color="CFF0FC"/>
            </w:tcBorders>
            <w:shd w:val="clear" w:color="auto" w:fill="CFF0FC"/>
          </w:tcPr>
          <w:p>
            <w:pPr>
              <w:jc w:val="center"/>
              <w:ind w:left="1040"/>
              <w:spacing w:after="0"/>
              <w:rPr>
                <w:sz w:val="20"/>
                <w:szCs w:val="20"/>
                <w:color w:val="auto"/>
              </w:rPr>
            </w:pPr>
            <w:r>
              <w:rPr>
                <w:rFonts w:ascii="Arial" w:cs="Arial" w:eastAsia="Arial" w:hAnsi="Arial"/>
                <w:sz w:val="20"/>
                <w:szCs w:val="20"/>
                <w:color w:val="auto"/>
                <w:w w:val="89"/>
              </w:rPr>
              <w:t>186</w:t>
            </w:r>
          </w:p>
        </w:tc>
      </w:tr>
      <w:tr>
        <w:trPr>
          <w:trHeight w:val="274"/>
        </w:trPr>
        <w:tc>
          <w:tcPr>
            <w:tcW w:w="2100" w:type="dxa"/>
            <w:vAlign w:val="bottom"/>
          </w:tcPr>
          <w:p>
            <w:pPr>
              <w:spacing w:after="0"/>
              <w:rPr>
                <w:sz w:val="20"/>
                <w:szCs w:val="20"/>
                <w:color w:val="auto"/>
              </w:rPr>
            </w:pPr>
            <w:r>
              <w:rPr>
                <w:rFonts w:ascii="Arial" w:cs="Arial" w:eastAsia="Arial" w:hAnsi="Arial"/>
                <w:sz w:val="20"/>
                <w:szCs w:val="20"/>
                <w:color w:val="auto"/>
              </w:rPr>
              <w:t>12/31/2023</w:t>
            </w:r>
          </w:p>
        </w:tc>
        <w:tc>
          <w:tcPr>
            <w:tcW w:w="2120" w:type="dxa"/>
            <w:vAlign w:val="bottom"/>
          </w:tcPr>
          <w:p>
            <w:pPr>
              <w:jc w:val="center"/>
              <w:ind w:left="1040"/>
              <w:spacing w:after="0"/>
              <w:rPr>
                <w:sz w:val="20"/>
                <w:szCs w:val="20"/>
                <w:color w:val="auto"/>
              </w:rPr>
            </w:pPr>
            <w:r>
              <w:rPr>
                <w:rFonts w:ascii="Arial" w:cs="Arial" w:eastAsia="Arial" w:hAnsi="Arial"/>
                <w:sz w:val="20"/>
                <w:szCs w:val="20"/>
                <w:color w:val="auto"/>
                <w:w w:val="89"/>
              </w:rPr>
              <w:t>174</w:t>
            </w:r>
          </w:p>
        </w:tc>
      </w:tr>
      <w:tr>
        <w:trPr>
          <w:trHeight w:val="41"/>
        </w:trPr>
        <w:tc>
          <w:tcPr>
            <w:tcW w:w="210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74"/>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12/31/2022</w:t>
            </w:r>
          </w:p>
        </w:tc>
        <w:tc>
          <w:tcPr>
            <w:tcW w:w="2120" w:type="dxa"/>
            <w:vAlign w:val="bottom"/>
            <w:shd w:val="clear" w:color="auto" w:fill="CFF0FC"/>
          </w:tcPr>
          <w:p>
            <w:pPr>
              <w:jc w:val="center"/>
              <w:ind w:left="1040"/>
              <w:spacing w:after="0"/>
              <w:rPr>
                <w:sz w:val="20"/>
                <w:szCs w:val="20"/>
                <w:color w:val="auto"/>
              </w:rPr>
            </w:pPr>
            <w:r>
              <w:rPr>
                <w:rFonts w:ascii="Arial" w:cs="Arial" w:eastAsia="Arial" w:hAnsi="Arial"/>
                <w:sz w:val="20"/>
                <w:szCs w:val="20"/>
                <w:color w:val="auto"/>
                <w:w w:val="89"/>
              </w:rPr>
              <w:t>174</w:t>
            </w:r>
          </w:p>
        </w:tc>
      </w:tr>
      <w:tr>
        <w:trPr>
          <w:trHeight w:val="41"/>
        </w:trPr>
        <w:tc>
          <w:tcPr>
            <w:tcW w:w="2100" w:type="dxa"/>
            <w:vAlign w:val="bottom"/>
            <w:shd w:val="clear" w:color="auto" w:fill="CFF0FC"/>
          </w:tcPr>
          <w:p>
            <w:pPr>
              <w:spacing w:after="0"/>
              <w:rPr>
                <w:sz w:val="3"/>
                <w:szCs w:val="3"/>
                <w:color w:val="auto"/>
              </w:rPr>
            </w:pPr>
          </w:p>
        </w:tc>
        <w:tc>
          <w:tcPr>
            <w:tcW w:w="21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-804545</wp:posOffset>
            </wp:positionV>
            <wp:extent cx="268541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8541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59</w:t>
      </w:r>
    </w:p>
    <w:p>
      <w:pPr>
        <w:sectPr>
          <w:pgSz w:w="11900" w:h="16838" w:orient="portrait"/>
          <w:cols w:equalWidth="0" w:num="1">
            <w:col w:w="9400"/>
          </w:cols>
          <w:pgMar w:left="1260" w:top="1440" w:right="1246" w:bottom="0" w:gutter="0" w:footer="0" w:header="0"/>
          <w:type w:val="continuous"/>
        </w:sectPr>
      </w:pPr>
    </w:p>
    <w:bookmarkStart w:id="41" w:name="page42"/>
    <w:bookmarkEnd w:id="41"/>
    <w:p>
      <w:pPr>
        <w:spacing w:after="0"/>
        <w:tabs>
          <w:tab w:leader="none" w:pos="3560" w:val="left"/>
        </w:tabs>
        <w:rPr>
          <w:sz w:val="20"/>
          <w:szCs w:val="20"/>
          <w:color w:val="auto"/>
        </w:rPr>
      </w:pPr>
      <w:r>
        <w:rPr>
          <w:rFonts w:ascii="Arial" w:cs="Arial" w:eastAsia="Arial" w:hAnsi="Arial"/>
          <w:sz w:val="20"/>
          <w:szCs w:val="20"/>
          <w:color w:val="auto"/>
        </w:rPr>
        <w:t>12/31/2021</w:t>
      </w:r>
      <w:r>
        <w:rPr>
          <w:sz w:val="20"/>
          <w:szCs w:val="20"/>
          <w:color w:val="auto"/>
        </w:rPr>
        <w:tab/>
      </w:r>
      <w:r>
        <w:rPr>
          <w:rFonts w:ascii="Arial" w:cs="Arial" w:eastAsia="Arial" w:hAnsi="Arial"/>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68541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5415" cy="6350"/>
                    </a:xfrm>
                    <a:prstGeom prst="rect">
                      <a:avLst/>
                    </a:prstGeom>
                    <a:noFill/>
                  </pic:spPr>
                </pic:pic>
              </a:graphicData>
            </a:graphic>
          </wp:anchor>
        </w:drawing>
      </w:r>
    </w:p>
    <w:p>
      <w:pPr>
        <w:spacing w:after="0" w:line="31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At December 31, 2025, approximately 47% of our staff was employed at our bank branch and loan production offices, with the remainder of our team employed within all other functional areas, including our customer-facing electronic commerce and call center units. None of these employees are represented by a collective bargaining agreement and management considers its relationship with employees to be good. During fiscal year 2025, we hired 55 employees, of which 47 were full-time, four were part-time, one was temporary, and three were interns. Our voluntary turnover rates for the previous five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268541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5415" cy="635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20"/>
                <w:szCs w:val="20"/>
                <w:color w:val="auto"/>
              </w:rPr>
              <w:t>Year</w:t>
            </w:r>
          </w:p>
        </w:tc>
        <w:tc>
          <w:tcPr>
            <w:tcW w:w="3180" w:type="dxa"/>
            <w:vAlign w:val="bottom"/>
          </w:tcPr>
          <w:p>
            <w:pPr>
              <w:jc w:val="center"/>
              <w:spacing w:after="0"/>
              <w:rPr>
                <w:sz w:val="20"/>
                <w:szCs w:val="20"/>
                <w:color w:val="auto"/>
              </w:rPr>
            </w:pPr>
            <w:r>
              <w:rPr>
                <w:rFonts w:ascii="Arial" w:cs="Arial" w:eastAsia="Arial" w:hAnsi="Arial"/>
                <w:sz w:val="20"/>
                <w:szCs w:val="20"/>
                <w:color w:val="auto"/>
                <w:w w:val="94"/>
              </w:rPr>
              <w:t>Voluntary Turnover %</w:t>
            </w:r>
          </w:p>
        </w:tc>
      </w:tr>
      <w:tr>
        <w:trPr>
          <w:trHeight w:val="324"/>
        </w:trPr>
        <w:tc>
          <w:tcPr>
            <w:tcW w:w="1040" w:type="dxa"/>
            <w:vAlign w:val="bottom"/>
          </w:tcPr>
          <w:p>
            <w:pPr>
              <w:spacing w:after="0"/>
              <w:rPr>
                <w:sz w:val="20"/>
                <w:szCs w:val="20"/>
                <w:color w:val="auto"/>
              </w:rPr>
            </w:pPr>
            <w:r>
              <w:rPr>
                <w:rFonts w:ascii="Arial" w:cs="Arial" w:eastAsia="Arial" w:hAnsi="Arial"/>
                <w:sz w:val="20"/>
                <w:szCs w:val="20"/>
                <w:color w:val="auto"/>
              </w:rPr>
              <w:t>2025</w:t>
            </w:r>
          </w:p>
        </w:tc>
        <w:tc>
          <w:tcPr>
            <w:tcW w:w="3180" w:type="dxa"/>
            <w:vAlign w:val="bottom"/>
          </w:tcPr>
          <w:p>
            <w:pPr>
              <w:jc w:val="center"/>
              <w:spacing w:after="0"/>
              <w:rPr>
                <w:sz w:val="20"/>
                <w:szCs w:val="20"/>
                <w:color w:val="auto"/>
              </w:rPr>
            </w:pPr>
            <w:r>
              <w:rPr>
                <w:rFonts w:ascii="Arial" w:cs="Arial" w:eastAsia="Arial" w:hAnsi="Arial"/>
                <w:sz w:val="20"/>
                <w:szCs w:val="20"/>
                <w:color w:val="auto"/>
                <w:w w:val="88"/>
              </w:rPr>
              <w:t>17.0%</w:t>
            </w:r>
          </w:p>
        </w:tc>
      </w:tr>
      <w:tr>
        <w:trPr>
          <w:trHeight w:val="41"/>
        </w:trPr>
        <w:tc>
          <w:tcPr>
            <w:tcW w:w="1040" w:type="dxa"/>
            <w:vAlign w:val="bottom"/>
          </w:tcPr>
          <w:p>
            <w:pPr>
              <w:spacing w:after="0"/>
              <w:rPr>
                <w:sz w:val="3"/>
                <w:szCs w:val="3"/>
                <w:color w:val="auto"/>
              </w:rPr>
            </w:pPr>
          </w:p>
        </w:tc>
        <w:tc>
          <w:tcPr>
            <w:tcW w:w="3180" w:type="dxa"/>
            <w:vAlign w:val="bottom"/>
          </w:tcPr>
          <w:p>
            <w:pPr>
              <w:spacing w:after="0"/>
              <w:rPr>
                <w:sz w:val="3"/>
                <w:szCs w:val="3"/>
                <w:color w:val="auto"/>
              </w:rPr>
            </w:pPr>
          </w:p>
        </w:tc>
      </w:tr>
      <w:tr>
        <w:trPr>
          <w:trHeight w:val="294"/>
        </w:trPr>
        <w:tc>
          <w:tcPr>
            <w:tcW w:w="1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2024</w:t>
            </w:r>
          </w:p>
        </w:tc>
        <w:tc>
          <w:tcPr>
            <w:tcW w:w="3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8"/>
              </w:rPr>
              <w:t>23.7%</w:t>
            </w:r>
          </w:p>
        </w:tc>
      </w:tr>
      <w:tr>
        <w:trPr>
          <w:trHeight w:val="274"/>
        </w:trPr>
        <w:tc>
          <w:tcPr>
            <w:tcW w:w="1040" w:type="dxa"/>
            <w:vAlign w:val="bottom"/>
          </w:tcPr>
          <w:p>
            <w:pPr>
              <w:spacing w:after="0"/>
              <w:rPr>
                <w:sz w:val="20"/>
                <w:szCs w:val="20"/>
                <w:color w:val="auto"/>
              </w:rPr>
            </w:pPr>
            <w:r>
              <w:rPr>
                <w:rFonts w:ascii="Arial" w:cs="Arial" w:eastAsia="Arial" w:hAnsi="Arial"/>
                <w:sz w:val="20"/>
                <w:szCs w:val="20"/>
                <w:color w:val="auto"/>
              </w:rPr>
              <w:t>2023</w:t>
            </w:r>
          </w:p>
        </w:tc>
        <w:tc>
          <w:tcPr>
            <w:tcW w:w="3180" w:type="dxa"/>
            <w:vAlign w:val="bottom"/>
          </w:tcPr>
          <w:p>
            <w:pPr>
              <w:jc w:val="center"/>
              <w:spacing w:after="0"/>
              <w:rPr>
                <w:sz w:val="20"/>
                <w:szCs w:val="20"/>
                <w:color w:val="auto"/>
              </w:rPr>
            </w:pPr>
            <w:r>
              <w:rPr>
                <w:rFonts w:ascii="Arial" w:cs="Arial" w:eastAsia="Arial" w:hAnsi="Arial"/>
                <w:sz w:val="20"/>
                <w:szCs w:val="20"/>
                <w:color w:val="auto"/>
                <w:w w:val="88"/>
              </w:rPr>
              <w:t>23.4%</w:t>
            </w:r>
          </w:p>
        </w:tc>
      </w:tr>
      <w:tr>
        <w:trPr>
          <w:trHeight w:val="41"/>
        </w:trPr>
        <w:tc>
          <w:tcPr>
            <w:tcW w:w="1040" w:type="dxa"/>
            <w:vAlign w:val="bottom"/>
          </w:tcPr>
          <w:p>
            <w:pPr>
              <w:spacing w:after="0"/>
              <w:rPr>
                <w:sz w:val="3"/>
                <w:szCs w:val="3"/>
                <w:color w:val="auto"/>
              </w:rPr>
            </w:pPr>
          </w:p>
        </w:tc>
        <w:tc>
          <w:tcPr>
            <w:tcW w:w="3180" w:type="dxa"/>
            <w:vAlign w:val="bottom"/>
          </w:tcPr>
          <w:p>
            <w:pPr>
              <w:spacing w:after="0"/>
              <w:rPr>
                <w:sz w:val="3"/>
                <w:szCs w:val="3"/>
                <w:color w:val="auto"/>
              </w:rPr>
            </w:pPr>
          </w:p>
        </w:tc>
      </w:tr>
      <w:tr>
        <w:trPr>
          <w:trHeight w:val="294"/>
        </w:trPr>
        <w:tc>
          <w:tcPr>
            <w:tcW w:w="1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2022</w:t>
            </w:r>
          </w:p>
        </w:tc>
        <w:tc>
          <w:tcPr>
            <w:tcW w:w="3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8"/>
              </w:rPr>
              <w:t>25.0%</w:t>
            </w:r>
          </w:p>
        </w:tc>
      </w:tr>
      <w:tr>
        <w:trPr>
          <w:trHeight w:val="274"/>
        </w:trPr>
        <w:tc>
          <w:tcPr>
            <w:tcW w:w="1040" w:type="dxa"/>
            <w:vAlign w:val="bottom"/>
          </w:tcPr>
          <w:p>
            <w:pPr>
              <w:spacing w:after="0"/>
              <w:rPr>
                <w:sz w:val="20"/>
                <w:szCs w:val="20"/>
                <w:color w:val="auto"/>
              </w:rPr>
            </w:pPr>
            <w:r>
              <w:rPr>
                <w:rFonts w:ascii="Arial" w:cs="Arial" w:eastAsia="Arial" w:hAnsi="Arial"/>
                <w:sz w:val="20"/>
                <w:szCs w:val="20"/>
                <w:color w:val="auto"/>
              </w:rPr>
              <w:t>2021</w:t>
            </w:r>
          </w:p>
        </w:tc>
        <w:tc>
          <w:tcPr>
            <w:tcW w:w="3180" w:type="dxa"/>
            <w:vAlign w:val="bottom"/>
          </w:tcPr>
          <w:p>
            <w:pPr>
              <w:jc w:val="center"/>
              <w:spacing w:after="0"/>
              <w:rPr>
                <w:sz w:val="20"/>
                <w:szCs w:val="20"/>
                <w:color w:val="auto"/>
              </w:rPr>
            </w:pPr>
            <w:r>
              <w:rPr>
                <w:rFonts w:ascii="Arial" w:cs="Arial" w:eastAsia="Arial" w:hAnsi="Arial"/>
                <w:sz w:val="20"/>
                <w:szCs w:val="20"/>
                <w:color w:val="auto"/>
                <w:w w:val="88"/>
              </w:rPr>
              <w:t>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-977900</wp:posOffset>
            </wp:positionV>
            <wp:extent cx="268541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54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268541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5415" cy="63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42 / 59</w:t>
      </w:r>
    </w:p>
    <w:p>
      <w:pPr>
        <w:sectPr>
          <w:pgSz w:w="11900" w:h="16838" w:orient="portrait"/>
          <w:cols w:equalWidth="0" w:num="1">
            <w:col w:w="9340"/>
          </w:cols>
          <w:pgMar w:left="1260" w:top="1177" w:right="1306" w:bottom="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Culture</w:t>
      </w:r>
    </w:p>
    <w:p>
      <w:pPr>
        <w:spacing w:after="0" w:line="200"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An open-minded community that engages excellence is fundamental to supporting the Pathfinder Bank vision to be a local bank that the community trusts. The communities in which we serve include persons of various race, ethnicity, gender, sexual orientation, socio-economic status, age, physical and cognitive ability, religion and political belief. We are committed to valuing and sharing the strength of our differences in a safe and positive environment, while maintaining selection and promotion processes that are without bias.</w:t>
      </w:r>
    </w:p>
    <w:p>
      <w:pPr>
        <w:spacing w:after="0" w:line="111"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This commitment is essential to reflecting the values of our team members and the society we serve today. It makes business sense because it helps us to attract and retain the best talent, it enables us to understand and meet clients' needs more effectively and thus provide a better quality service. We continue our commitment to equal employment opportunity through a robust anti-discrimination plan, which includes annual compensation analyses and ongoing reviews of our selection and hiring practices.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For the year 2025, the population of our workforce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268541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5415" cy="635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20"/>
                <w:szCs w:val="20"/>
                <w:color w:val="auto"/>
              </w:rPr>
              <w:t>Ethnicity</w:t>
            </w:r>
          </w:p>
        </w:tc>
        <w:tc>
          <w:tcPr>
            <w:tcW w:w="1080" w:type="dxa"/>
            <w:vAlign w:val="bottom"/>
          </w:tcPr>
          <w:p>
            <w:pPr>
              <w:jc w:val="center"/>
              <w:spacing w:after="0"/>
              <w:rPr>
                <w:sz w:val="20"/>
                <w:szCs w:val="20"/>
                <w:color w:val="auto"/>
              </w:rPr>
            </w:pPr>
            <w:r>
              <w:rPr>
                <w:rFonts w:ascii="Arial" w:cs="Arial" w:eastAsia="Arial" w:hAnsi="Arial"/>
                <w:sz w:val="20"/>
                <w:szCs w:val="20"/>
                <w:color w:val="auto"/>
                <w:w w:val="89"/>
              </w:rPr>
              <w:t>%</w:t>
            </w:r>
          </w:p>
        </w:tc>
      </w:tr>
      <w:tr>
        <w:trPr>
          <w:trHeight w:val="51"/>
        </w:trPr>
        <w:tc>
          <w:tcPr>
            <w:tcW w:w="3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80"/>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American Indian or Alaska Native</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0.5%</w:t>
            </w:r>
          </w:p>
        </w:tc>
      </w:tr>
      <w:tr>
        <w:trPr>
          <w:trHeight w:val="259"/>
        </w:trPr>
        <w:tc>
          <w:tcPr>
            <w:tcW w:w="3140" w:type="dxa"/>
            <w:vAlign w:val="bottom"/>
          </w:tcPr>
          <w:p>
            <w:pPr>
              <w:spacing w:after="0"/>
              <w:rPr>
                <w:sz w:val="20"/>
                <w:szCs w:val="20"/>
                <w:color w:val="auto"/>
              </w:rPr>
            </w:pPr>
            <w:r>
              <w:rPr>
                <w:rFonts w:ascii="Arial" w:cs="Arial" w:eastAsia="Arial" w:hAnsi="Arial"/>
                <w:sz w:val="20"/>
                <w:szCs w:val="20"/>
                <w:color w:val="auto"/>
              </w:rPr>
              <w:t>Asian</w:t>
            </w:r>
          </w:p>
        </w:tc>
        <w:tc>
          <w:tcPr>
            <w:tcW w:w="1080" w:type="dxa"/>
            <w:vAlign w:val="bottom"/>
          </w:tcPr>
          <w:p>
            <w:pPr>
              <w:jc w:val="center"/>
              <w:spacing w:after="0"/>
              <w:rPr>
                <w:sz w:val="20"/>
                <w:szCs w:val="20"/>
                <w:color w:val="auto"/>
              </w:rPr>
            </w:pPr>
            <w:r>
              <w:rPr>
                <w:rFonts w:ascii="Arial" w:cs="Arial" w:eastAsia="Arial" w:hAnsi="Arial"/>
                <w:sz w:val="20"/>
                <w:szCs w:val="20"/>
                <w:color w:val="auto"/>
                <w:w w:val="87"/>
              </w:rPr>
              <w:t>1.6%</w:t>
            </w:r>
          </w:p>
        </w:tc>
      </w:tr>
      <w:tr>
        <w:trPr>
          <w:trHeight w:val="41"/>
        </w:trPr>
        <w:tc>
          <w:tcPr>
            <w:tcW w:w="3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0"/>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Black or African American</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0.5%</w:t>
            </w:r>
          </w:p>
        </w:tc>
      </w:tr>
      <w:tr>
        <w:trPr>
          <w:trHeight w:val="259"/>
        </w:trPr>
        <w:tc>
          <w:tcPr>
            <w:tcW w:w="3140" w:type="dxa"/>
            <w:vAlign w:val="bottom"/>
          </w:tcPr>
          <w:p>
            <w:pPr>
              <w:spacing w:after="0"/>
              <w:rPr>
                <w:sz w:val="20"/>
                <w:szCs w:val="20"/>
                <w:color w:val="auto"/>
              </w:rPr>
            </w:pPr>
            <w:r>
              <w:rPr>
                <w:rFonts w:ascii="Arial" w:cs="Arial" w:eastAsia="Arial" w:hAnsi="Arial"/>
                <w:sz w:val="20"/>
                <w:szCs w:val="20"/>
                <w:color w:val="auto"/>
              </w:rPr>
              <w:t>Hispanic or Latino</w:t>
            </w:r>
          </w:p>
        </w:tc>
        <w:tc>
          <w:tcPr>
            <w:tcW w:w="1080" w:type="dxa"/>
            <w:vAlign w:val="bottom"/>
          </w:tcPr>
          <w:p>
            <w:pPr>
              <w:jc w:val="center"/>
              <w:spacing w:after="0"/>
              <w:rPr>
                <w:sz w:val="20"/>
                <w:szCs w:val="20"/>
                <w:color w:val="auto"/>
              </w:rPr>
            </w:pPr>
            <w:r>
              <w:rPr>
                <w:rFonts w:ascii="Arial" w:cs="Arial" w:eastAsia="Arial" w:hAnsi="Arial"/>
                <w:sz w:val="20"/>
                <w:szCs w:val="20"/>
                <w:color w:val="auto"/>
                <w:w w:val="87"/>
              </w:rPr>
              <w:t>2.1%</w:t>
            </w:r>
          </w:p>
        </w:tc>
      </w:tr>
      <w:tr>
        <w:trPr>
          <w:trHeight w:val="41"/>
        </w:trPr>
        <w:tc>
          <w:tcPr>
            <w:tcW w:w="3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9"/>
        </w:trPr>
        <w:tc>
          <w:tcPr>
            <w:tcW w:w="3140" w:type="dxa"/>
            <w:vAlign w:val="bottom"/>
            <w:shd w:val="clear" w:color="auto" w:fill="CFF0FC"/>
          </w:tcPr>
          <w:p>
            <w:pPr>
              <w:spacing w:after="0"/>
              <w:rPr>
                <w:sz w:val="20"/>
                <w:szCs w:val="20"/>
                <w:color w:val="auto"/>
              </w:rPr>
            </w:pPr>
            <w:r>
              <w:rPr>
                <w:rFonts w:ascii="Arial" w:cs="Arial" w:eastAsia="Arial" w:hAnsi="Arial"/>
                <w:sz w:val="20"/>
                <w:szCs w:val="20"/>
                <w:color w:val="auto"/>
                <w:w w:val="98"/>
              </w:rPr>
              <w:t>Two or more races (Not Hispanic or</w:t>
            </w:r>
          </w:p>
        </w:tc>
        <w:tc>
          <w:tcPr>
            <w:tcW w:w="1080" w:type="dxa"/>
            <w:vAlign w:val="bottom"/>
            <w:shd w:val="clear" w:color="auto" w:fill="CFF0FC"/>
          </w:tcPr>
          <w:p>
            <w:pPr>
              <w:spacing w:after="0"/>
              <w:rPr>
                <w:sz w:val="22"/>
                <w:szCs w:val="22"/>
                <w:color w:val="auto"/>
              </w:rPr>
            </w:pPr>
          </w:p>
        </w:tc>
      </w:tr>
      <w:tr>
        <w:trPr>
          <w:trHeight w:val="321"/>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Latino)</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0.5%</w:t>
            </w:r>
          </w:p>
        </w:tc>
      </w:tr>
      <w:tr>
        <w:trPr>
          <w:trHeight w:val="259"/>
        </w:trPr>
        <w:tc>
          <w:tcPr>
            <w:tcW w:w="3140" w:type="dxa"/>
            <w:vAlign w:val="bottom"/>
          </w:tcPr>
          <w:p>
            <w:pPr>
              <w:spacing w:after="0"/>
              <w:rPr>
                <w:sz w:val="20"/>
                <w:szCs w:val="20"/>
                <w:color w:val="auto"/>
              </w:rPr>
            </w:pPr>
            <w:r>
              <w:rPr>
                <w:rFonts w:ascii="Arial" w:cs="Arial" w:eastAsia="Arial" w:hAnsi="Arial"/>
                <w:sz w:val="20"/>
                <w:szCs w:val="20"/>
                <w:color w:val="auto"/>
              </w:rPr>
              <w:t>White</w:t>
            </w:r>
          </w:p>
        </w:tc>
        <w:tc>
          <w:tcPr>
            <w:tcW w:w="1080" w:type="dxa"/>
            <w:vAlign w:val="bottom"/>
          </w:tcPr>
          <w:p>
            <w:pPr>
              <w:jc w:val="center"/>
              <w:spacing w:after="0"/>
              <w:rPr>
                <w:sz w:val="20"/>
                <w:szCs w:val="20"/>
                <w:color w:val="auto"/>
              </w:rPr>
            </w:pPr>
            <w:r>
              <w:rPr>
                <w:rFonts w:ascii="Arial" w:cs="Arial" w:eastAsia="Arial" w:hAnsi="Arial"/>
                <w:sz w:val="20"/>
                <w:szCs w:val="20"/>
                <w:color w:val="auto"/>
                <w:w w:val="91"/>
              </w:rPr>
              <w:t>94.7%</w:t>
            </w:r>
          </w:p>
        </w:tc>
      </w:tr>
      <w:tr>
        <w:trPr>
          <w:trHeight w:val="650"/>
        </w:trPr>
        <w:tc>
          <w:tcPr>
            <w:tcW w:w="3140" w:type="dxa"/>
            <w:vAlign w:val="bottom"/>
          </w:tcPr>
          <w:p>
            <w:pPr>
              <w:spacing w:after="0"/>
              <w:rPr>
                <w:sz w:val="20"/>
                <w:szCs w:val="20"/>
                <w:color w:val="auto"/>
              </w:rPr>
            </w:pPr>
            <w:r>
              <w:rPr>
                <w:rFonts w:ascii="Arial" w:cs="Arial" w:eastAsia="Arial" w:hAnsi="Arial"/>
                <w:sz w:val="20"/>
                <w:szCs w:val="20"/>
                <w:color w:val="auto"/>
              </w:rPr>
              <w:t>Age Range</w:t>
            </w:r>
          </w:p>
        </w:tc>
        <w:tc>
          <w:tcPr>
            <w:tcW w:w="1080" w:type="dxa"/>
            <w:vAlign w:val="bottom"/>
          </w:tcPr>
          <w:p>
            <w:pPr>
              <w:ind w:left="300"/>
              <w:spacing w:after="0"/>
              <w:rPr>
                <w:sz w:val="20"/>
                <w:szCs w:val="20"/>
                <w:color w:val="auto"/>
              </w:rPr>
            </w:pPr>
            <w:r>
              <w:rPr>
                <w:rFonts w:ascii="Arial" w:cs="Arial" w:eastAsia="Arial" w:hAnsi="Arial"/>
                <w:sz w:val="20"/>
                <w:szCs w:val="20"/>
                <w:color w:val="auto"/>
              </w:rPr>
              <w:t>Total</w:t>
            </w:r>
          </w:p>
        </w:tc>
      </w:tr>
      <w:tr>
        <w:trPr>
          <w:trHeight w:val="51"/>
        </w:trPr>
        <w:tc>
          <w:tcPr>
            <w:tcW w:w="3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80"/>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18-25</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22</w:t>
            </w:r>
          </w:p>
        </w:tc>
      </w:tr>
      <w:tr>
        <w:trPr>
          <w:trHeight w:val="259"/>
        </w:trPr>
        <w:tc>
          <w:tcPr>
            <w:tcW w:w="3140" w:type="dxa"/>
            <w:vAlign w:val="bottom"/>
          </w:tcPr>
          <w:p>
            <w:pPr>
              <w:spacing w:after="0"/>
              <w:rPr>
                <w:sz w:val="20"/>
                <w:szCs w:val="20"/>
                <w:color w:val="auto"/>
              </w:rPr>
            </w:pPr>
            <w:r>
              <w:rPr>
                <w:rFonts w:ascii="Arial" w:cs="Arial" w:eastAsia="Arial" w:hAnsi="Arial"/>
                <w:sz w:val="20"/>
                <w:szCs w:val="20"/>
                <w:color w:val="auto"/>
              </w:rPr>
              <w:t>26-35</w:t>
            </w:r>
          </w:p>
        </w:tc>
        <w:tc>
          <w:tcPr>
            <w:tcW w:w="1080" w:type="dxa"/>
            <w:vAlign w:val="bottom"/>
          </w:tcPr>
          <w:p>
            <w:pPr>
              <w:jc w:val="center"/>
              <w:spacing w:after="0"/>
              <w:rPr>
                <w:sz w:val="20"/>
                <w:szCs w:val="20"/>
                <w:color w:val="auto"/>
              </w:rPr>
            </w:pPr>
            <w:r>
              <w:rPr>
                <w:rFonts w:ascii="Arial" w:cs="Arial" w:eastAsia="Arial" w:hAnsi="Arial"/>
                <w:sz w:val="20"/>
                <w:szCs w:val="20"/>
                <w:color w:val="auto"/>
                <w:w w:val="89"/>
              </w:rPr>
              <w:t>68</w:t>
            </w:r>
          </w:p>
        </w:tc>
      </w:tr>
      <w:tr>
        <w:trPr>
          <w:trHeight w:val="41"/>
        </w:trPr>
        <w:tc>
          <w:tcPr>
            <w:tcW w:w="3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0"/>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36-45</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46</w:t>
            </w:r>
          </w:p>
        </w:tc>
      </w:tr>
      <w:tr>
        <w:trPr>
          <w:trHeight w:val="259"/>
        </w:trPr>
        <w:tc>
          <w:tcPr>
            <w:tcW w:w="3140" w:type="dxa"/>
            <w:vAlign w:val="bottom"/>
          </w:tcPr>
          <w:p>
            <w:pPr>
              <w:spacing w:after="0"/>
              <w:rPr>
                <w:sz w:val="20"/>
                <w:szCs w:val="20"/>
                <w:color w:val="auto"/>
              </w:rPr>
            </w:pPr>
            <w:r>
              <w:rPr>
                <w:rFonts w:ascii="Arial" w:cs="Arial" w:eastAsia="Arial" w:hAnsi="Arial"/>
                <w:sz w:val="20"/>
                <w:szCs w:val="20"/>
                <w:color w:val="auto"/>
              </w:rPr>
              <w:t>46-55</w:t>
            </w:r>
          </w:p>
        </w:tc>
        <w:tc>
          <w:tcPr>
            <w:tcW w:w="1080" w:type="dxa"/>
            <w:vAlign w:val="bottom"/>
          </w:tcPr>
          <w:p>
            <w:pPr>
              <w:jc w:val="center"/>
              <w:spacing w:after="0"/>
              <w:rPr>
                <w:sz w:val="20"/>
                <w:szCs w:val="20"/>
                <w:color w:val="auto"/>
              </w:rPr>
            </w:pPr>
            <w:r>
              <w:rPr>
                <w:rFonts w:ascii="Arial" w:cs="Arial" w:eastAsia="Arial" w:hAnsi="Arial"/>
                <w:sz w:val="20"/>
                <w:szCs w:val="20"/>
                <w:color w:val="auto"/>
                <w:w w:val="89"/>
              </w:rPr>
              <w:t>24</w:t>
            </w:r>
          </w:p>
        </w:tc>
      </w:tr>
      <w:tr>
        <w:trPr>
          <w:trHeight w:val="41"/>
        </w:trPr>
        <w:tc>
          <w:tcPr>
            <w:tcW w:w="3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0"/>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56-65</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23</w:t>
            </w:r>
          </w:p>
        </w:tc>
      </w:tr>
      <w:tr>
        <w:trPr>
          <w:trHeight w:val="259"/>
        </w:trPr>
        <w:tc>
          <w:tcPr>
            <w:tcW w:w="3140" w:type="dxa"/>
            <w:vAlign w:val="bottom"/>
          </w:tcPr>
          <w:p>
            <w:pPr>
              <w:spacing w:after="0"/>
              <w:rPr>
                <w:sz w:val="20"/>
                <w:szCs w:val="20"/>
                <w:color w:val="auto"/>
              </w:rPr>
            </w:pPr>
            <w:r>
              <w:rPr>
                <w:rFonts w:ascii="Arial" w:cs="Arial" w:eastAsia="Arial" w:hAnsi="Arial"/>
                <w:sz w:val="20"/>
                <w:szCs w:val="20"/>
                <w:color w:val="auto"/>
              </w:rPr>
              <w:t>Over 65</w:t>
            </w:r>
          </w:p>
        </w:tc>
        <w:tc>
          <w:tcPr>
            <w:tcW w:w="1080" w:type="dxa"/>
            <w:vAlign w:val="bottom"/>
          </w:tcPr>
          <w:p>
            <w:pPr>
              <w:jc w:val="center"/>
              <w:spacing w:after="0"/>
              <w:rPr>
                <w:sz w:val="20"/>
                <w:szCs w:val="20"/>
                <w:color w:val="auto"/>
              </w:rPr>
            </w:pPr>
            <w:r>
              <w:rPr>
                <w:rFonts w:ascii="Arial" w:cs="Arial" w:eastAsia="Arial" w:hAnsi="Arial"/>
                <w:sz w:val="20"/>
                <w:szCs w:val="20"/>
                <w:color w:val="auto"/>
                <w:w w:val="89"/>
              </w:rPr>
              <w:t>4</w:t>
            </w:r>
          </w:p>
        </w:tc>
      </w:tr>
      <w:tr>
        <w:trPr>
          <w:trHeight w:val="51"/>
        </w:trPr>
        <w:tc>
          <w:tcPr>
            <w:tcW w:w="3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9"/>
        </w:trPr>
        <w:tc>
          <w:tcPr>
            <w:tcW w:w="3140" w:type="dxa"/>
            <w:vAlign w:val="bottom"/>
            <w:shd w:val="clear" w:color="auto" w:fill="CFF0FC"/>
          </w:tcPr>
          <w:p>
            <w:pPr>
              <w:spacing w:after="0"/>
              <w:rPr>
                <w:sz w:val="20"/>
                <w:szCs w:val="20"/>
                <w:color w:val="auto"/>
              </w:rPr>
            </w:pPr>
            <w:r>
              <w:rPr>
                <w:rFonts w:ascii="Arial" w:cs="Arial" w:eastAsia="Arial" w:hAnsi="Arial"/>
                <w:sz w:val="20"/>
                <w:szCs w:val="20"/>
                <w:color w:val="auto"/>
              </w:rPr>
              <w:t>Grand Total</w:t>
            </w:r>
          </w:p>
        </w:tc>
        <w:tc>
          <w:tcPr>
            <w:tcW w:w="10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187</w:t>
            </w:r>
          </w:p>
        </w:tc>
      </w:tr>
      <w:tr>
        <w:trPr>
          <w:trHeight w:val="86"/>
        </w:trPr>
        <w:tc>
          <w:tcPr>
            <w:tcW w:w="314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-3126740</wp:posOffset>
            </wp:positionV>
            <wp:extent cx="268541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54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-1786890</wp:posOffset>
            </wp:positionV>
            <wp:extent cx="268541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54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-1570990</wp:posOffset>
            </wp:positionV>
            <wp:extent cx="2685415" cy="203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5415" cy="203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-224790</wp:posOffset>
            </wp:positionV>
            <wp:extent cx="268541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54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2685415" cy="28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5415" cy="285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and Benefits</w:t>
      </w:r>
    </w:p>
    <w:p>
      <w:pPr>
        <w:spacing w:after="0" w:line="200"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We provide a competitive compensation and benefits program to help meet the needs of our team members. In addition to salaries, these programs include annual bonuses, stock awards, a 401(k) Plan with an employer matching contribution in addition to an employer-paid annual contribution, healthcare and other insurance benefits, health savings, flexible spending accounts, paid time off, family leave, identity theft protection, telemedicine service, and an employee assistance program, including mental health services. The Company has surveyed employees to determine their benefits program preferences and has made program changes accordingly.</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Learning and Development</w:t>
      </w:r>
    </w:p>
    <w:p>
      <w:pPr>
        <w:spacing w:after="0" w:line="200" w:lineRule="exact"/>
        <w:rPr>
          <w:sz w:val="20"/>
          <w:szCs w:val="20"/>
          <w:color w:val="auto"/>
        </w:rPr>
      </w:pPr>
    </w:p>
    <w:p>
      <w:pPr>
        <w:jc w:val="both"/>
        <w:ind w:right="20"/>
        <w:spacing w:after="0" w:line="355" w:lineRule="auto"/>
        <w:rPr>
          <w:sz w:val="20"/>
          <w:szCs w:val="20"/>
          <w:color w:val="auto"/>
        </w:rPr>
      </w:pPr>
      <w:r>
        <w:rPr>
          <w:rFonts w:ascii="Arial" w:cs="Arial" w:eastAsia="Arial" w:hAnsi="Arial"/>
          <w:sz w:val="18"/>
          <w:szCs w:val="18"/>
          <w:color w:val="auto"/>
        </w:rPr>
        <w:t>We invest in the growth and development of our team members by providing a multi-dimensional approach to learning that empowers, intellectually grows, and professionally develops our colleagues. We encourage and support the growth and development of our team members and, wherever possible, seek to fill positions by promotion and</w:t>
      </w:r>
    </w:p>
    <w:p>
      <w:pPr>
        <w:sectPr>
          <w:pgSz w:w="11900" w:h="16838" w:orient="portrait"/>
          <w:cols w:equalWidth="0" w:num="1">
            <w:col w:w="9360"/>
          </w:cols>
          <w:pgMar w:left="1260" w:top="1440" w:right="1286" w:bottom="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 / 59</w:t>
      </w:r>
    </w:p>
    <w:p>
      <w:pPr>
        <w:sectPr>
          <w:pgSz w:w="11900" w:h="16838" w:orient="portrait"/>
          <w:cols w:equalWidth="0" w:num="1">
            <w:col w:w="9360"/>
          </w:cols>
          <w:pgMar w:left="1260" w:top="1440" w:right="1286" w:bottom="0" w:gutter="0" w:footer="0" w:header="0"/>
          <w:type w:val="continuous"/>
        </w:sectPr>
      </w:pPr>
    </w:p>
    <w:bookmarkStart w:id="43" w:name="page44"/>
    <w:bookmarkEnd w:id="43"/>
    <w:p>
      <w:pPr>
        <w:jc w:val="both"/>
        <w:spacing w:after="0" w:line="350" w:lineRule="auto"/>
        <w:rPr>
          <w:sz w:val="20"/>
          <w:szCs w:val="20"/>
          <w:color w:val="auto"/>
        </w:rPr>
      </w:pPr>
      <w:r>
        <w:rPr>
          <w:rFonts w:ascii="Arial" w:cs="Arial" w:eastAsia="Arial" w:hAnsi="Arial"/>
          <w:sz w:val="18"/>
          <w:szCs w:val="18"/>
          <w:color w:val="auto"/>
        </w:rPr>
        <w:t>transfer from within the organization. Continual learning and career development is advanced through performance and development conversations between team members and their managers, internally developed training programs, customized corporate training engagements and educational reimbursement programs. Reimbursement is available to team members enrolled in pre-approved degree or certification programs at accredited institutions that teach skills or knowledge relevant to our business, in compliance with Section 127 of the Internal Revenue Code, and for seminars, conferences, and other training events team members attend in connection with their job duties.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Retention Efforts</w:t>
      </w:r>
    </w:p>
    <w:p>
      <w:pPr>
        <w:spacing w:after="0" w:line="200" w:lineRule="exact"/>
        <w:rPr>
          <w:sz w:val="20"/>
          <w:szCs w:val="20"/>
          <w:color w:val="auto"/>
        </w:rPr>
      </w:pPr>
    </w:p>
    <w:p>
      <w:pPr>
        <w:jc w:val="both"/>
        <w:ind w:right="20"/>
        <w:spacing w:after="0" w:line="351" w:lineRule="auto"/>
        <w:rPr>
          <w:sz w:val="20"/>
          <w:szCs w:val="20"/>
          <w:color w:val="auto"/>
        </w:rPr>
      </w:pPr>
      <w:r>
        <w:rPr>
          <w:rFonts w:ascii="Arial" w:cs="Arial" w:eastAsia="Arial" w:hAnsi="Arial"/>
          <w:sz w:val="18"/>
          <w:szCs w:val="18"/>
          <w:color w:val="auto"/>
        </w:rPr>
        <w:t>Employee retention helps us operate efficiently and achieve one of our business objectives. We believe our commitment to living out our core values, actively prioritizing concern for our team members’ well-being, supporting our team members’ career goals, offering competitive wages and providing valuable fringe benefits aids in retention of our top-performing team members. At December 31, 2025, 28.3% of our current staff had been with us for ten years or more. There is a team assigned to retention efforts as a strategic initiative for 2026 and forward.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 / 59</w:t>
      </w:r>
    </w:p>
    <w:p>
      <w:pPr>
        <w:sectPr>
          <w:pgSz w:w="11900" w:h="16838" w:orient="portrait"/>
          <w:cols w:equalWidth="0" w:num="1">
            <w:col w:w="9360"/>
          </w:cols>
          <w:pgMar w:left="1260" w:top="1173" w:right="1286" w:bottom="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1A: RISK FACTORS</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20"/>
          <w:szCs w:val="20"/>
          <w:color w:val="auto"/>
        </w:rPr>
        <w:t>Not required of a smaller reporting company.</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1B: UNRESOLVED STAFF COMMENTS</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20"/>
          <w:szCs w:val="20"/>
          <w:color w:val="auto"/>
        </w:rPr>
        <w:t>None.</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1C: CYBERSECURITY</w:t>
      </w:r>
    </w:p>
    <w:p>
      <w:pPr>
        <w:spacing w:after="0" w:line="200" w:lineRule="exact"/>
        <w:rPr>
          <w:sz w:val="20"/>
          <w:szCs w:val="20"/>
          <w:color w:val="auto"/>
        </w:rPr>
      </w:pPr>
    </w:p>
    <w:p>
      <w:pPr>
        <w:ind w:left="6" w:right="60"/>
        <w:spacing w:after="0" w:line="347" w:lineRule="auto"/>
        <w:rPr>
          <w:sz w:val="20"/>
          <w:szCs w:val="20"/>
          <w:color w:val="auto"/>
        </w:rPr>
      </w:pPr>
      <w:r>
        <w:rPr>
          <w:rFonts w:ascii="Arial" w:cs="Arial" w:eastAsia="Arial" w:hAnsi="Arial"/>
          <w:sz w:val="18"/>
          <w:szCs w:val="18"/>
          <w:color w:val="auto"/>
        </w:rPr>
        <w:t>The Company considers cybersecurity a subset of information security, and as such, cybersecurity risks and controls are assessed in our information security risk assessment and managed in our Information &amp; Cybersecurity Program</w:t>
      </w:r>
    </w:p>
    <w:p>
      <w:pPr>
        <w:spacing w:after="0" w:line="1" w:lineRule="exact"/>
        <w:rPr>
          <w:sz w:val="20"/>
          <w:szCs w:val="20"/>
          <w:color w:val="auto"/>
        </w:rPr>
      </w:pPr>
    </w:p>
    <w:p>
      <w:pPr>
        <w:jc w:val="both"/>
        <w:ind w:left="6" w:right="60" w:hanging="6"/>
        <w:spacing w:after="0" w:line="329" w:lineRule="auto"/>
        <w:tabs>
          <w:tab w:leader="none" w:pos="223" w:val="left"/>
        </w:tabs>
        <w:numPr>
          <w:ilvl w:val="0"/>
          <w:numId w:val="11"/>
        </w:numPr>
        <w:rPr>
          <w:rFonts w:ascii="Arial" w:cs="Arial" w:eastAsia="Arial" w:hAnsi="Arial"/>
          <w:sz w:val="19"/>
          <w:szCs w:val="19"/>
          <w:color w:val="auto"/>
        </w:rPr>
      </w:pPr>
      <w:r>
        <w:rPr>
          <w:rFonts w:ascii="Arial" w:cs="Arial" w:eastAsia="Arial" w:hAnsi="Arial"/>
          <w:sz w:val="19"/>
          <w:szCs w:val="19"/>
          <w:color w:val="auto"/>
        </w:rPr>
        <w:t>Policy ("ICPP"). The ICPP is developed and maintained utilizing the Federal Financial Institutions Examination Council ("FFIEC") Information Technology Examination Handbook, FDIC and NYSDFS guidance and regulations, and Gramm-Leach–Bliley Act, and represents the standards, policies, procedures, and guidelines defining the Company’s security requirements and related activities, which includes risk management and risk assessment practices. Management has designated the Information Security Officer ("ISO"), who has 16 years of experience, along with the Technology Steering Committee, with implementing and monitoring the ICPP. The Company’s Information Technology ("IT") department consists of the Chief Information Officer ("CIO"), who has 17 years of experience with the Company, and other key personnel who have years of experience and various certifications related to assessing and managing cybersecurity risk. Additionally, the Company has developed a comprehensive enterprise risk management program to monitor risks related to its operations, including cybersecurity risk, and the Company’s Chief Risk Officer has primary responsibility for the enterprise risk management program. Management also engages the services of third parties to assist the ISO with their tasks. The Company believes that risk management is a component of overall governance and that IT risk management is a component of overall risk management.</w:t>
      </w:r>
    </w:p>
    <w:p>
      <w:pPr>
        <w:spacing w:after="0" w:line="127" w:lineRule="exact"/>
        <w:rPr>
          <w:sz w:val="20"/>
          <w:szCs w:val="20"/>
          <w:color w:val="auto"/>
        </w:rPr>
      </w:pPr>
    </w:p>
    <w:p>
      <w:pPr>
        <w:ind w:left="6"/>
        <w:spacing w:after="0" w:line="347" w:lineRule="auto"/>
        <w:rPr>
          <w:sz w:val="20"/>
          <w:szCs w:val="20"/>
          <w:color w:val="auto"/>
        </w:rPr>
      </w:pPr>
      <w:r>
        <w:rPr>
          <w:rFonts w:ascii="Arial" w:cs="Arial" w:eastAsia="Arial" w:hAnsi="Arial"/>
          <w:sz w:val="18"/>
          <w:szCs w:val="18"/>
          <w:color w:val="auto"/>
        </w:rPr>
        <w:t>The Company recognizes that our overall security culture contributes to the effectiveness of our ICPP. The Company has developed an enterprise risk management program that identifies, prioritizes and provides a formal structure for the internal and external risks that impact the organization. The Board of Directors sets the tone and direction for the Company’s use of IT and has identified the Technology Steering Committee as having primary responsibility for oversight of the Company’s risk exposures and risk assessments and policies, including risks related to cybersecurity. The Board of Directors and Technology Steering Committee approve and periodically review and re-approve the policy and other IT related policies. While the Board of Directors may delegate the design, implementation, and monitoring of certain IT activities to the CIO or designee, the full Board of Directors remains responsible for overseeing IT strategies and policies, including cybersecurity. To help carry out their responsibilities, Directors, management, and all employees are periodically trained to understand IT activities and risks, including cybersecurity risks. Management, via the Technology Steering Committee and ISO, or combination, provides a</w:t>
      </w:r>
    </w:p>
    <w:p>
      <w:pPr>
        <w:spacing w:after="0" w:line="8" w:lineRule="exact"/>
        <w:rPr>
          <w:sz w:val="20"/>
          <w:szCs w:val="20"/>
          <w:color w:val="auto"/>
        </w:rPr>
      </w:pPr>
    </w:p>
    <w:p>
      <w:pPr>
        <w:ind w:left="6" w:right="60"/>
        <w:spacing w:after="0" w:line="309" w:lineRule="auto"/>
        <w:rPr>
          <w:sz w:val="20"/>
          <w:szCs w:val="20"/>
          <w:color w:val="auto"/>
        </w:rPr>
      </w:pPr>
      <w:r>
        <w:rPr>
          <w:rFonts w:ascii="Arial" w:cs="Arial" w:eastAsia="Arial" w:hAnsi="Arial"/>
          <w:sz w:val="20"/>
          <w:szCs w:val="20"/>
          <w:color w:val="auto"/>
        </w:rPr>
        <w:t>status report to the Board of Directors at least annually, with more frequent communications as necessary. The report describes the overall status of the ICPP and material matters related to the program, including security breaches, cybersecurity assessments, cybersecurity awareness training for employees and the Board of Directors.</w:t>
      </w:r>
    </w:p>
    <w:p>
      <w:pPr>
        <w:spacing w:after="0" w:line="136" w:lineRule="exact"/>
        <w:rPr>
          <w:sz w:val="20"/>
          <w:szCs w:val="20"/>
          <w:color w:val="auto"/>
        </w:rPr>
      </w:pPr>
    </w:p>
    <w:p>
      <w:pPr>
        <w:jc w:val="both"/>
        <w:ind w:left="6" w:right="60"/>
        <w:spacing w:after="0" w:line="352" w:lineRule="auto"/>
        <w:rPr>
          <w:sz w:val="20"/>
          <w:szCs w:val="20"/>
          <w:color w:val="auto"/>
        </w:rPr>
      </w:pPr>
      <w:r>
        <w:rPr>
          <w:rFonts w:ascii="Arial" w:cs="Arial" w:eastAsia="Arial" w:hAnsi="Arial"/>
          <w:sz w:val="18"/>
          <w:szCs w:val="18"/>
          <w:color w:val="auto"/>
        </w:rPr>
        <w:t>The Company utilizes third-party threat analysis tools such as penetration testing and vulnerability scanning to assist in understanding and supporting the measurement of information security related risks. Additionally, the Company uses a third-party tool to help management identify current cybersecurity risks and control maturity levels, and to evaluate overall cybersecurity preparedness. The Company conducts gap analysis and action plans designed to</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45 / 59</w:t>
      </w:r>
    </w:p>
    <w:p>
      <w:pPr>
        <w:sectPr>
          <w:pgSz w:w="11900" w:h="16838" w:orient="portrait"/>
          <w:cols w:equalWidth="0" w:num="1">
            <w:col w:w="9406"/>
          </w:cols>
          <w:pgMar w:left="1254" w:top="1440" w:right="1246" w:bottom="0" w:gutter="0" w:footer="0" w:header="0"/>
          <w:type w:val="continuous"/>
        </w:sectPr>
      </w:pPr>
    </w:p>
    <w:bookmarkStart w:id="45" w:name="page46"/>
    <w:bookmarkEnd w:id="45"/>
    <w:p>
      <w:pPr>
        <w:jc w:val="both"/>
        <w:ind w:right="40"/>
        <w:spacing w:after="0" w:line="307" w:lineRule="auto"/>
        <w:rPr>
          <w:sz w:val="20"/>
          <w:szCs w:val="20"/>
          <w:color w:val="auto"/>
        </w:rPr>
      </w:pPr>
      <w:r>
        <w:rPr>
          <w:rFonts w:ascii="Arial" w:cs="Arial" w:eastAsia="Arial" w:hAnsi="Arial"/>
          <w:sz w:val="20"/>
          <w:szCs w:val="20"/>
          <w:color w:val="auto"/>
        </w:rPr>
        <w:t>identify potential actions that improve our overall cybersecurity posture, and periodically reevaluates both cybersecurity risks and controls to assure they are commensurate with our size and complexity and are keeping pace with the overall cybersecurity threat environment.</w:t>
      </w:r>
    </w:p>
    <w:p>
      <w:pPr>
        <w:spacing w:after="0" w:line="137"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Management also obtains, analyzes, and responds to information from various sources on cybersecurity threats and vulnerabilities that may affect the Company, while incorporating available information on cybersecurity events into our risk assessment. Additionally, management develops, maintains, and updates a repository of cybersecurity threat and vulnerability information that may be used in conducting risk assessments, and ultimately provide updates to the Board of Directors on cybersecurity risk trends. The Company has not experienced any cybersecurity incidents in the past that have individually or in the aggregate had a materially adverse effect on our business, financial condition or results of operations.</w:t>
      </w:r>
    </w:p>
    <w:p>
      <w:pPr>
        <w:spacing w:after="0" w:line="134" w:lineRule="exact"/>
        <w:rPr>
          <w:sz w:val="20"/>
          <w:szCs w:val="20"/>
          <w:color w:val="auto"/>
        </w:rPr>
      </w:pPr>
    </w:p>
    <w:p>
      <w:pPr>
        <w:jc w:val="both"/>
        <w:ind w:right="40"/>
        <w:spacing w:after="0" w:line="352" w:lineRule="auto"/>
        <w:rPr>
          <w:sz w:val="20"/>
          <w:szCs w:val="20"/>
          <w:color w:val="auto"/>
        </w:rPr>
      </w:pPr>
      <w:r>
        <w:rPr>
          <w:rFonts w:ascii="Arial" w:cs="Arial" w:eastAsia="Arial" w:hAnsi="Arial"/>
          <w:sz w:val="18"/>
          <w:szCs w:val="18"/>
          <w:color w:val="auto"/>
        </w:rPr>
        <w:t>Additionally, the Company conducts due diligence in the selection and on-going monitoring of third-party service providers. Management is responsible for ensuring that such third parties use suitable information security controls when providing services to us. As part of the oversight of third-party service providers, management will determine whether cybersecurity risks are identified, measured, mitigated, monitored, and reported by such third parties.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 / 59</w:t>
      </w:r>
    </w:p>
    <w:p>
      <w:pPr>
        <w:sectPr>
          <w:pgSz w:w="11900" w:h="16838" w:orient="portrait"/>
          <w:cols w:equalWidth="0" w:num="1">
            <w:col w:w="9380"/>
          </w:cols>
          <w:pgMar w:left="1260" w:top="1173" w:right="1266" w:bottom="0"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00"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The Company has seven offices located in Oswego County, five offices located in Onondaga County and one limited purpose office located in Oneida County. Management believes that the Bank’s facilities are adequate for the business conducted. The following table sets forth certain information concerning the main office and each branch office of the Bank at December 31, 2025. The aggregate net book value of the Bank's premises and equipment was $18.0 million at December 31, 2025. For additional information regarding the Bank's properties, see Note 8 to the consolidated financial statements.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20"/>
                <w:szCs w:val="20"/>
                <w:color w:val="auto"/>
              </w:rPr>
            </w:pPr>
            <w:r>
              <w:rPr>
                <w:rFonts w:ascii="Arial" w:cs="Arial" w:eastAsia="Arial" w:hAnsi="Arial"/>
                <w:sz w:val="16"/>
                <w:szCs w:val="16"/>
                <w:color w:val="auto"/>
              </w:rPr>
              <w:t>Location</w:t>
            </w:r>
          </w:p>
        </w:tc>
        <w:tc>
          <w:tcPr>
            <w:tcW w:w="3420" w:type="dxa"/>
            <w:vAlign w:val="bottom"/>
          </w:tcPr>
          <w:p>
            <w:pPr>
              <w:jc w:val="center"/>
              <w:ind w:left="1560"/>
              <w:spacing w:after="0"/>
              <w:rPr>
                <w:sz w:val="20"/>
                <w:szCs w:val="20"/>
                <w:color w:val="auto"/>
              </w:rPr>
            </w:pPr>
            <w:r>
              <w:rPr>
                <w:rFonts w:ascii="Arial" w:cs="Arial" w:eastAsia="Arial" w:hAnsi="Arial"/>
                <w:sz w:val="16"/>
                <w:szCs w:val="16"/>
                <w:color w:val="auto"/>
                <w:w w:val="91"/>
              </w:rPr>
              <w:t>Opening Date</w:t>
            </w:r>
          </w:p>
        </w:tc>
        <w:tc>
          <w:tcPr>
            <w:tcW w:w="1740" w:type="dxa"/>
            <w:vAlign w:val="bottom"/>
          </w:tcPr>
          <w:p>
            <w:pPr>
              <w:jc w:val="center"/>
              <w:ind w:left="20"/>
              <w:spacing w:after="0"/>
              <w:rPr>
                <w:sz w:val="20"/>
                <w:szCs w:val="20"/>
                <w:color w:val="auto"/>
              </w:rPr>
            </w:pPr>
            <w:r>
              <w:rPr>
                <w:rFonts w:ascii="Arial" w:cs="Arial" w:eastAsia="Arial" w:hAnsi="Arial"/>
                <w:sz w:val="16"/>
                <w:szCs w:val="16"/>
                <w:color w:val="auto"/>
                <w:w w:val="89"/>
              </w:rPr>
              <w:t>Owned/Leased</w:t>
            </w:r>
          </w:p>
        </w:tc>
      </w:tr>
      <w:tr>
        <w:trPr>
          <w:trHeight w:val="42"/>
        </w:trPr>
        <w:tc>
          <w:tcPr>
            <w:tcW w:w="42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Main Office</w:t>
            </w:r>
          </w:p>
        </w:tc>
        <w:tc>
          <w:tcPr>
            <w:tcW w:w="3420" w:type="dxa"/>
            <w:vAlign w:val="bottom"/>
            <w:tcBorders>
              <w:bottom w:val="single" w:sz="8" w:color="CFF0FC"/>
            </w:tcBorders>
            <w:shd w:val="clear" w:color="auto" w:fill="CFF0FC"/>
          </w:tcPr>
          <w:p>
            <w:pPr>
              <w:jc w:val="center"/>
              <w:ind w:left="1540"/>
              <w:spacing w:after="0"/>
              <w:rPr>
                <w:sz w:val="20"/>
                <w:szCs w:val="20"/>
                <w:color w:val="auto"/>
              </w:rPr>
            </w:pPr>
            <w:r>
              <w:rPr>
                <w:rFonts w:ascii="Arial" w:cs="Arial" w:eastAsia="Arial" w:hAnsi="Arial"/>
                <w:sz w:val="16"/>
                <w:szCs w:val="16"/>
                <w:color w:val="auto"/>
                <w:w w:val="89"/>
              </w:rPr>
              <w:t>1874</w:t>
            </w:r>
          </w:p>
        </w:tc>
        <w:tc>
          <w:tcPr>
            <w:tcW w:w="1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0"/>
              </w:rPr>
              <w:t>Owned</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214 West First Street</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Oswego, New York 13126</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4"/>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Plaza Branch</w:t>
            </w:r>
          </w:p>
        </w:tc>
        <w:tc>
          <w:tcPr>
            <w:tcW w:w="3420" w:type="dxa"/>
            <w:vAlign w:val="bottom"/>
            <w:shd w:val="clear" w:color="auto" w:fill="CFF0FC"/>
          </w:tcPr>
          <w:p>
            <w:pPr>
              <w:jc w:val="center"/>
              <w:ind w:left="1540"/>
              <w:spacing w:after="0"/>
              <w:rPr>
                <w:sz w:val="20"/>
                <w:szCs w:val="20"/>
                <w:color w:val="auto"/>
              </w:rPr>
            </w:pPr>
            <w:r>
              <w:rPr>
                <w:rFonts w:ascii="Arial" w:cs="Arial" w:eastAsia="Arial" w:hAnsi="Arial"/>
                <w:sz w:val="16"/>
                <w:szCs w:val="16"/>
                <w:color w:val="auto"/>
                <w:w w:val="89"/>
              </w:rPr>
              <w:t>1989</w:t>
            </w:r>
          </w:p>
        </w:tc>
        <w:tc>
          <w:tcPr>
            <w:tcW w:w="1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5"/>
              </w:rPr>
              <w:t xml:space="preserve">Owned </w:t>
            </w:r>
            <w:r>
              <w:rPr>
                <w:rFonts w:ascii="Arial" w:cs="Arial" w:eastAsia="Arial" w:hAnsi="Arial"/>
                <w:sz w:val="21"/>
                <w:szCs w:val="21"/>
                <w:color w:val="auto"/>
                <w:w w:val="85"/>
                <w:vertAlign w:val="superscript"/>
              </w:rPr>
              <w:t>(1)</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291 State Route 104 East</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Oswego, New York 13126</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Mexico Branch</w:t>
            </w:r>
          </w:p>
        </w:tc>
        <w:tc>
          <w:tcPr>
            <w:tcW w:w="3420" w:type="dxa"/>
            <w:vAlign w:val="bottom"/>
            <w:tcBorders>
              <w:bottom w:val="single" w:sz="8" w:color="CFF0FC"/>
            </w:tcBorders>
            <w:shd w:val="clear" w:color="auto" w:fill="CFF0FC"/>
          </w:tcPr>
          <w:p>
            <w:pPr>
              <w:jc w:val="center"/>
              <w:ind w:left="1540"/>
              <w:spacing w:after="0"/>
              <w:rPr>
                <w:sz w:val="20"/>
                <w:szCs w:val="20"/>
                <w:color w:val="auto"/>
              </w:rPr>
            </w:pPr>
            <w:r>
              <w:rPr>
                <w:rFonts w:ascii="Arial" w:cs="Arial" w:eastAsia="Arial" w:hAnsi="Arial"/>
                <w:sz w:val="16"/>
                <w:szCs w:val="16"/>
                <w:color w:val="auto"/>
                <w:w w:val="89"/>
              </w:rPr>
              <w:t>1978</w:t>
            </w:r>
          </w:p>
        </w:tc>
        <w:tc>
          <w:tcPr>
            <w:tcW w:w="1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0"/>
              </w:rPr>
              <w:t>Owned</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3361 Main Street</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Mexico, New York 13114</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Oswego East Branch</w:t>
            </w:r>
          </w:p>
        </w:tc>
        <w:tc>
          <w:tcPr>
            <w:tcW w:w="3420" w:type="dxa"/>
            <w:vAlign w:val="bottom"/>
            <w:tcBorders>
              <w:bottom w:val="single" w:sz="8" w:color="CFF0FC"/>
            </w:tcBorders>
            <w:shd w:val="clear" w:color="auto" w:fill="CFF0FC"/>
          </w:tcPr>
          <w:p>
            <w:pPr>
              <w:jc w:val="center"/>
              <w:ind w:left="1540"/>
              <w:spacing w:after="0"/>
              <w:rPr>
                <w:sz w:val="20"/>
                <w:szCs w:val="20"/>
                <w:color w:val="auto"/>
              </w:rPr>
            </w:pPr>
            <w:r>
              <w:rPr>
                <w:rFonts w:ascii="Arial" w:cs="Arial" w:eastAsia="Arial" w:hAnsi="Arial"/>
                <w:sz w:val="16"/>
                <w:szCs w:val="16"/>
                <w:color w:val="auto"/>
                <w:w w:val="89"/>
              </w:rPr>
              <w:t>1994</w:t>
            </w:r>
          </w:p>
        </w:tc>
        <w:tc>
          <w:tcPr>
            <w:tcW w:w="1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0"/>
              </w:rPr>
              <w:t>Owned</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34 East Bridge Street</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Oswego, New York 13126</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Lacona Branch</w:t>
            </w:r>
          </w:p>
        </w:tc>
        <w:tc>
          <w:tcPr>
            <w:tcW w:w="3420" w:type="dxa"/>
            <w:vAlign w:val="bottom"/>
            <w:tcBorders>
              <w:bottom w:val="single" w:sz="8" w:color="CFF0FC"/>
            </w:tcBorders>
            <w:shd w:val="clear" w:color="auto" w:fill="CFF0FC"/>
          </w:tcPr>
          <w:p>
            <w:pPr>
              <w:jc w:val="center"/>
              <w:ind w:left="1540"/>
              <w:spacing w:after="0"/>
              <w:rPr>
                <w:sz w:val="20"/>
                <w:szCs w:val="20"/>
                <w:color w:val="auto"/>
              </w:rPr>
            </w:pPr>
            <w:r>
              <w:rPr>
                <w:rFonts w:ascii="Arial" w:cs="Arial" w:eastAsia="Arial" w:hAnsi="Arial"/>
                <w:sz w:val="16"/>
                <w:szCs w:val="16"/>
                <w:color w:val="auto"/>
                <w:w w:val="89"/>
              </w:rPr>
              <w:t>2002</w:t>
            </w:r>
          </w:p>
        </w:tc>
        <w:tc>
          <w:tcPr>
            <w:tcW w:w="1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0"/>
              </w:rPr>
              <w:t>Owned</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1897 Harwood Drive</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Lacona, New York 13083</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Fulton Branch</w:t>
            </w:r>
          </w:p>
        </w:tc>
        <w:tc>
          <w:tcPr>
            <w:tcW w:w="3420" w:type="dxa"/>
            <w:vAlign w:val="bottom"/>
            <w:tcBorders>
              <w:bottom w:val="single" w:sz="8" w:color="CFF0FC"/>
            </w:tcBorders>
            <w:shd w:val="clear" w:color="auto" w:fill="CFF0FC"/>
          </w:tcPr>
          <w:p>
            <w:pPr>
              <w:jc w:val="center"/>
              <w:ind w:left="1540"/>
              <w:spacing w:after="0"/>
              <w:rPr>
                <w:sz w:val="20"/>
                <w:szCs w:val="20"/>
                <w:color w:val="auto"/>
              </w:rPr>
            </w:pPr>
            <w:r>
              <w:rPr>
                <w:rFonts w:ascii="Arial" w:cs="Arial" w:eastAsia="Arial" w:hAnsi="Arial"/>
                <w:sz w:val="16"/>
                <w:szCs w:val="16"/>
                <w:color w:val="auto"/>
                <w:w w:val="89"/>
              </w:rPr>
              <w:t>2003</w:t>
            </w:r>
          </w:p>
        </w:tc>
        <w:tc>
          <w:tcPr>
            <w:tcW w:w="1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0"/>
              </w:rPr>
              <w:t>Owned</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5 West First Street South</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Fulton, New York 13069</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Central Square Branch</w:t>
            </w:r>
          </w:p>
        </w:tc>
        <w:tc>
          <w:tcPr>
            <w:tcW w:w="3420" w:type="dxa"/>
            <w:vAlign w:val="bottom"/>
            <w:tcBorders>
              <w:bottom w:val="single" w:sz="8" w:color="CFF0FC"/>
            </w:tcBorders>
            <w:shd w:val="clear" w:color="auto" w:fill="CFF0FC"/>
          </w:tcPr>
          <w:p>
            <w:pPr>
              <w:jc w:val="center"/>
              <w:ind w:left="1540"/>
              <w:spacing w:after="0"/>
              <w:rPr>
                <w:sz w:val="20"/>
                <w:szCs w:val="20"/>
                <w:color w:val="auto"/>
              </w:rPr>
            </w:pPr>
            <w:r>
              <w:rPr>
                <w:rFonts w:ascii="Arial" w:cs="Arial" w:eastAsia="Arial" w:hAnsi="Arial"/>
                <w:sz w:val="16"/>
                <w:szCs w:val="16"/>
                <w:color w:val="auto"/>
                <w:w w:val="89"/>
              </w:rPr>
              <w:t>2005</w:t>
            </w:r>
          </w:p>
        </w:tc>
        <w:tc>
          <w:tcPr>
            <w:tcW w:w="1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0"/>
              </w:rPr>
              <w:t>Owned</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3025 East Ave</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Central Square, New York 13036</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Cicero Branch</w:t>
            </w:r>
          </w:p>
        </w:tc>
        <w:tc>
          <w:tcPr>
            <w:tcW w:w="3420" w:type="dxa"/>
            <w:vAlign w:val="bottom"/>
            <w:tcBorders>
              <w:bottom w:val="single" w:sz="8" w:color="CFF0FC"/>
            </w:tcBorders>
            <w:shd w:val="clear" w:color="auto" w:fill="CFF0FC"/>
          </w:tcPr>
          <w:p>
            <w:pPr>
              <w:jc w:val="center"/>
              <w:ind w:left="1540"/>
              <w:spacing w:after="0"/>
              <w:rPr>
                <w:sz w:val="20"/>
                <w:szCs w:val="20"/>
                <w:color w:val="auto"/>
              </w:rPr>
            </w:pPr>
            <w:r>
              <w:rPr>
                <w:rFonts w:ascii="Arial" w:cs="Arial" w:eastAsia="Arial" w:hAnsi="Arial"/>
                <w:sz w:val="16"/>
                <w:szCs w:val="16"/>
                <w:color w:val="auto"/>
                <w:w w:val="89"/>
              </w:rPr>
              <w:t>2011</w:t>
            </w:r>
          </w:p>
        </w:tc>
        <w:tc>
          <w:tcPr>
            <w:tcW w:w="1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0"/>
              </w:rPr>
              <w:t>Owned</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6194 State Route 31</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Cicero, New York 13039</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4"/>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Pike Block Branch</w:t>
            </w:r>
          </w:p>
        </w:tc>
        <w:tc>
          <w:tcPr>
            <w:tcW w:w="3420" w:type="dxa"/>
            <w:vAlign w:val="bottom"/>
            <w:shd w:val="clear" w:color="auto" w:fill="CFF0FC"/>
          </w:tcPr>
          <w:p>
            <w:pPr>
              <w:jc w:val="center"/>
              <w:ind w:left="1540"/>
              <w:spacing w:after="0"/>
              <w:rPr>
                <w:sz w:val="20"/>
                <w:szCs w:val="20"/>
                <w:color w:val="auto"/>
              </w:rPr>
            </w:pPr>
            <w:r>
              <w:rPr>
                <w:rFonts w:ascii="Arial" w:cs="Arial" w:eastAsia="Arial" w:hAnsi="Arial"/>
                <w:sz w:val="16"/>
                <w:szCs w:val="16"/>
                <w:color w:val="auto"/>
                <w:w w:val="89"/>
              </w:rPr>
              <w:t>2014</w:t>
            </w:r>
          </w:p>
        </w:tc>
        <w:tc>
          <w:tcPr>
            <w:tcW w:w="1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3"/>
              </w:rPr>
              <w:t xml:space="preserve">Leased </w:t>
            </w:r>
            <w:r>
              <w:rPr>
                <w:rFonts w:ascii="Arial" w:cs="Arial" w:eastAsia="Arial" w:hAnsi="Arial"/>
                <w:sz w:val="21"/>
                <w:szCs w:val="21"/>
                <w:color w:val="auto"/>
                <w:w w:val="83"/>
                <w:vertAlign w:val="superscript"/>
              </w:rPr>
              <w:t>(2)</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109 West Fayette Street</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Syracuse, New York 13202</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4"/>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Clay Branch</w:t>
            </w:r>
          </w:p>
        </w:tc>
        <w:tc>
          <w:tcPr>
            <w:tcW w:w="3420" w:type="dxa"/>
            <w:vAlign w:val="bottom"/>
            <w:shd w:val="clear" w:color="auto" w:fill="CFF0FC"/>
          </w:tcPr>
          <w:p>
            <w:pPr>
              <w:jc w:val="center"/>
              <w:ind w:left="1540"/>
              <w:spacing w:after="0"/>
              <w:rPr>
                <w:sz w:val="20"/>
                <w:szCs w:val="20"/>
                <w:color w:val="auto"/>
              </w:rPr>
            </w:pPr>
            <w:r>
              <w:rPr>
                <w:rFonts w:ascii="Arial" w:cs="Arial" w:eastAsia="Arial" w:hAnsi="Arial"/>
                <w:sz w:val="16"/>
                <w:szCs w:val="16"/>
                <w:color w:val="auto"/>
                <w:w w:val="89"/>
              </w:rPr>
              <w:t>2018</w:t>
            </w:r>
          </w:p>
        </w:tc>
        <w:tc>
          <w:tcPr>
            <w:tcW w:w="1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3"/>
              </w:rPr>
              <w:t xml:space="preserve">Leased </w:t>
            </w:r>
            <w:r>
              <w:rPr>
                <w:rFonts w:ascii="Arial" w:cs="Arial" w:eastAsia="Arial" w:hAnsi="Arial"/>
                <w:sz w:val="21"/>
                <w:szCs w:val="21"/>
                <w:color w:val="auto"/>
                <w:w w:val="83"/>
                <w:vertAlign w:val="superscript"/>
              </w:rPr>
              <w:t>(3)</w:t>
            </w:r>
          </w:p>
        </w:tc>
      </w:tr>
      <w:tr>
        <w:trPr>
          <w:trHeight w:val="222"/>
        </w:trPr>
        <w:tc>
          <w:tcPr>
            <w:tcW w:w="4240" w:type="dxa"/>
            <w:vAlign w:val="bottom"/>
          </w:tcPr>
          <w:p>
            <w:pPr>
              <w:spacing w:after="0"/>
              <w:rPr>
                <w:sz w:val="20"/>
                <w:szCs w:val="20"/>
                <w:color w:val="auto"/>
              </w:rPr>
            </w:pPr>
            <w:r>
              <w:rPr>
                <w:rFonts w:ascii="Arial" w:cs="Arial" w:eastAsia="Arial" w:hAnsi="Arial"/>
                <w:sz w:val="16"/>
                <w:szCs w:val="16"/>
                <w:color w:val="auto"/>
              </w:rPr>
              <w:t>3775 State Route 31</w:t>
            </w: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
        </w:trPr>
        <w:tc>
          <w:tcPr>
            <w:tcW w:w="4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Liverpool, NY 13090</w:t>
            </w:r>
          </w:p>
        </w:tc>
        <w:tc>
          <w:tcPr>
            <w:tcW w:w="34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r>
      <w:tr>
        <w:trPr>
          <w:trHeight w:val="254"/>
        </w:trPr>
        <w:tc>
          <w:tcPr>
            <w:tcW w:w="4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4"/>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Southwest Corridor Branch</w:t>
            </w:r>
          </w:p>
        </w:tc>
        <w:tc>
          <w:tcPr>
            <w:tcW w:w="3420" w:type="dxa"/>
            <w:vAlign w:val="bottom"/>
            <w:shd w:val="clear" w:color="auto" w:fill="CFF0FC"/>
          </w:tcPr>
          <w:p>
            <w:pPr>
              <w:jc w:val="center"/>
              <w:ind w:left="1540"/>
              <w:spacing w:after="0"/>
              <w:rPr>
                <w:sz w:val="20"/>
                <w:szCs w:val="20"/>
                <w:color w:val="auto"/>
              </w:rPr>
            </w:pPr>
            <w:r>
              <w:rPr>
                <w:rFonts w:ascii="Arial" w:cs="Arial" w:eastAsia="Arial" w:hAnsi="Arial"/>
                <w:sz w:val="16"/>
                <w:szCs w:val="16"/>
                <w:color w:val="auto"/>
                <w:w w:val="89"/>
              </w:rPr>
              <w:t>2022</w:t>
            </w:r>
          </w:p>
        </w:tc>
        <w:tc>
          <w:tcPr>
            <w:tcW w:w="1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3"/>
              </w:rPr>
              <w:t xml:space="preserve">Leased </w:t>
            </w:r>
            <w:r>
              <w:rPr>
                <w:rFonts w:ascii="Arial" w:cs="Arial" w:eastAsia="Arial" w:hAnsi="Arial"/>
                <w:sz w:val="21"/>
                <w:szCs w:val="21"/>
                <w:color w:val="auto"/>
                <w:w w:val="83"/>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-6628765</wp:posOffset>
            </wp:positionV>
            <wp:extent cx="596773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47 / 59</w:t>
      </w:r>
    </w:p>
    <w:p>
      <w:pPr>
        <w:sectPr>
          <w:pgSz w:w="11900" w:h="16838" w:orient="portrait"/>
          <w:cols w:equalWidth="0" w:num="1">
            <w:col w:w="9400"/>
          </w:cols>
          <w:pgMar w:left="1260" w:top="1440" w:right="1246" w:bottom="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color w:val="auto"/>
        </w:rPr>
        <w:t>506 West Onondaga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61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7730" cy="1612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Syracuse, NY 13204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East Syracuse Branch</w:t>
            </w:r>
          </w:p>
        </w:tc>
        <w:tc>
          <w:tcPr>
            <w:tcW w:w="3340" w:type="dxa"/>
            <w:vAlign w:val="bottom"/>
            <w:shd w:val="clear" w:color="auto" w:fill="CFF0FC"/>
          </w:tcPr>
          <w:p>
            <w:pPr>
              <w:jc w:val="right"/>
              <w:ind w:right="600"/>
              <w:spacing w:after="0"/>
              <w:rPr>
                <w:sz w:val="20"/>
                <w:szCs w:val="20"/>
                <w:color w:val="auto"/>
              </w:rPr>
            </w:pPr>
            <w:r>
              <w:rPr>
                <w:rFonts w:ascii="Arial" w:cs="Arial" w:eastAsia="Arial" w:hAnsi="Arial"/>
                <w:sz w:val="16"/>
                <w:szCs w:val="16"/>
                <w:color w:val="auto"/>
              </w:rPr>
              <w:t>2024</w:t>
            </w:r>
          </w:p>
        </w:tc>
        <w:tc>
          <w:tcPr>
            <w:tcW w:w="1800" w:type="dxa"/>
            <w:vAlign w:val="bottom"/>
            <w:shd w:val="clear" w:color="auto" w:fill="CFF0FC"/>
          </w:tcPr>
          <w:p>
            <w:pPr>
              <w:ind w:left="660"/>
              <w:spacing w:after="0"/>
              <w:rPr>
                <w:sz w:val="20"/>
                <w:szCs w:val="20"/>
                <w:color w:val="auto"/>
              </w:rPr>
            </w:pPr>
            <w:r>
              <w:rPr>
                <w:rFonts w:ascii="Arial" w:cs="Arial" w:eastAsia="Arial" w:hAnsi="Arial"/>
                <w:sz w:val="16"/>
                <w:szCs w:val="16"/>
                <w:color w:val="auto"/>
              </w:rPr>
              <w:t xml:space="preserve">Leased </w:t>
            </w:r>
            <w:r>
              <w:rPr>
                <w:rFonts w:ascii="Arial" w:cs="Arial" w:eastAsia="Arial" w:hAnsi="Arial"/>
                <w:sz w:val="21"/>
                <w:szCs w:val="21"/>
                <w:color w:val="auto"/>
                <w:vertAlign w:val="superscript"/>
              </w:rPr>
              <w:t>(5)</w:t>
            </w:r>
          </w:p>
        </w:tc>
      </w:tr>
      <w:tr>
        <w:trPr>
          <w:trHeight w:val="222"/>
        </w:trPr>
        <w:tc>
          <w:tcPr>
            <w:tcW w:w="4260" w:type="dxa"/>
            <w:vAlign w:val="bottom"/>
          </w:tcPr>
          <w:p>
            <w:pPr>
              <w:spacing w:after="0"/>
              <w:rPr>
                <w:sz w:val="20"/>
                <w:szCs w:val="20"/>
                <w:color w:val="auto"/>
              </w:rPr>
            </w:pPr>
            <w:r>
              <w:rPr>
                <w:rFonts w:ascii="Arial" w:cs="Arial" w:eastAsia="Arial" w:hAnsi="Arial"/>
                <w:sz w:val="16"/>
                <w:szCs w:val="16"/>
                <w:color w:val="auto"/>
              </w:rPr>
              <w:t>6611 Manlius Center Road</w:t>
            </w:r>
          </w:p>
        </w:tc>
        <w:tc>
          <w:tcPr>
            <w:tcW w:w="3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2"/>
        </w:trPr>
        <w:tc>
          <w:tcPr>
            <w:tcW w:w="4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4"/>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East Syracuse, NY 13057</w:t>
            </w:r>
          </w:p>
        </w:tc>
        <w:tc>
          <w:tcPr>
            <w:tcW w:w="334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CFF0FC"/>
            </w:tcBorders>
            <w:shd w:val="clear" w:color="auto" w:fill="CFF0FC"/>
          </w:tcPr>
          <w:p>
            <w:pPr>
              <w:spacing w:after="0"/>
              <w:rPr>
                <w:sz w:val="20"/>
                <w:szCs w:val="20"/>
                <w:color w:val="auto"/>
              </w:rPr>
            </w:pPr>
          </w:p>
        </w:tc>
      </w:tr>
      <w:tr>
        <w:trPr>
          <w:trHeight w:val="254"/>
        </w:trPr>
        <w:tc>
          <w:tcPr>
            <w:tcW w:w="42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54"/>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Utica Loan Production Office</w:t>
            </w:r>
          </w:p>
        </w:tc>
        <w:tc>
          <w:tcPr>
            <w:tcW w:w="3340" w:type="dxa"/>
            <w:vAlign w:val="bottom"/>
            <w:shd w:val="clear" w:color="auto" w:fill="CFF0FC"/>
          </w:tcPr>
          <w:p>
            <w:pPr>
              <w:jc w:val="right"/>
              <w:ind w:right="600"/>
              <w:spacing w:after="0"/>
              <w:rPr>
                <w:sz w:val="20"/>
                <w:szCs w:val="20"/>
                <w:color w:val="auto"/>
              </w:rPr>
            </w:pPr>
            <w:r>
              <w:rPr>
                <w:rFonts w:ascii="Arial" w:cs="Arial" w:eastAsia="Arial" w:hAnsi="Arial"/>
                <w:sz w:val="16"/>
                <w:szCs w:val="16"/>
                <w:color w:val="auto"/>
              </w:rPr>
              <w:t>2017</w:t>
            </w:r>
          </w:p>
        </w:tc>
        <w:tc>
          <w:tcPr>
            <w:tcW w:w="1800" w:type="dxa"/>
            <w:vAlign w:val="bottom"/>
            <w:shd w:val="clear" w:color="auto" w:fill="CFF0FC"/>
          </w:tcPr>
          <w:p>
            <w:pPr>
              <w:ind w:left="660"/>
              <w:spacing w:after="0"/>
              <w:rPr>
                <w:sz w:val="20"/>
                <w:szCs w:val="20"/>
                <w:color w:val="auto"/>
              </w:rPr>
            </w:pPr>
            <w:r>
              <w:rPr>
                <w:rFonts w:ascii="Arial" w:cs="Arial" w:eastAsia="Arial" w:hAnsi="Arial"/>
                <w:sz w:val="16"/>
                <w:szCs w:val="16"/>
                <w:color w:val="auto"/>
              </w:rPr>
              <w:t xml:space="preserve">Leased </w:t>
            </w:r>
            <w:r>
              <w:rPr>
                <w:rFonts w:ascii="Arial" w:cs="Arial" w:eastAsia="Arial" w:hAnsi="Arial"/>
                <w:sz w:val="21"/>
                <w:szCs w:val="21"/>
                <w:color w:val="auto"/>
                <w:vertAlign w:val="superscript"/>
              </w:rPr>
              <w:t>(6)</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258 Genesee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61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7730" cy="1612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Utica, New York 13502</w:t>
      </w:r>
    </w:p>
    <w:p>
      <w:pPr>
        <w:spacing w:after="0" w:line="384" w:lineRule="exact"/>
        <w:rPr>
          <w:sz w:val="20"/>
          <w:szCs w:val="20"/>
          <w:color w:val="auto"/>
        </w:rPr>
      </w:pPr>
    </w:p>
    <w:p>
      <w:pPr>
        <w:ind w:left="380"/>
        <w:spacing w:after="0"/>
        <w:rPr>
          <w:sz w:val="20"/>
          <w:szCs w:val="20"/>
          <w:color w:val="auto"/>
        </w:rPr>
      </w:pPr>
      <w:r>
        <w:rPr>
          <w:rFonts w:ascii="Arial" w:cs="Arial" w:eastAsia="Arial" w:hAnsi="Arial"/>
          <w:sz w:val="8"/>
          <w:szCs w:val="8"/>
          <w:color w:val="auto"/>
        </w:rPr>
        <w:t>(1)</w:t>
      </w:r>
    </w:p>
    <w:p>
      <w:pPr>
        <w:spacing w:after="0" w:line="32" w:lineRule="exact"/>
        <w:rPr>
          <w:sz w:val="20"/>
          <w:szCs w:val="20"/>
          <w:color w:val="auto"/>
        </w:rPr>
      </w:pPr>
    </w:p>
    <w:p>
      <w:pPr>
        <w:jc w:val="right"/>
        <w:ind w:right="3380"/>
        <w:spacing w:after="0"/>
        <w:rPr>
          <w:sz w:val="20"/>
          <w:szCs w:val="20"/>
          <w:color w:val="auto"/>
        </w:rPr>
      </w:pPr>
      <w:r>
        <w:rPr>
          <w:rFonts w:ascii="Arial" w:cs="Arial" w:eastAsia="Arial" w:hAnsi="Arial"/>
          <w:sz w:val="16"/>
          <w:szCs w:val="16"/>
          <w:color w:val="auto"/>
        </w:rPr>
        <w:t>The building is owned; the underlying land is leased with an annual rent of $41,000.</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8"/>
          <w:szCs w:val="8"/>
          <w:color w:val="auto"/>
        </w:rPr>
        <w:t>(2)</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premises are leased with an annual rent of $64,000.</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8"/>
          <w:szCs w:val="8"/>
          <w:color w:val="auto"/>
        </w:rPr>
        <w:t>(3)</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premises are leased with an annual rent of $78,000.</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8"/>
          <w:szCs w:val="8"/>
          <w:color w:val="auto"/>
        </w:rPr>
        <w:t>(4)</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premises are leased with an annual rent of $262,000.</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8"/>
          <w:szCs w:val="8"/>
          <w:color w:val="auto"/>
        </w:rPr>
        <w:t>(5)</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premises are leased with an annual rent of $946,000.</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8"/>
          <w:szCs w:val="8"/>
          <w:color w:val="auto"/>
        </w:rPr>
        <w:t>(6)</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premises are leased with an annual rent of $18,000.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 / 59</w:t>
      </w:r>
    </w:p>
    <w:p>
      <w:pPr>
        <w:sectPr>
          <w:pgSz w:w="11900" w:h="16838" w:orient="portrait"/>
          <w:cols w:equalWidth="0" w:num="1">
            <w:col w:w="9400"/>
          </w:cols>
          <w:pgMar w:left="1260" w:top="1172" w:right="1246" w:bottom="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00"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There are various claims and lawsuits to which the Company is periodically involved that are incidental to the Company's business, most notably foreclosures. In the opinion of management, such claims and lawsuits in the aggregate are not expected to have a material adverse impact on the Company's consolidated financial condition and results of operations at December 31, 2025.</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spacing w:after="0" w:line="240" w:lineRule="exact"/>
        <w:rPr>
          <w:sz w:val="20"/>
          <w:szCs w:val="20"/>
          <w:color w:val="auto"/>
        </w:rPr>
      </w:pPr>
    </w:p>
    <w:p>
      <w:pPr>
        <w:ind w:right="360"/>
        <w:spacing w:after="0" w:line="302"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Company’s voting common stock trades on the NASDAQ Capital Market under the symbol “PBHC.”</w:t>
      </w:r>
    </w:p>
    <w:p>
      <w:pPr>
        <w:spacing w:after="0" w:line="200"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There were 275 shareholders of record (excluding the number of persons or entities holding stock in street name through various brokerage firms) as of March 24, 2026.</w:t>
      </w:r>
    </w:p>
    <w:p>
      <w:pPr>
        <w:spacing w:after="0" w:line="141" w:lineRule="exact"/>
        <w:rPr>
          <w:sz w:val="20"/>
          <w:szCs w:val="20"/>
          <w:color w:val="auto"/>
        </w:rPr>
      </w:pPr>
    </w:p>
    <w:p>
      <w:pPr>
        <w:ind w:right="1400"/>
        <w:spacing w:after="0" w:line="428" w:lineRule="auto"/>
        <w:rPr>
          <w:sz w:val="20"/>
          <w:szCs w:val="20"/>
          <w:color w:val="auto"/>
        </w:rPr>
      </w:pPr>
      <w:r>
        <w:rPr>
          <w:rFonts w:ascii="Arial" w:cs="Arial" w:eastAsia="Arial" w:hAnsi="Arial"/>
          <w:sz w:val="20"/>
          <w:szCs w:val="20"/>
          <w:color w:val="auto"/>
        </w:rPr>
        <w:t xml:space="preserve">During the fourth quarter of 2025, the Company did not repurchase any shares of its common stock. </w:t>
      </w:r>
      <w:r>
        <w:rPr>
          <w:rFonts w:ascii="Arial" w:cs="Arial" w:eastAsia="Arial" w:hAnsi="Arial"/>
          <w:sz w:val="20"/>
          <w:szCs w:val="20"/>
          <w:b w:val="1"/>
          <w:bCs w:val="1"/>
          <w:color w:val="auto"/>
        </w:rPr>
        <w:t>Equity Compensation Plan Information</w:t>
      </w:r>
    </w:p>
    <w:p>
      <w:pPr>
        <w:spacing w:after="0" w:line="20" w:lineRule="exact"/>
        <w:rPr>
          <w:sz w:val="20"/>
          <w:szCs w:val="20"/>
          <w:color w:val="auto"/>
        </w:rPr>
      </w:pPr>
    </w:p>
    <w:p>
      <w:pPr>
        <w:jc w:val="both"/>
        <w:ind w:right="60"/>
        <w:spacing w:after="0" w:line="331" w:lineRule="auto"/>
        <w:rPr>
          <w:sz w:val="20"/>
          <w:szCs w:val="20"/>
          <w:color w:val="auto"/>
        </w:rPr>
      </w:pPr>
      <w:r>
        <w:rPr>
          <w:rFonts w:ascii="Arial" w:cs="Arial" w:eastAsia="Arial" w:hAnsi="Arial"/>
          <w:sz w:val="19"/>
          <w:szCs w:val="19"/>
          <w:color w:val="auto"/>
        </w:rPr>
        <w:t>The following table provides information as of December 31, 2025 with respect to shares of voting common stock that may be issued under the Company’s existing equity compensation plans.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55880</wp:posOffset>
            </wp:positionV>
            <wp:extent cx="5980430" cy="1054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80430" cy="105410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Number of securities</w:t>
            </w:r>
          </w:p>
        </w:tc>
      </w:tr>
      <w:tr>
        <w:trPr>
          <w:trHeight w:val="270"/>
        </w:trPr>
        <w:tc>
          <w:tcPr>
            <w:tcW w:w="2200" w:type="dxa"/>
            <w:vAlign w:val="bottom"/>
          </w:tcPr>
          <w:p>
            <w:pPr>
              <w:spacing w:after="0"/>
              <w:rPr>
                <w:sz w:val="23"/>
                <w:szCs w:val="23"/>
                <w:color w:val="auto"/>
              </w:rPr>
            </w:pPr>
          </w:p>
        </w:tc>
        <w:tc>
          <w:tcPr>
            <w:tcW w:w="2420" w:type="dxa"/>
            <w:vAlign w:val="bottom"/>
          </w:tcPr>
          <w:p>
            <w:pPr>
              <w:jc w:val="right"/>
              <w:ind w:right="70"/>
              <w:spacing w:after="0"/>
              <w:rPr>
                <w:sz w:val="20"/>
                <w:szCs w:val="20"/>
                <w:color w:val="auto"/>
              </w:rPr>
            </w:pPr>
            <w:r>
              <w:rPr>
                <w:rFonts w:ascii="Arial" w:cs="Arial" w:eastAsia="Arial" w:hAnsi="Arial"/>
                <w:sz w:val="18"/>
                <w:szCs w:val="18"/>
                <w:color w:val="auto"/>
              </w:rPr>
              <w:t>Number of securities to be</w:t>
            </w:r>
          </w:p>
        </w:tc>
        <w:tc>
          <w:tcPr>
            <w:tcW w:w="2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remaining</w:t>
            </w:r>
          </w:p>
        </w:tc>
      </w:tr>
      <w:tr>
        <w:trPr>
          <w:trHeight w:val="270"/>
        </w:trPr>
        <w:tc>
          <w:tcPr>
            <w:tcW w:w="2200" w:type="dxa"/>
            <w:vAlign w:val="bottom"/>
          </w:tcPr>
          <w:p>
            <w:pPr>
              <w:spacing w:after="0"/>
              <w:rPr>
                <w:sz w:val="23"/>
                <w:szCs w:val="23"/>
                <w:color w:val="auto"/>
              </w:rPr>
            </w:pP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issued</w:t>
            </w:r>
          </w:p>
        </w:tc>
        <w:tc>
          <w:tcPr>
            <w:tcW w:w="200" w:type="dxa"/>
            <w:vAlign w:val="bottom"/>
          </w:tcPr>
          <w:p>
            <w:pPr>
              <w:spacing w:after="0"/>
              <w:rPr>
                <w:sz w:val="23"/>
                <w:szCs w:val="23"/>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w w:val="89"/>
              </w:rPr>
              <w:t>Weighted-average exercise</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w w:val="99"/>
              </w:rPr>
              <w:t>available for future issuance</w:t>
            </w:r>
          </w:p>
        </w:tc>
      </w:tr>
      <w:tr>
        <w:trPr>
          <w:trHeight w:val="270"/>
        </w:trPr>
        <w:tc>
          <w:tcPr>
            <w:tcW w:w="2200" w:type="dxa"/>
            <w:vAlign w:val="bottom"/>
          </w:tcPr>
          <w:p>
            <w:pPr>
              <w:spacing w:after="0"/>
              <w:rPr>
                <w:sz w:val="23"/>
                <w:szCs w:val="23"/>
                <w:color w:val="auto"/>
              </w:rPr>
            </w:pPr>
          </w:p>
        </w:tc>
        <w:tc>
          <w:tcPr>
            <w:tcW w:w="2420" w:type="dxa"/>
            <w:vAlign w:val="bottom"/>
          </w:tcPr>
          <w:p>
            <w:pPr>
              <w:jc w:val="right"/>
              <w:ind w:right="30"/>
              <w:spacing w:after="0"/>
              <w:rPr>
                <w:sz w:val="20"/>
                <w:szCs w:val="20"/>
                <w:color w:val="auto"/>
              </w:rPr>
            </w:pPr>
            <w:r>
              <w:rPr>
                <w:rFonts w:ascii="Arial" w:cs="Arial" w:eastAsia="Arial" w:hAnsi="Arial"/>
                <w:sz w:val="18"/>
                <w:szCs w:val="18"/>
                <w:color w:val="auto"/>
                <w:w w:val="99"/>
              </w:rPr>
              <w:t>upon exercise of outstanding</w:t>
            </w:r>
          </w:p>
        </w:tc>
        <w:tc>
          <w:tcPr>
            <w:tcW w:w="200" w:type="dxa"/>
            <w:vAlign w:val="bottom"/>
          </w:tcPr>
          <w:p>
            <w:pPr>
              <w:spacing w:after="0"/>
              <w:rPr>
                <w:sz w:val="23"/>
                <w:szCs w:val="23"/>
                <w:color w:val="auto"/>
              </w:rPr>
            </w:pP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price of outstanding</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under</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Plan Category</w:t>
            </w: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options, warrants and rights</w:t>
            </w:r>
          </w:p>
        </w:tc>
        <w:tc>
          <w:tcPr>
            <w:tcW w:w="238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options, warrants and rights</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equity compensation plans</w:t>
            </w:r>
          </w:p>
        </w:tc>
      </w:tr>
      <w:tr>
        <w:trPr>
          <w:trHeight w:val="46"/>
        </w:trPr>
        <w:tc>
          <w:tcPr>
            <w:tcW w:w="22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400" w:type="dxa"/>
            <w:vAlign w:val="bottom"/>
          </w:tcPr>
          <w:p>
            <w:pPr>
              <w:spacing w:after="0"/>
              <w:rPr>
                <w:sz w:val="4"/>
                <w:szCs w:val="4"/>
                <w:color w:val="auto"/>
              </w:rPr>
            </w:pPr>
          </w:p>
        </w:tc>
      </w:tr>
      <w:tr>
        <w:trPr>
          <w:trHeight w:val="504"/>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w:t>
            </w:r>
          </w:p>
        </w:tc>
        <w:tc>
          <w:tcPr>
            <w:tcW w:w="24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180" w:type="dxa"/>
            <w:vAlign w:val="bottom"/>
            <w:shd w:val="clear" w:color="auto" w:fill="CFF0FC"/>
          </w:tcPr>
          <w:p>
            <w:pPr>
              <w:spacing w:after="0"/>
              <w:rPr>
                <w:sz w:val="24"/>
                <w:szCs w:val="24"/>
                <w:color w:val="auto"/>
              </w:rPr>
            </w:pPr>
          </w:p>
        </w:tc>
        <w:tc>
          <w:tcPr>
            <w:tcW w:w="2400" w:type="dxa"/>
            <w:vAlign w:val="bottom"/>
            <w:shd w:val="clear" w:color="auto" w:fill="CFF0FC"/>
          </w:tcPr>
          <w:p>
            <w:pPr>
              <w:spacing w:after="0"/>
              <w:rPr>
                <w:sz w:val="24"/>
                <w:szCs w:val="24"/>
                <w:color w:val="auto"/>
              </w:rPr>
            </w:pPr>
          </w:p>
        </w:tc>
      </w:tr>
      <w:tr>
        <w:trPr>
          <w:trHeight w:val="270"/>
        </w:trPr>
        <w:tc>
          <w:tcPr>
            <w:tcW w:w="2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approved by security</w:t>
            </w:r>
          </w:p>
        </w:tc>
        <w:tc>
          <w:tcPr>
            <w:tcW w:w="24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2180" w:type="dxa"/>
            <w:vAlign w:val="bottom"/>
            <w:shd w:val="clear" w:color="auto" w:fill="CFF0FC"/>
          </w:tcPr>
          <w:p>
            <w:pPr>
              <w:spacing w:after="0"/>
              <w:rPr>
                <w:sz w:val="23"/>
                <w:szCs w:val="23"/>
                <w:color w:val="auto"/>
              </w:rPr>
            </w:pPr>
          </w:p>
        </w:tc>
        <w:tc>
          <w:tcPr>
            <w:tcW w:w="2400" w:type="dxa"/>
            <w:vAlign w:val="bottom"/>
            <w:shd w:val="clear" w:color="auto" w:fill="CFF0FC"/>
          </w:tcPr>
          <w:p>
            <w:pPr>
              <w:spacing w:after="0"/>
              <w:rPr>
                <w:sz w:val="23"/>
                <w:szCs w:val="23"/>
                <w:color w:val="auto"/>
              </w:rPr>
            </w:pPr>
          </w:p>
        </w:tc>
      </w:tr>
      <w:tr>
        <w:trPr>
          <w:trHeight w:val="296"/>
        </w:trPr>
        <w:tc>
          <w:tcPr>
            <w:tcW w:w="2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holders</w:t>
            </w:r>
          </w:p>
        </w:tc>
        <w:tc>
          <w:tcPr>
            <w:tcW w:w="24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78,784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11.06</w:t>
            </w:r>
          </w:p>
        </w:tc>
        <w:tc>
          <w:tcPr>
            <w:tcW w:w="24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175,000</w:t>
            </w:r>
          </w:p>
        </w:tc>
      </w:tr>
      <w:tr>
        <w:trPr>
          <w:trHeight w:val="504"/>
        </w:trPr>
        <w:tc>
          <w:tcPr>
            <w:tcW w:w="220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70"/>
        </w:trPr>
        <w:tc>
          <w:tcPr>
            <w:tcW w:w="2200" w:type="dxa"/>
            <w:vAlign w:val="bottom"/>
          </w:tcPr>
          <w:p>
            <w:pPr>
              <w:ind w:left="140"/>
              <w:spacing w:after="0"/>
              <w:rPr>
                <w:sz w:val="20"/>
                <w:szCs w:val="20"/>
                <w:color w:val="auto"/>
              </w:rPr>
            </w:pPr>
            <w:r>
              <w:rPr>
                <w:rFonts w:ascii="Arial" w:cs="Arial" w:eastAsia="Arial" w:hAnsi="Arial"/>
                <w:sz w:val="18"/>
                <w:szCs w:val="18"/>
                <w:color w:val="auto"/>
              </w:rPr>
              <w:t>not approved by</w:t>
            </w:r>
          </w:p>
        </w:tc>
        <w:tc>
          <w:tcPr>
            <w:tcW w:w="2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stockholders</w:t>
            </w: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3"/>
                <w:szCs w:val="23"/>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-1360805</wp:posOffset>
            </wp:positionV>
            <wp:extent cx="5967730" cy="1390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7730" cy="13906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-1360805</wp:posOffset>
            </wp:positionV>
            <wp:extent cx="5967730" cy="13906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7730" cy="139065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and Dividend History</w:t>
      </w:r>
    </w:p>
    <w:p>
      <w:pPr>
        <w:spacing w:after="0" w:line="200" w:lineRule="exact"/>
        <w:rPr>
          <w:sz w:val="20"/>
          <w:szCs w:val="20"/>
          <w:color w:val="auto"/>
        </w:rPr>
      </w:pPr>
    </w:p>
    <w:p>
      <w:pPr>
        <w:jc w:val="both"/>
        <w:ind w:right="60"/>
        <w:spacing w:after="0" w:line="352" w:lineRule="auto"/>
        <w:rPr>
          <w:sz w:val="20"/>
          <w:szCs w:val="20"/>
          <w:color w:val="auto"/>
        </w:rPr>
      </w:pPr>
      <w:r>
        <w:rPr>
          <w:rFonts w:ascii="Arial" w:cs="Arial" w:eastAsia="Arial" w:hAnsi="Arial"/>
          <w:sz w:val="18"/>
          <w:szCs w:val="18"/>
          <w:color w:val="auto"/>
        </w:rPr>
        <w:t>The Company has historically paid regular quarterly cash dividends on its common stock. The Board of Directors presently intends to continue the payment of regular quarterly cash dividends, subject to the need for those funds for debt service and other purposes. Payment of dividends on the common stock is subject to determination and declaration by the Board of Directors and will depend upon a number of factors, including capital requirements,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49 / 59</w:t>
      </w:r>
    </w:p>
    <w:p>
      <w:pPr>
        <w:sectPr>
          <w:pgSz w:w="11900" w:h="16838" w:orient="portrait"/>
          <w:cols w:equalWidth="0" w:num="1">
            <w:col w:w="9400"/>
          </w:cols>
          <w:pgMar w:left="1260" w:top="1440" w:right="1246" w:bottom="0" w:gutter="0" w:footer="0" w:header="0"/>
          <w:type w:val="continuous"/>
        </w:sectPr>
      </w:pPr>
    </w:p>
    <w:bookmarkStart w:id="49" w:name="page50"/>
    <w:bookmarkEnd w:id="49"/>
    <w:p>
      <w:pPr>
        <w:jc w:val="both"/>
        <w:spacing w:after="0" w:line="307" w:lineRule="auto"/>
        <w:rPr>
          <w:sz w:val="20"/>
          <w:szCs w:val="20"/>
          <w:color w:val="auto"/>
        </w:rPr>
      </w:pPr>
      <w:r>
        <w:rPr>
          <w:rFonts w:ascii="Arial" w:cs="Arial" w:eastAsia="Arial" w:hAnsi="Arial"/>
          <w:sz w:val="20"/>
          <w:szCs w:val="20"/>
          <w:color w:val="auto"/>
        </w:rPr>
        <w:t>regulatory limitations on the payment of dividends, Pathfinder Bank and its subsidiaries’ results of operations and financial condition, tax considerations, and general economic conditions. More details are included within the section titled Regulation and Supervision.</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50 / 59</w:t>
      </w:r>
    </w:p>
    <w:p>
      <w:pPr>
        <w:sectPr>
          <w:pgSz w:w="11900" w:h="16838" w:orient="portrait"/>
          <w:cols w:equalWidth="0" w:num="1">
            <w:col w:w="9320"/>
          </w:cols>
          <w:pgMar w:left="1260" w:top="1173" w:right="1326" w:bottom="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INTRODUCTION</w:t>
      </w:r>
    </w:p>
    <w:p>
      <w:pPr>
        <w:spacing w:after="0" w:line="200" w:lineRule="exact"/>
        <w:rPr>
          <w:sz w:val="20"/>
          <w:szCs w:val="20"/>
          <w:color w:val="auto"/>
        </w:rPr>
      </w:pPr>
    </w:p>
    <w:p>
      <w:pPr>
        <w:jc w:val="both"/>
        <w:ind w:right="40"/>
        <w:spacing w:after="0" w:line="351" w:lineRule="auto"/>
        <w:rPr>
          <w:sz w:val="20"/>
          <w:szCs w:val="20"/>
          <w:color w:val="auto"/>
        </w:rPr>
      </w:pPr>
      <w:r>
        <w:rPr>
          <w:rFonts w:ascii="Arial" w:cs="Arial" w:eastAsia="Arial" w:hAnsi="Arial"/>
          <w:sz w:val="18"/>
          <w:szCs w:val="18"/>
          <w:color w:val="auto"/>
        </w:rPr>
        <w:t>Throughout Management’s Discussion and Analysis (“MD&amp;A”) the term, the “Company”, refers to the consolidated entity of Pathfinder Bancorp, Inc. Pathfinder Bank (the “Bank”) and Pathfinder Statutory Trust II are wholly owned subsidiaries of Pathfinder Bancorp, Inc.; however, Pathfinder Statutory Trust II is not consolidated for reporting purposes (see Note 13 of the consolidated financial statements). Pathfinder Risk Management Company, Inc., and Whispering Oaks Development Corp. are wholly owned subsidiaries of Pathfinder Bank.</w:t>
      </w:r>
    </w:p>
    <w:p>
      <w:pPr>
        <w:spacing w:after="0" w:line="106"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On October 16, 2014, Pathfinder Bancorp, MHC converted from the mutual holding company form of organization to the stock holding company form of organization (the “Conversion”). Following the completion of the Conversion, the Company was created substantially in its current form and Pathfinder Bancorp, MHC ceased to exist. The Company had 6,185,644 and 6,125,649 shares of voting and non-voting common stock in aggregate outstanding at December 31, 2025 and December 31, 2024, respectively.</w:t>
      </w:r>
    </w:p>
    <w:p>
      <w:pPr>
        <w:spacing w:after="0" w:line="118" w:lineRule="exact"/>
        <w:rPr>
          <w:sz w:val="20"/>
          <w:szCs w:val="20"/>
          <w:color w:val="auto"/>
        </w:rPr>
      </w:pPr>
    </w:p>
    <w:p>
      <w:pPr>
        <w:jc w:val="both"/>
        <w:ind w:right="60"/>
        <w:spacing w:after="0" w:line="348" w:lineRule="auto"/>
        <w:rPr>
          <w:sz w:val="20"/>
          <w:szCs w:val="20"/>
          <w:color w:val="auto"/>
        </w:rPr>
      </w:pPr>
      <w:r>
        <w:rPr>
          <w:rFonts w:ascii="Arial" w:cs="Arial" w:eastAsia="Arial" w:hAnsi="Arial"/>
          <w:sz w:val="18"/>
          <w:szCs w:val="18"/>
          <w:color w:val="auto"/>
        </w:rPr>
        <w:t>Since the Conversion, we have substantially transformed our business activities from those of a traditional savings bank to those of a commercial bank. This transformation of activities has significantly affected the overall composition of our balance sheet. While not reducing our role as a leading originator of one-to-four family residential real estate loans within our marketplace, which had been our primary focus as a savings bank, we have substantially grown our commercial business and commercial real estate loan portfolios since the Conversion. As a commercial bank, we have been able to offer customized products and services to meet individual commercial customer needs and thereby more definitively differentiate our services from those offered by our competitors. As a result, we have been able to create a substantially more diversified loan portfolio than the one that was in place before the completion of the Conversion. When compared to the Bank’s loan portfolio composition prior to the Conversion, it is our view that our current asset portfolio (1) significantly improves upon the distribution of credit risk across a broader range of borrowers, industries and collateral types, and (2) is more likely to generate consistent net interest margin in a broader range of interest rate environments due to the portfolio’s increased percentage of shorter-term and/or adjustable-rate assets. In a concurrent effort, the Bank has been able to fund the majority of the high level of growth in our loan portfolios primarily with deposits gathered from our local community. We believe that we have gathered these deposits at a reasonable overall cost in terms of deposit interest rates, as well as at a reasonable overall level of related infrastructure and customer support service expenses.</w:t>
      </w:r>
    </w:p>
    <w:p>
      <w:pPr>
        <w:spacing w:after="0" w:line="118"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On May 8, 2019, the Company entered into a Securities Purchase Agreement (the “Securities Purchase Agreement”) with Castle Creek Capital Partners VII, L.P. (“Castle Creek”), pursuant to which the Company sold: (i) 37,700 shares of the Company’s common stock, par value $0.01 per share, at a purchase price of $14.25 per share (the “Common Stock”); (ii) 1,155,283 shares of a new series of preferred stock, Series B convertible perpetual preferred stock, par value $0.01 per share, at a purchase price of $14.25 per share (the “Series B Preferred Stock”); and (iii) a warrant, with an approximate fair value of $373,000, to purchase 125,000 shares of Common Stock at an exercise price equal to $14.25 per share (the “Warrant”), in a private placement transaction (the “Private Placement”) for gross proceeds of approximately $17.0 million. The Securities Purchase Agreement contains significant representations, warranties, and covenants of the Company and Castle Creek.</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59</w:t>
      </w:r>
    </w:p>
    <w:p>
      <w:pPr>
        <w:sectPr>
          <w:pgSz w:w="11900" w:h="16838" w:orient="portrait"/>
          <w:cols w:equalWidth="0" w:num="1">
            <w:col w:w="9400"/>
          </w:cols>
          <w:pgMar w:left="1260" w:top="1440" w:right="1246" w:bottom="0" w:gutter="0" w:footer="0" w:header="0"/>
          <w:type w:val="continuous"/>
        </w:sectPr>
      </w:pPr>
    </w:p>
    <w:bookmarkStart w:id="51" w:name="page52"/>
    <w:bookmarkEnd w:id="51"/>
    <w:p>
      <w:pPr>
        <w:jc w:val="both"/>
        <w:spacing w:after="0" w:line="351" w:lineRule="auto"/>
        <w:rPr>
          <w:sz w:val="20"/>
          <w:szCs w:val="20"/>
          <w:color w:val="auto"/>
        </w:rPr>
      </w:pPr>
      <w:r>
        <w:rPr>
          <w:rFonts w:ascii="Arial" w:cs="Arial" w:eastAsia="Arial" w:hAnsi="Arial"/>
          <w:sz w:val="18"/>
          <w:szCs w:val="18"/>
          <w:color w:val="auto"/>
        </w:rPr>
        <w:t>On May 8, 2019, the Company filed Articles Supplementary with the Maryland Department of Assessments and Taxation to issue 1,155,283 shares of Series B Preferred Stock to Castle Creek. Each share of the Series B Preferred Stock was convertible on a one-for-one basis into either (i) Common Stock under certain circumstances or (ii) non-voting common stock, par value $0.01 per share (which was also convertible into Common Stock), subject to approval of the creation of such class of non-voting common stock by the Company’s stockholders.</w:t>
      </w:r>
    </w:p>
    <w:p>
      <w:pPr>
        <w:spacing w:after="0" w:line="106"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The Company also entered into subscription agreements dated as of May 8, 2019 (the “Subscription Agreements”) with certain directors and executive officers of the Company as well as other accredited investors. Pursuant to the Subscription Agreements, the investors purchased an aggregate of 269,277 shares of Common Stock at $14.25 per share for gross proceeds of approximately $3.8 million, before payment of placement fees and related costs and expenses. The Subscription Agreements contain representations, warranties, and covenants of the purchasers and the Company that are customary in private placement transactions. The subscription agreements were also part of the Private Placement, and the term “Private Placement” includes both transactions.</w:t>
      </w:r>
    </w:p>
    <w:p>
      <w:pPr>
        <w:spacing w:after="0" w:line="107"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In total, therefore, the Company issued 306,977 shares of Common Stock, 1,155,283 shares of Series B Preferred Stock and the Warrant at the conclusion of the Private Placement. The transaction raised $20.8 million in gross proceeds and the final net cash received from the Private Placement, after all issuance expenses, including placement fees and all other issuance/due diligence costs of $927,000 and $342,000, respectively, was $19.6 million. The fair value of the Warrant at the time of issuance was $373,000.</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Pursuant to NASDAQ rules, Castle Creek could not convert the Series B Preferred Stock or, in the future, the non-voting common stock into Common Stock, or exercise the Warrant if doing so would cause Castle Creek, when combined with the purchases of certain directors and executive officers of the Company as well as other accredited investors in the Private Placement, to own more than 19.99% of the Common Stock outstanding immediately prior to the execution of the Securities Purchase Agreement (the “Exchange Cap”). The Company was required to request stockholder approval to eliminate the Exchange Cap no later than at the 2021 annual meeting of Company shareholders. In addition, at the same meeting, the Company was required to seek shareholder approval to create a class of</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59</w:t>
      </w:r>
    </w:p>
    <w:p>
      <w:pPr>
        <w:sectPr>
          <w:pgSz w:w="11900" w:h="16838" w:orient="portrait"/>
          <w:cols w:equalWidth="0" w:num="1">
            <w:col w:w="9400"/>
          </w:cols>
          <w:pgMar w:left="1260" w:top="1173" w:right="1246" w:bottom="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80"/>
        <w:spacing w:after="0" w:line="355" w:lineRule="auto"/>
        <w:rPr>
          <w:sz w:val="20"/>
          <w:szCs w:val="20"/>
          <w:color w:val="auto"/>
        </w:rPr>
      </w:pPr>
      <w:r>
        <w:rPr>
          <w:rFonts w:ascii="Arial" w:cs="Arial" w:eastAsia="Arial" w:hAnsi="Arial"/>
          <w:sz w:val="18"/>
          <w:szCs w:val="18"/>
          <w:color w:val="auto"/>
        </w:rPr>
        <w:t>non-voting convertible common stock. Castle Creek will need the approval or non-objection of the Board of Governors of the Federal Reserve System and the New York State Department of Financial Services if it seeks to increase its ownership of shares of Common Stock in excess of 9.9% of the outstanding shares of Common Stock.</w:t>
      </w:r>
    </w:p>
    <w:p>
      <w:pPr>
        <w:spacing w:after="0" w:line="102"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 xml:space="preserve">Holders of the Series B Preferred Stock were entitled to receive dividends if declared by the Company’s Board of Directors, in the same per share amount as paid on the Common Stock. No dividends would be payable on the Common Stock unless a dividend identical to that paid on the Common Stock was payable at the same time on the Series B Preferred Stock. The Series B Preferred Stock would rank, as to payments of dividends and distribution of assets upon dissolution, liquidation or winding up of the Company,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Common Stock pro rata. Holders of Series B Preferred Stock had no voting rights except as was required by law. The Series B Preferred Stock was not redeemable by either the Company or by the holder.</w:t>
      </w:r>
    </w:p>
    <w:p>
      <w:pPr>
        <w:spacing w:after="0" w:line="123"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As discussed above, pursuant to the Securities Purchase Agreement, on May 8, 2019, the Company issued a Warrant to Castle Creek to purchase 125,000 shares of non-voting common stock at an exercise price equal to $14.25 per share. At the same time, the Company entered into a Warrant Agreement with Castle Creek, to, among other things, authorize and establish the terms of the Warrant. The Warrant is exercisable at any time after May 8, 2019, and from time to time, in whole or in part, until May 8, 2026. However, the exercise of such Warrant remains subject to certain contractual provisions, and regulatory approval if Castle Creek’s ownership of Common Stock would exceed 9.9%. At December 31, 2025, Castle Creek owned approximately 9.7% of the Company’s common voting stock. The Warrant will receive dividends equal to the amount paid on the Company’s common stock. The dividend payment shall be calculated on (1) the unexercised portion of the 125,000 notional shares encompassed within the terms of the Warrant, less (2) any exercised portion of the 125,000 shares, times (3) the amount of the quarterly dividend paid to common shareholders. Dividend payments, if declared on the Company’s common stock, will be made on the Warrant until its expiration date.</w:t>
      </w:r>
    </w:p>
    <w:p>
      <w:pPr>
        <w:spacing w:after="0" w:line="126"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Following the Private Placement, the Company used the net cash received from the transaction to strengthen the Company’s general capital and liquidity positions, fund growth within our marketplace, purchase certain loan assets, and increase the regulatory capital position of the Bank. The Company will continue to use the additional capital raised through the Private Placement primarily to support the realization of continued growth opportunities within our marketplace and, to a lesser extent, for general corporate purposes.</w:t>
      </w:r>
    </w:p>
    <w:p>
      <w:pPr>
        <w:spacing w:after="0" w:line="118"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Pursuant to the terms of the Securities Purchase Agreement, Castle Creek is entitled to have one representative appointed to the Company’s Board of Directors for so long as Castle Creek, together with its respective affiliates, owns, in the aggregate, 4.9% or more of all of the outstanding shares of the Company’s Common Voting Stock. If Castle Creek, together with its respective affiliates, owns, in the aggregate, 4.9% or more of all of the outstanding shares of the Company’s Common Voting Stock and does not have a board representative appointed to the Company’s Board of Directors, the Company will invite a person designated by Castle Creek to attend meetings of the Company’s Board of Directors as an observer. On June 30, 2023, the Company’s Board of Directors appointed Anthony R. Scavuzzo, a representative of Castle Creek, to the Board of Directors.</w:t>
      </w:r>
    </w:p>
    <w:p>
      <w:pPr>
        <w:spacing w:after="0" w:line="105" w:lineRule="exact"/>
        <w:rPr>
          <w:sz w:val="20"/>
          <w:szCs w:val="20"/>
          <w:color w:val="auto"/>
        </w:rPr>
      </w:pPr>
    </w:p>
    <w:p>
      <w:pPr>
        <w:jc w:val="both"/>
        <w:ind w:right="60"/>
        <w:spacing w:after="0" w:line="373" w:lineRule="auto"/>
        <w:rPr>
          <w:sz w:val="20"/>
          <w:szCs w:val="20"/>
          <w:color w:val="auto"/>
        </w:rPr>
      </w:pPr>
      <w:r>
        <w:rPr>
          <w:rFonts w:ascii="Arial" w:cs="Arial" w:eastAsia="Arial" w:hAnsi="Arial"/>
          <w:sz w:val="17"/>
          <w:szCs w:val="17"/>
          <w:color w:val="auto"/>
        </w:rPr>
        <w:t>On November 13, 2020, the Company entered into an agreement (the “Exchange Agreement”) with Castle Creek providing for the exchange of 225,000 shares of the Company’s Common stock owned by Castle Creek for 225,000 shares of the Company’s Series B Preferred Stock. The exchange was consummated simultaneously with the execution and delivery of the Exchange Agreement. The Company and Castle Creek entered into the Exchange Agreement to enable the equity ownership of Castle Creek to comply with applicable banking laws and regulations. As a result of the Exchange Agreement, on November 13, 2020, the Company issued to Castle Creek 225,000 shares of its Series B Preferred Stock in exchange for an equivalent number of shares of Company Common Stock held by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59</w:t>
      </w:r>
    </w:p>
    <w:p>
      <w:pPr>
        <w:sectPr>
          <w:pgSz w:w="11900" w:h="16838" w:orient="portrait"/>
          <w:cols w:equalWidth="0" w:num="1">
            <w:col w:w="9400"/>
          </w:cols>
          <w:pgMar w:left="1260" w:top="1440" w:right="1246" w:bottom="0" w:gutter="0" w:footer="0" w:header="0"/>
          <w:type w:val="continuous"/>
        </w:sectPr>
      </w:pPr>
    </w:p>
    <w:bookmarkStart w:id="53" w:name="page54"/>
    <w:bookmarkEnd w:id="53"/>
    <w:p>
      <w:pPr>
        <w:jc w:val="both"/>
        <w:ind w:right="40"/>
        <w:spacing w:after="0" w:line="309" w:lineRule="auto"/>
        <w:rPr>
          <w:sz w:val="20"/>
          <w:szCs w:val="20"/>
          <w:color w:val="auto"/>
        </w:rPr>
      </w:pPr>
      <w:r>
        <w:rPr>
          <w:rFonts w:ascii="Arial" w:cs="Arial" w:eastAsia="Arial" w:hAnsi="Arial"/>
          <w:sz w:val="20"/>
          <w:szCs w:val="20"/>
          <w:color w:val="auto"/>
        </w:rPr>
        <w:t>Castle Creek in a transaction exempt from registration under Section 3(a)(9) of the Securities Act of 1933, as amended. Castle Creek was the only stockholder of the Series B Preferred Stock. The Company received no cash proceeds as a result of the exchange. In addition, the Company did not pay any commission or remuneration for the solicitation of the exchange.</w:t>
      </w:r>
    </w:p>
    <w:p>
      <w:pPr>
        <w:spacing w:after="0" w:line="136"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On November 13, 2020, the Company filed an amendment to the Articles Supplementary to the Articles of Incorporation of the Company designating the Series B Preferred Stock with the Maryland Department of Assessments and Taxation to increase the classified number of shares of the Series B Preferred Stock from 1,155,283 to 1,506,000 to allow for the additional issuance of Series B Preferred Stock to Castle Creek. There were no other changes made to the preferences, limitations, powers and relative rights of the Series B Preferred Stock.</w:t>
      </w:r>
    </w:p>
    <w:p>
      <w:pPr>
        <w:spacing w:after="0" w:line="106"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On June 4, 2021, shareholders of the Company approved an amendment to the Company’s Articles of Incorporation to authorize Non-Voting Common Stock, and to eliminate the Exchange Cap. On June 9, 2021, the Company filed Articles Supplementary to the Articles of Incorporation of the Company (the “Articles Supplementary”) with the Maryland State Department of Assessments and Taxation creating a Class A Non-Voting Common Stock, par value $0.01 per share (“Non-Voting Common Stock”). The Articles Supplementary authorized 1,505,283 shares of the Non-Voting Common Stock which Castle Creek received in exchange for the Company’s outstanding Series B Preferred Stock on a one for one basis and allowed for the issuance of 125,000 shares of Non-Voting Common Stock that may be issued upon the exercise of the Warrant.</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 / 59</w:t>
      </w:r>
    </w:p>
    <w:p>
      <w:pPr>
        <w:sectPr>
          <w:pgSz w:w="11900" w:h="16838" w:orient="portrait"/>
          <w:cols w:equalWidth="0" w:num="1">
            <w:col w:w="9380"/>
          </w:cols>
          <w:pgMar w:left="1260" w:top="1173" w:right="1266" w:bottom="0"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auto"/>
        </w:rPr>
        <w:t>The preferences, limitations, powers and relative rights of the Non-Voting Common Stock are set forth in the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Articles Supplementary, a summary of which follows:</w:t>
      </w:r>
    </w:p>
    <w:p>
      <w:pPr>
        <w:spacing w:after="0" w:line="20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u w:val="single" w:color="auto"/>
          <w:color w:val="auto"/>
        </w:rPr>
        <w:t>Ranking</w:t>
      </w:r>
      <w:r>
        <w:rPr>
          <w:rFonts w:ascii="Arial" w:cs="Arial" w:eastAsia="Arial" w:hAnsi="Arial"/>
          <w:sz w:val="20"/>
          <w:szCs w:val="20"/>
          <w:color w:val="auto"/>
        </w:rPr>
        <w:t xml:space="preserve">: The Non-Voting Common Stock will rank, as to the payment of dividends and distribution of assets upon dissolution, liquidation or winding up of the Company, (i)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Company’s Common Stock, and (ii) subordinate and junior to all other securities of the Company which, by their respective terms, are senior to the Non-Voting Common Stock or the Company’s Common Stock.</w:t>
      </w:r>
    </w:p>
    <w:p>
      <w:pPr>
        <w:spacing w:after="0" w:line="136"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u w:val="single" w:color="auto"/>
          <w:color w:val="auto"/>
        </w:rPr>
        <w:t>Dividend Rights</w:t>
      </w:r>
      <w:r>
        <w:rPr>
          <w:rFonts w:ascii="Arial" w:cs="Arial" w:eastAsia="Arial" w:hAnsi="Arial"/>
          <w:sz w:val="20"/>
          <w:szCs w:val="20"/>
          <w:color w:val="auto"/>
        </w:rPr>
        <w:t>: Holders of the Non-Voting Common Stock will be entitled to receive dividends when, as and if declared by the Company’s Board of Directors, in the same per share amount as paid on Company’s Common Stock. No dividends will be payable on the Company’s Common Stock unless a dividend identical to that paid on the Company’s Common Stock is payable at the same time on the Non-Voting Common Stock in an amount per share equal to the product of (i) the per share dividend declared and paid in respect of each share of the Company’s Common Stock and (ii) the number of shares of the Company’s Common Stock into which such share of Non-Voting Common Stock is then convertible (without regard to limitations on conversion of such Non-Voting Common Stock); provided that if any stock dividend is declared on the Company’s Common Stock, the holders of Non-Voting Common Stock will be entitled to receive such dividend payable in shares of Non-Voting Common Stock.</w:t>
      </w:r>
    </w:p>
    <w:p>
      <w:pPr>
        <w:spacing w:after="0" w:line="140"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u w:val="single" w:color="auto"/>
          <w:color w:val="auto"/>
        </w:rPr>
        <w:t>Voting</w:t>
      </w:r>
      <w:r>
        <w:rPr>
          <w:rFonts w:ascii="Arial" w:cs="Arial" w:eastAsia="Arial" w:hAnsi="Arial"/>
          <w:sz w:val="20"/>
          <w:szCs w:val="20"/>
          <w:color w:val="auto"/>
        </w:rPr>
        <w:t>: The holders of shares of Non-Voting Common Stock have no voting rights, except as may be required by Maryland law and as set forth in the Articles Supplementary. So long as any shares of Non-Voting Common Stock are issued and outstanding, the Company will not (including by means of merger, consolidation or otherwise) without obtaining the approval of the holders of a majority of the issued and outstanding shares of Non-Voting Common Stock:</w:t>
      </w:r>
    </w:p>
    <w:p>
      <w:pPr>
        <w:spacing w:after="0" w:line="180" w:lineRule="exact"/>
        <w:rPr>
          <w:sz w:val="20"/>
          <w:szCs w:val="20"/>
          <w:color w:val="auto"/>
        </w:rPr>
      </w:pPr>
    </w:p>
    <w:p>
      <w:pPr>
        <w:ind w:left="940" w:right="60" w:hanging="320"/>
        <w:spacing w:after="0" w:line="365" w:lineRule="auto"/>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alter or change the rights, preferences, privileges or restrictions provided for the benefit of the holders of the Non-Voting Common Stock so as to affect them adversely;</w:t>
      </w:r>
    </w:p>
    <w:p>
      <w:pPr>
        <w:spacing w:after="0" w:line="130" w:lineRule="exact"/>
        <w:rPr>
          <w:rFonts w:ascii="Arial" w:cs="Arial" w:eastAsia="Arial" w:hAnsi="Arial"/>
          <w:sz w:val="20"/>
          <w:szCs w:val="20"/>
          <w:color w:val="auto"/>
        </w:rPr>
      </w:pPr>
    </w:p>
    <w:p>
      <w:pPr>
        <w:ind w:left="940" w:hanging="320"/>
        <w:spacing w:after="0"/>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increase or decrease the authorized number of shares of Non-Voting Common Stock; or</w:t>
      </w:r>
    </w:p>
    <w:p>
      <w:pPr>
        <w:spacing w:after="0" w:line="259" w:lineRule="exact"/>
        <w:rPr>
          <w:rFonts w:ascii="Arial" w:cs="Arial" w:eastAsia="Arial" w:hAnsi="Arial"/>
          <w:sz w:val="20"/>
          <w:szCs w:val="20"/>
          <w:color w:val="auto"/>
        </w:rPr>
      </w:pPr>
    </w:p>
    <w:p>
      <w:pPr>
        <w:jc w:val="both"/>
        <w:ind w:left="940" w:right="20" w:hanging="320"/>
        <w:spacing w:after="0" w:line="370" w:lineRule="auto"/>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enter into any agreement, merger or business combination, or engage in any other transaction, or take any action that would have the effect of adversely changing any preference or any relative or other right provided for the benefit of the holders of the Non-Voting Common Stock.</w:t>
      </w:r>
    </w:p>
    <w:p>
      <w:pPr>
        <w:spacing w:after="0" w:line="91" w:lineRule="exact"/>
        <w:rPr>
          <w:sz w:val="20"/>
          <w:szCs w:val="20"/>
          <w:color w:val="auto"/>
        </w:rPr>
      </w:pPr>
    </w:p>
    <w:p>
      <w:pPr>
        <w:jc w:val="both"/>
        <w:ind w:right="20"/>
        <w:spacing w:after="0" w:line="330" w:lineRule="auto"/>
        <w:rPr>
          <w:sz w:val="20"/>
          <w:szCs w:val="20"/>
          <w:color w:val="auto"/>
        </w:rPr>
      </w:pPr>
      <w:r>
        <w:rPr>
          <w:rFonts w:ascii="Arial" w:cs="Arial" w:eastAsia="Arial" w:hAnsi="Arial"/>
          <w:sz w:val="19"/>
          <w:szCs w:val="19"/>
          <w:u w:val="single" w:color="auto"/>
          <w:color w:val="auto"/>
        </w:rPr>
        <w:t>Redemption and Repurchase:</w:t>
      </w:r>
      <w:r>
        <w:rPr>
          <w:rFonts w:ascii="Arial" w:cs="Arial" w:eastAsia="Arial" w:hAnsi="Arial"/>
          <w:sz w:val="19"/>
          <w:szCs w:val="19"/>
          <w:color w:val="auto"/>
        </w:rPr>
        <w:t xml:space="preserve"> The Non-Voting Common Stock is not redeemable by the Company or the holder. However, in the event that the Company offers to repurchase shares of the Company’s Common Stock, the Company must offer to repurchase shares of the Non-Voting Common Stock pro rata based upon the number of shares of the Company’s Common Stock such holders would be entitled to receive if such shares were converted into shares of the Company’s Common Stock immediately prior to such repurchase.</w:t>
      </w:r>
    </w:p>
    <w:p>
      <w:pPr>
        <w:spacing w:after="0" w:line="118"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Each share of Non-Voting Common Stock will be convertible into one share of the Company’s Common Stock (i) at any time and from time to time at the request of the holder thereof or at the written request of the Company; provided that upon such conversion, the holder, together with all affiliates of the holder, will not own or control in the aggregate more than 9.9% of the Company’s Common Stock (or of any class of the Company’s voting securities), excluding for the purpose of this calculation any reduction in the ownership resulting from transfers by such holder of voting securities (which, for the avoidance of doubt, does not include the Non-Voting Common Stock); or (ii) automatically, without any further action of the part of the holder, on the date that the holder transfers such share of Non-Voting Common Stock to a non-affiliate of the holder in a permissible transfer.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55 / 59</w:t>
      </w:r>
    </w:p>
    <w:p>
      <w:pPr>
        <w:sectPr>
          <w:pgSz w:w="11900" w:h="16838" w:orient="portrait"/>
          <w:cols w:equalWidth="0" w:num="1">
            <w:col w:w="9400"/>
          </w:cols>
          <w:pgMar w:left="1260" w:top="1440" w:right="1246" w:bottom="0" w:gutter="0" w:footer="0" w:header="0"/>
          <w:type w:val="continuous"/>
        </w:sectPr>
      </w:pPr>
    </w:p>
    <w:bookmarkStart w:id="55" w:name="page56"/>
    <w:bookmarkEnd w:id="55"/>
    <w:p>
      <w:pPr>
        <w:jc w:val="center"/>
        <w:ind w:right="-13"/>
        <w:spacing w:after="0"/>
        <w:rPr>
          <w:sz w:val="20"/>
          <w:szCs w:val="20"/>
          <w:color w:val="auto"/>
        </w:rPr>
      </w:pPr>
      <w:r>
        <w:rPr>
          <w:rFonts w:ascii="Arial" w:cs="Arial" w:eastAsia="Arial" w:hAnsi="Arial"/>
          <w:sz w:val="20"/>
          <w:szCs w:val="20"/>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56 / 59</w:t>
      </w:r>
    </w:p>
    <w:p>
      <w:pPr>
        <w:sectPr>
          <w:pgSz w:w="11900" w:h="16838" w:orient="portrait"/>
          <w:cols w:equalWidth="0" w:num="1">
            <w:col w:w="9026"/>
          </w:cols>
          <w:pgMar w:left="1440" w:top="1297" w:right="1440" w:bottom="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SELECTED FINANCIAL DATA</w:t>
      </w:r>
    </w:p>
    <w:p>
      <w:pPr>
        <w:spacing w:after="0" w:line="200"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The following selected consolidated financial data sets forth certain financial highlights of the Company and should be read in conjunction with the consolidated financial statements and related notes: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7"/>
          </w:tcPr>
          <w:p>
            <w:pPr>
              <w:jc w:val="right"/>
              <w:ind w:right="10"/>
              <w:spacing w:after="0"/>
              <w:rPr>
                <w:sz w:val="20"/>
                <w:szCs w:val="20"/>
                <w:color w:val="auto"/>
              </w:rPr>
            </w:pPr>
            <w:r>
              <w:rPr>
                <w:rFonts w:ascii="Arial" w:cs="Arial" w:eastAsia="Arial" w:hAnsi="Arial"/>
                <w:sz w:val="18"/>
                <w:szCs w:val="18"/>
                <w:color w:val="auto"/>
                <w:w w:val="93"/>
              </w:rPr>
              <w:t>At or for the year ended December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80"/>
        </w:trPr>
        <w:tc>
          <w:tcPr>
            <w:tcW w:w="37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 share amounts)</w:t>
            </w:r>
          </w:p>
        </w:tc>
        <w:tc>
          <w:tcPr>
            <w:tcW w:w="18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4"/>
                <w:szCs w:val="24"/>
                <w:color w:val="auto"/>
              </w:rPr>
            </w:pPr>
          </w:p>
        </w:tc>
      </w:tr>
      <w:tr>
        <w:trPr>
          <w:trHeight w:val="46"/>
        </w:trPr>
        <w:tc>
          <w:tcPr>
            <w:tcW w:w="3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w w:val="87"/>
              </w:rPr>
              <w:t>1,426,636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1,474,874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1,465,798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1,399,921</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1,285,177</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securities available-for-sale</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276,815</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269,331</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258,716</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191,726</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190,598</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Investment securities held-to-maturity</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130,324</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158,683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179,286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194,402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160,923</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receivable, net</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867,234</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901,743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881,232</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882,435</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819,524</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w w:val="87"/>
              </w:rPr>
              <w:t>1,183,848</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1,204,524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1,120,067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1,125,430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1,055,346</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Borrowings and subordinated debt</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88,229</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118,175</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205,513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145,730</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106,661</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122,451</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121,483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120,256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111,582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110,633</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70"/>
        </w:trPr>
        <w:tc>
          <w:tcPr>
            <w:tcW w:w="37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For the Year</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income</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76,653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78,357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67,663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51,098</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45,827</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Total interest expense</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32,318</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37,368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7,532</w:t>
            </w:r>
          </w:p>
        </w:tc>
        <w:tc>
          <w:tcPr>
            <w:tcW w:w="240" w:type="dxa"/>
            <w:vAlign w:val="bottom"/>
          </w:tcPr>
          <w:p>
            <w:pPr>
              <w:spacing w:after="0"/>
              <w:rPr>
                <w:sz w:val="20"/>
                <w:szCs w:val="20"/>
                <w:color w:val="auto"/>
              </w:rPr>
            </w:pPr>
          </w:p>
        </w:tc>
      </w:tr>
      <w:tr>
        <w:trPr>
          <w:trHeight w:val="46"/>
        </w:trPr>
        <w:tc>
          <w:tcPr>
            <w:tcW w:w="3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44,335</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40,989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38,919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41,403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38,295</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16,342</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10,973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0"/>
                <w:szCs w:val="20"/>
                <w:color w:val="auto"/>
              </w:rPr>
            </w:pPr>
          </w:p>
        </w:tc>
      </w:tr>
      <w:tr>
        <w:trPr>
          <w:trHeight w:val="46"/>
        </w:trPr>
        <w:tc>
          <w:tcPr>
            <w:tcW w:w="3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Net interest income after provision for credit losses</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27,993</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30,016</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35,989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38,649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37,273</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6,231</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noninterest expense</w:t>
            </w:r>
          </w:p>
        </w:tc>
        <w:tc>
          <w:tcPr>
            <w:tcW w:w="1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34,581</w:t>
            </w:r>
          </w:p>
        </w:tc>
        <w:tc>
          <w:tcPr>
            <w:tcW w:w="1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34,417</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29,395</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28,874</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27,495</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(4,093)</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11,784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16,009</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w w:val="96"/>
              </w:rPr>
              <w:t>Net income attributable to noncontrolling interest</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0"/>
                <w:szCs w:val="20"/>
                <w:color w:val="auto"/>
              </w:rPr>
            </w:pPr>
          </w:p>
        </w:tc>
      </w:tr>
      <w:tr>
        <w:trPr>
          <w:trHeight w:val="46"/>
        </w:trPr>
        <w:tc>
          <w:tcPr>
            <w:tcW w:w="3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34"/>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Pathfinder</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7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Bancorp, Inc.</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9,293</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12,932</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12,407</w:t>
            </w:r>
          </w:p>
        </w:tc>
        <w:tc>
          <w:tcPr>
            <w:tcW w:w="240" w:type="dxa"/>
            <w:vAlign w:val="bottom"/>
            <w:shd w:val="clear" w:color="auto" w:fill="CFF0FC"/>
          </w:tcPr>
          <w:p>
            <w:pPr>
              <w:spacing w:after="0"/>
              <w:rPr>
                <w:sz w:val="23"/>
                <w:szCs w:val="23"/>
                <w:color w:val="auto"/>
              </w:rPr>
            </w:pPr>
          </w:p>
        </w:tc>
      </w:tr>
      <w:tr>
        <w:trPr>
          <w:trHeight w:val="81"/>
        </w:trPr>
        <w:tc>
          <w:tcPr>
            <w:tcW w:w="37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Convertible preferred stock dividends</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 dividends</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w w:val="98"/>
              </w:rPr>
              <w:t>Undistributed earnings allocated to participating</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2,699</w:t>
            </w:r>
          </w:p>
        </w:tc>
        <w:tc>
          <w:tcPr>
            <w:tcW w:w="240" w:type="dxa"/>
            <w:vAlign w:val="bottom"/>
          </w:tcPr>
          <w:p>
            <w:pPr>
              <w:spacing w:after="0"/>
              <w:rPr>
                <w:sz w:val="23"/>
                <w:szCs w:val="23"/>
                <w:color w:val="auto"/>
              </w:rPr>
            </w:pPr>
          </w:p>
        </w:tc>
      </w:tr>
      <w:tr>
        <w:trPr>
          <w:trHeight w:val="46"/>
        </w:trPr>
        <w:tc>
          <w:tcPr>
            <w:tcW w:w="3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34"/>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available to common</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7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shareholders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7,519</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10,221</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9,576</w:t>
            </w:r>
          </w:p>
        </w:tc>
        <w:tc>
          <w:tcPr>
            <w:tcW w:w="240" w:type="dxa"/>
            <w:vAlign w:val="bottom"/>
            <w:shd w:val="clear" w:color="auto" w:fill="CFF0FC"/>
          </w:tcPr>
          <w:p>
            <w:pPr>
              <w:spacing w:after="0"/>
              <w:rPr>
                <w:sz w:val="23"/>
                <w:szCs w:val="23"/>
                <w:color w:val="auto"/>
              </w:rPr>
            </w:pPr>
          </w:p>
        </w:tc>
      </w:tr>
      <w:tr>
        <w:trPr>
          <w:trHeight w:val="81"/>
        </w:trPr>
        <w:tc>
          <w:tcPr>
            <w:tcW w:w="37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r>
      <w:tr>
        <w:trPr>
          <w:trHeight w:val="270"/>
        </w:trPr>
        <w:tc>
          <w:tcPr>
            <w:tcW w:w="3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 Share</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(Loss) income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income per share - diluted</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Book value per common share</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18.43</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70"/>
        </w:trPr>
        <w:tc>
          <w:tcPr>
            <w:tcW w:w="3760" w:type="dxa"/>
            <w:vAlign w:val="bottom"/>
            <w:shd w:val="clear" w:color="auto" w:fill="CFF0FC"/>
          </w:tcPr>
          <w:p>
            <w:pPr>
              <w:spacing w:after="0" w:line="270" w:lineRule="exact"/>
              <w:rPr>
                <w:sz w:val="20"/>
                <w:szCs w:val="20"/>
                <w:color w:val="auto"/>
              </w:rPr>
            </w:pPr>
            <w:r>
              <w:rPr>
                <w:rFonts w:ascii="Arial" w:cs="Arial" w:eastAsia="Arial" w:hAnsi="Arial"/>
                <w:sz w:val="18"/>
                <w:szCs w:val="18"/>
                <w:color w:val="auto"/>
              </w:rPr>
              <w:t xml:space="preserve">Tangible book value per common share </w:t>
            </w:r>
            <w:r>
              <w:rPr>
                <w:rFonts w:ascii="Arial" w:cs="Arial" w:eastAsia="Arial" w:hAnsi="Arial"/>
                <w:sz w:val="24"/>
                <w:szCs w:val="24"/>
                <w:color w:val="auto"/>
                <w:vertAlign w:val="superscript"/>
              </w:rPr>
              <w:t>(a)</w:t>
            </w:r>
          </w:p>
        </w:tc>
        <w:tc>
          <w:tcPr>
            <w:tcW w:w="18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240" w:type="dxa"/>
            <w:vAlign w:val="bottom"/>
            <w:shd w:val="clear" w:color="auto" w:fill="CFF0FC"/>
          </w:tcPr>
          <w:p>
            <w:pPr>
              <w:spacing w:after="0"/>
              <w:rPr>
                <w:sz w:val="23"/>
                <w:szCs w:val="23"/>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Cash dividends declared</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70"/>
        </w:trPr>
        <w:tc>
          <w:tcPr>
            <w:tcW w:w="37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Performance Ratios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Return on average assets</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(0.13) %</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8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11.91</w:t>
            </w:r>
          </w:p>
        </w:tc>
        <w:tc>
          <w:tcPr>
            <w:tcW w:w="240" w:type="dxa"/>
            <w:vAlign w:val="bottom"/>
          </w:tcPr>
          <w:p>
            <w:pPr>
              <w:spacing w:after="0"/>
              <w:rPr>
                <w:sz w:val="20"/>
                <w:szCs w:val="20"/>
                <w:color w:val="auto"/>
              </w:rPr>
            </w:pPr>
          </w:p>
        </w:tc>
      </w:tr>
      <w:tr>
        <w:trPr>
          <w:trHeight w:val="36"/>
        </w:trPr>
        <w:tc>
          <w:tcPr>
            <w:tcW w:w="3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equity to average assets</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color w:val="auto"/>
                <w:w w:val="94"/>
              </w:rPr>
              <w:t>Shareholders' Equity to total assets at end of year</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-7279005</wp:posOffset>
            </wp:positionV>
            <wp:extent cx="357759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7759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-7101205</wp:posOffset>
            </wp:positionV>
            <wp:extent cx="596773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-5037455</wp:posOffset>
            </wp:positionV>
            <wp:extent cx="596773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-4688205</wp:posOffset>
            </wp:positionV>
            <wp:extent cx="596773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-4167505</wp:posOffset>
            </wp:positionV>
            <wp:extent cx="596773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-3646805</wp:posOffset>
            </wp:positionV>
            <wp:extent cx="596773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-3297555</wp:posOffset>
            </wp:positionV>
            <wp:extent cx="5967730"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-2583180</wp:posOffset>
            </wp:positionV>
            <wp:extent cx="596773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-2233930</wp:posOffset>
            </wp:positionV>
            <wp:extent cx="5967730" cy="28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59</w:t>
      </w:r>
    </w:p>
    <w:p>
      <w:pPr>
        <w:sectPr>
          <w:pgSz w:w="11900" w:h="16838" w:orient="portrait"/>
          <w:cols w:equalWidth="0" w:num="1">
            <w:col w:w="9400"/>
          </w:cols>
          <w:pgMar w:left="1260" w:top="1440" w:right="1246" w:bottom="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50"/>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interest rate spread</w:t>
            </w:r>
          </w:p>
        </w:tc>
        <w:tc>
          <w:tcPr>
            <w:tcW w:w="112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rPr>
              <w:t>2.67</w:t>
            </w:r>
          </w:p>
        </w:tc>
        <w:tc>
          <w:tcPr>
            <w:tcW w:w="10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2.37</w:t>
            </w:r>
          </w:p>
        </w:tc>
        <w:tc>
          <w:tcPr>
            <w:tcW w:w="11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2.47</w:t>
            </w:r>
          </w:p>
        </w:tc>
        <w:tc>
          <w:tcPr>
            <w:tcW w:w="11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3.05</w:t>
            </w:r>
          </w:p>
        </w:tc>
        <w:tc>
          <w:tcPr>
            <w:tcW w:w="11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3.06</w:t>
            </w:r>
          </w:p>
        </w:tc>
      </w:tr>
      <w:tr>
        <w:trPr>
          <w:trHeight w:val="234"/>
        </w:trPr>
        <w:tc>
          <w:tcPr>
            <w:tcW w:w="3880" w:type="dxa"/>
            <w:vAlign w:val="bottom"/>
          </w:tcPr>
          <w:p>
            <w:pPr>
              <w:spacing w:after="0"/>
              <w:rPr>
                <w:sz w:val="20"/>
                <w:szCs w:val="20"/>
                <w:color w:val="auto"/>
              </w:rPr>
            </w:pPr>
            <w:r>
              <w:rPr>
                <w:rFonts w:ascii="Arial" w:cs="Arial" w:eastAsia="Arial" w:hAnsi="Arial"/>
                <w:sz w:val="18"/>
                <w:szCs w:val="18"/>
                <w:color w:val="auto"/>
              </w:rPr>
              <w:t>Net interest margin</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3.21</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2.98</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2.95</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3.24</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3.21</w:t>
            </w:r>
          </w:p>
        </w:tc>
      </w:tr>
      <w:tr>
        <w:trPr>
          <w:trHeight w:val="36"/>
        </w:trPr>
        <w:tc>
          <w:tcPr>
            <w:tcW w:w="3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w w:val="93"/>
              </w:rPr>
              <w:t>Average interest-earning assets to average interest-</w:t>
            </w:r>
          </w:p>
        </w:tc>
        <w:tc>
          <w:tcPr>
            <w:tcW w:w="1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86"/>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bearing liabilities</w:t>
            </w:r>
          </w:p>
        </w:tc>
        <w:tc>
          <w:tcPr>
            <w:tcW w:w="112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rPr>
              <w:t>123.57</w:t>
            </w:r>
          </w:p>
        </w:tc>
        <w:tc>
          <w:tcPr>
            <w:tcW w:w="10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122.58</w:t>
            </w:r>
          </w:p>
        </w:tc>
        <w:tc>
          <w:tcPr>
            <w:tcW w:w="11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121.63</w:t>
            </w:r>
          </w:p>
        </w:tc>
        <w:tc>
          <w:tcPr>
            <w:tcW w:w="11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124.03</w:t>
            </w:r>
          </w:p>
        </w:tc>
        <w:tc>
          <w:tcPr>
            <w:tcW w:w="11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124.61</w:t>
            </w:r>
          </w:p>
        </w:tc>
      </w:tr>
      <w:tr>
        <w:trPr>
          <w:trHeight w:val="234"/>
        </w:trPr>
        <w:tc>
          <w:tcPr>
            <w:tcW w:w="3880" w:type="dxa"/>
            <w:vAlign w:val="bottom"/>
          </w:tcPr>
          <w:p>
            <w:pPr>
              <w:spacing w:after="0"/>
              <w:rPr>
                <w:sz w:val="20"/>
                <w:szCs w:val="20"/>
                <w:color w:val="auto"/>
              </w:rPr>
            </w:pPr>
            <w:r>
              <w:rPr>
                <w:rFonts w:ascii="Arial" w:cs="Arial" w:eastAsia="Arial" w:hAnsi="Arial"/>
                <w:sz w:val="18"/>
                <w:szCs w:val="18"/>
                <w:color w:val="auto"/>
              </w:rPr>
              <w:t>Noninterest expense to average assets</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2.36</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2.37</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2.11</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2.15</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2.18</w:t>
            </w:r>
          </w:p>
        </w:tc>
      </w:tr>
      <w:tr>
        <w:trPr>
          <w:trHeight w:val="36"/>
        </w:trPr>
        <w:tc>
          <w:tcPr>
            <w:tcW w:w="3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3880" w:type="dxa"/>
            <w:vAlign w:val="bottom"/>
            <w:shd w:val="clear" w:color="auto" w:fill="CFF0FC"/>
          </w:tcPr>
          <w:p>
            <w:pPr>
              <w:spacing w:after="0" w:line="270" w:lineRule="exact"/>
              <w:rPr>
                <w:sz w:val="20"/>
                <w:szCs w:val="20"/>
                <w:color w:val="auto"/>
              </w:rPr>
            </w:pPr>
            <w:r>
              <w:rPr>
                <w:rFonts w:ascii="Arial" w:cs="Arial" w:eastAsia="Arial" w:hAnsi="Arial"/>
                <w:sz w:val="18"/>
                <w:szCs w:val="18"/>
                <w:color w:val="auto"/>
              </w:rPr>
              <w:t xml:space="preserve">Efficiency ratio </w:t>
            </w:r>
            <w:r>
              <w:rPr>
                <w:rFonts w:ascii="Arial" w:cs="Arial" w:eastAsia="Arial" w:hAnsi="Arial"/>
                <w:sz w:val="24"/>
                <w:szCs w:val="24"/>
                <w:color w:val="auto"/>
                <w:vertAlign w:val="superscript"/>
              </w:rPr>
              <w:t>(a) (b)</w:t>
            </w:r>
          </w:p>
        </w:tc>
        <w:tc>
          <w:tcPr>
            <w:tcW w:w="11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69.12</w:t>
            </w:r>
          </w:p>
        </w:tc>
        <w:tc>
          <w:tcPr>
            <w:tcW w:w="10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72.53</w:t>
            </w:r>
          </w:p>
        </w:tc>
        <w:tc>
          <w:tcPr>
            <w:tcW w:w="11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66.74</w:t>
            </w:r>
          </w:p>
        </w:tc>
        <w:tc>
          <w:tcPr>
            <w:tcW w:w="11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60.81</w:t>
            </w:r>
          </w:p>
        </w:tc>
        <w:tc>
          <w:tcPr>
            <w:tcW w:w="11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61.80</w:t>
            </w:r>
          </w:p>
        </w:tc>
      </w:tr>
      <w:tr>
        <w:trPr>
          <w:trHeight w:val="234"/>
        </w:trPr>
        <w:tc>
          <w:tcPr>
            <w:tcW w:w="3880" w:type="dxa"/>
            <w:vAlign w:val="bottom"/>
          </w:tcPr>
          <w:p>
            <w:pPr>
              <w:spacing w:after="0"/>
              <w:rPr>
                <w:sz w:val="20"/>
                <w:szCs w:val="20"/>
                <w:color w:val="auto"/>
              </w:rPr>
            </w:pPr>
            <w:r>
              <w:rPr>
                <w:rFonts w:ascii="Arial" w:cs="Arial" w:eastAsia="Arial" w:hAnsi="Arial"/>
                <w:sz w:val="18"/>
                <w:szCs w:val="18"/>
                <w:color w:val="auto"/>
              </w:rPr>
              <w:t>Dividend payout ratio</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(269.03)</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78.28</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28.95</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20.87</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16.17</w:t>
            </w:r>
          </w:p>
        </w:tc>
      </w:tr>
      <w:tr>
        <w:trPr>
          <w:trHeight w:val="36"/>
        </w:trPr>
        <w:tc>
          <w:tcPr>
            <w:tcW w:w="3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Return on average common equity</w:t>
            </w:r>
          </w:p>
        </w:tc>
        <w:tc>
          <w:tcPr>
            <w:tcW w:w="11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(1.54)</w:t>
            </w:r>
          </w:p>
        </w:tc>
        <w:tc>
          <w:tcPr>
            <w:tcW w:w="10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2.75</w:t>
            </w:r>
          </w:p>
        </w:tc>
        <w:tc>
          <w:tcPr>
            <w:tcW w:w="11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8.09</w:t>
            </w:r>
          </w:p>
        </w:tc>
        <w:tc>
          <w:tcPr>
            <w:tcW w:w="11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11.77</w:t>
            </w:r>
          </w:p>
        </w:tc>
        <w:tc>
          <w:tcPr>
            <w:tcW w:w="11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11.91</w:t>
            </w:r>
          </w:p>
        </w:tc>
      </w:tr>
      <w:tr>
        <w:trPr>
          <w:trHeight w:val="36"/>
        </w:trPr>
        <w:tc>
          <w:tcPr>
            <w:tcW w:w="388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58 / 59</w:t>
      </w:r>
    </w:p>
    <w:p>
      <w:pPr>
        <w:sectPr>
          <w:pgSz w:w="11900" w:h="16838" w:orient="portrait"/>
          <w:cols w:equalWidth="0" w:num="1">
            <w:col w:w="9400"/>
          </w:cols>
          <w:pgMar w:left="1260" w:top="1133" w:right="1246" w:bottom="0"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At December 31,</w:t>
            </w: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80"/>
        </w:trPr>
        <w:tc>
          <w:tcPr>
            <w:tcW w:w="39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4"/>
                <w:szCs w:val="24"/>
                <w:color w:val="auto"/>
              </w:rPr>
            </w:pPr>
          </w:p>
        </w:tc>
      </w:tr>
      <w:tr>
        <w:trPr>
          <w:trHeight w:val="280"/>
        </w:trPr>
        <w:tc>
          <w:tcPr>
            <w:tcW w:w="3980" w:type="dxa"/>
            <w:vAlign w:val="bottom"/>
          </w:tcPr>
          <w:p>
            <w:pPr>
              <w:spacing w:after="0"/>
              <w:rPr>
                <w:sz w:val="20"/>
                <w:szCs w:val="20"/>
                <w:color w:val="auto"/>
              </w:rPr>
            </w:pPr>
            <w:r>
              <w:rPr>
                <w:rFonts w:ascii="Arial" w:cs="Arial" w:eastAsia="Arial" w:hAnsi="Arial"/>
                <w:sz w:val="18"/>
                <w:szCs w:val="18"/>
                <w:b w:val="1"/>
                <w:bCs w:val="1"/>
                <w:color w:val="auto"/>
              </w:rPr>
              <w:t>Asset Quality Ratios</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
        </w:trPr>
        <w:tc>
          <w:tcPr>
            <w:tcW w:w="3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Nonperforming loans to year end loans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38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4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4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398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0.66</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0.65</w:t>
            </w:r>
          </w:p>
        </w:tc>
        <w:tc>
          <w:tcPr>
            <w:tcW w:w="240" w:type="dxa"/>
            <w:vAlign w:val="bottom"/>
          </w:tcPr>
          <w:p>
            <w:pPr>
              <w:spacing w:after="0"/>
              <w:rPr>
                <w:sz w:val="20"/>
                <w:szCs w:val="20"/>
                <w:color w:val="auto"/>
              </w:rPr>
            </w:pPr>
          </w:p>
        </w:tc>
      </w:tr>
      <w:tr>
        <w:trPr>
          <w:trHeight w:val="36"/>
        </w:trPr>
        <w:tc>
          <w:tcPr>
            <w:tcW w:w="3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credit losses to year end loans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3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4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8"/>
                <w:szCs w:val="18"/>
                <w:color w:val="auto"/>
                <w:w w:val="98"/>
              </w:rPr>
              <w:t>Allowance for credit losses to nonperforming loans</w:t>
            </w:r>
          </w:p>
        </w:tc>
        <w:tc>
          <w:tcPr>
            <w:tcW w:w="860" w:type="dxa"/>
            <w:vAlign w:val="bottom"/>
          </w:tcPr>
          <w:p>
            <w:pPr>
              <w:jc w:val="right"/>
              <w:spacing w:after="0"/>
              <w:rPr>
                <w:sz w:val="20"/>
                <w:szCs w:val="20"/>
                <w:color w:val="auto"/>
              </w:rPr>
            </w:pPr>
            <w:r>
              <w:rPr>
                <w:rFonts w:ascii="Arial" w:cs="Arial" w:eastAsia="Arial" w:hAnsi="Arial"/>
                <w:sz w:val="18"/>
                <w:szCs w:val="18"/>
                <w:color w:val="auto"/>
              </w:rPr>
              <w:t>106.80</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78.08</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92.73</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169.93</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155.99</w:t>
            </w:r>
          </w:p>
        </w:tc>
        <w:tc>
          <w:tcPr>
            <w:tcW w:w="240" w:type="dxa"/>
            <w:vAlign w:val="bottom"/>
          </w:tcPr>
          <w:p>
            <w:pPr>
              <w:spacing w:after="0"/>
              <w:rPr>
                <w:sz w:val="20"/>
                <w:szCs w:val="20"/>
                <w:color w:val="auto"/>
              </w:rPr>
            </w:pPr>
          </w:p>
        </w:tc>
      </w:tr>
      <w:tr>
        <w:trPr>
          <w:trHeight w:val="36"/>
        </w:trPr>
        <w:tc>
          <w:tcPr>
            <w:tcW w:w="3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70"/>
        </w:trPr>
        <w:tc>
          <w:tcPr>
            <w:tcW w:w="39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Regulatory Capital Ratios (Bank Only)</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
        </w:trPr>
        <w:tc>
          <w:tcPr>
            <w:tcW w:w="3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Capital (to risk-weighted assets)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38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4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4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3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398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13.45</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13.80</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13.88</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240" w:type="dxa"/>
            <w:vAlign w:val="bottom"/>
          </w:tcPr>
          <w:p>
            <w:pPr>
              <w:spacing w:after="0"/>
              <w:rPr>
                <w:sz w:val="20"/>
                <w:szCs w:val="20"/>
                <w:color w:val="auto"/>
              </w:rPr>
            </w:pPr>
          </w:p>
        </w:tc>
      </w:tr>
      <w:tr>
        <w:trPr>
          <w:trHeight w:val="36"/>
        </w:trPr>
        <w:tc>
          <w:tcPr>
            <w:tcW w:w="3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0"/>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Tier 1 Capital (to average assets)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3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4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4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3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8"/>
                <w:szCs w:val="18"/>
                <w:color w:val="auto"/>
              </w:rPr>
              <w:t>Common Equity Tier 1 (to risk-weighted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13.45</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13.80</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13.88</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240" w:type="dxa"/>
            <w:vAlign w:val="bottom"/>
          </w:tcPr>
          <w:p>
            <w:pPr>
              <w:spacing w:after="0"/>
              <w:rPr>
                <w:sz w:val="20"/>
                <w:szCs w:val="20"/>
                <w:color w:val="auto"/>
              </w:rPr>
            </w:pPr>
          </w:p>
        </w:tc>
      </w:tr>
      <w:tr>
        <w:trPr>
          <w:trHeight w:val="36"/>
        </w:trPr>
        <w:tc>
          <w:tcPr>
            <w:tcW w:w="3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70"/>
        </w:trPr>
        <w:tc>
          <w:tcPr>
            <w:tcW w:w="39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
        </w:trPr>
        <w:tc>
          <w:tcPr>
            <w:tcW w:w="3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34"/>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Banking offices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
        </w:trPr>
        <w:tc>
          <w:tcPr>
            <w:tcW w:w="398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-2583815</wp:posOffset>
            </wp:positionV>
            <wp:extent cx="347472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74720" cy="635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-2406015</wp:posOffset>
            </wp:positionV>
            <wp:extent cx="347472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7472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59 / 59</w:t>
      </w:r>
    </w:p>
    <w:p>
      <w:pPr>
        <w:sectPr>
          <w:pgSz w:w="11900" w:h="16838" w:orient="portrait"/>
          <w:cols w:equalWidth="0" w:num="1">
            <w:col w:w="9400"/>
          </w:cols>
          <w:pgMar w:left="1260" w:top="1440" w:right="1246" w:bottom="0" w:gutter="0" w:footer="0" w:header="0"/>
          <w:type w:val="continuous"/>
        </w:sectPr>
      </w:pPr>
    </w:p>
    <w:bookmarkStart w:id="59" w:name="page60"/>
    <w:bookmarkEnd w:id="59"/>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Fulltime equivalent employees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8"/>
          <w:szCs w:val="8"/>
          <w:color w:val="auto"/>
        </w:rPr>
        <w:t>(a)</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table below for reconciliation of the non-GAAP financial measures.</w:t>
      </w:r>
    </w:p>
    <w:p>
      <w:pPr>
        <w:spacing w:after="0" w:line="52" w:lineRule="exact"/>
        <w:rPr>
          <w:sz w:val="20"/>
          <w:szCs w:val="20"/>
          <w:color w:val="auto"/>
        </w:rPr>
      </w:pPr>
    </w:p>
    <w:p>
      <w:pPr>
        <w:spacing w:after="0"/>
        <w:rPr>
          <w:sz w:val="20"/>
          <w:szCs w:val="20"/>
          <w:color w:val="auto"/>
        </w:rPr>
      </w:pPr>
      <w:r>
        <w:rPr>
          <w:rFonts w:ascii="Arial" w:cs="Arial" w:eastAsia="Arial" w:hAnsi="Arial"/>
          <w:sz w:val="8"/>
          <w:szCs w:val="8"/>
          <w:color w:val="auto"/>
        </w:rPr>
        <w:t>(b)</w:t>
      </w:r>
    </w:p>
    <w:p>
      <w:pPr>
        <w:spacing w:after="0" w:line="39" w:lineRule="exact"/>
        <w:rPr>
          <w:sz w:val="20"/>
          <w:szCs w:val="20"/>
          <w:color w:val="auto"/>
        </w:rPr>
      </w:pPr>
    </w:p>
    <w:p>
      <w:pPr>
        <w:ind w:left="420" w:right="60"/>
        <w:spacing w:after="0" w:line="559" w:lineRule="auto"/>
        <w:rPr>
          <w:sz w:val="20"/>
          <w:szCs w:val="20"/>
          <w:color w:val="auto"/>
        </w:rPr>
      </w:pPr>
      <w:r>
        <w:rPr>
          <w:rFonts w:ascii="Arial" w:cs="Arial" w:eastAsia="Arial" w:hAnsi="Arial"/>
          <w:sz w:val="14"/>
          <w:szCs w:val="14"/>
          <w:color w:val="auto"/>
        </w:rPr>
        <w:t>The efficiency ratio is calculated as noninterest expense divided by the sum of net interest income and noninterest income, excluding net gains on sales, redemptions and impairment of investment securities and net gains (losses) on sales of loans and foreclosed real estate.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NON-GAAP FINANCIAL INFORMATION</w:t>
      </w:r>
    </w:p>
    <w:p>
      <w:pPr>
        <w:spacing w:after="0" w:line="200"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Regulation G, a rule adopted by the Securities and Exchange Commission (SEC), applies to certain SEC filings,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18</w:t>
      </w:r>
    </w:p>
    <w:p>
      <w:pPr>
        <w:sectPr>
          <w:pgSz w:w="11900" w:h="16838" w:orient="portrait"/>
          <w:cols w:equalWidth="0" w:num="1">
            <w:col w:w="9400"/>
          </w:cols>
          <w:pgMar w:left="1260" w:top="1440" w:right="1246" w:bottom="0" w:gutter="0" w:footer="0" w:header="0"/>
          <w:type w:val="continuous"/>
        </w:sectPr>
      </w:pPr>
    </w:p>
    <w:bookmarkStart w:id="60" w:name="page61"/>
    <w:bookmarkEnd w:id="60"/>
    <w:p>
      <w:pPr>
        <w:jc w:val="both"/>
        <w:spacing w:after="0" w:line="329" w:lineRule="auto"/>
        <w:rPr>
          <w:sz w:val="20"/>
          <w:szCs w:val="20"/>
          <w:color w:val="auto"/>
        </w:rPr>
      </w:pPr>
      <w:r>
        <w:rPr>
          <w:rFonts w:ascii="Arial" w:cs="Arial" w:eastAsia="Arial" w:hAnsi="Arial"/>
          <w:sz w:val="19"/>
          <w:szCs w:val="19"/>
          <w:color w:val="auto"/>
        </w:rPr>
        <w:t>that are financial in nature but are not based on GAAP and are not easily reconcilable to the closest comparable GAAP financial measures, even in those cases where a comparable measure exists. The Company follows industry practice in disclosing its financial condition under these various regulatory capital measures, including period-end regulatory capital ratios for its subsidiary bank, in its periodic reports filed with the SEC, and does so without compliance with Regulation G, on the widely-shared assumption that the SEC regards such non-GAAP measures to be exempt from Regulation G. The Company uses in this regulatory filing additional non-GAAP financial measures that are commonly utilized by financial institutions and have not been specifically exempted by the SEC from Regulation G. The Company provides, as supplemental information, such non-GAAP measures included in this document as described immediately below.</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 / 18</w:t>
      </w:r>
    </w:p>
    <w:p>
      <w:pPr>
        <w:sectPr>
          <w:pgSz w:w="11900" w:h="16838" w:orient="portrait"/>
          <w:cols w:equalWidth="0" w:num="1">
            <w:col w:w="9340"/>
          </w:cols>
          <w:pgMar w:left="1260" w:top="1173" w:right="1306" w:bottom="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9"/>
          </w:tcPr>
          <w:p>
            <w:pPr>
              <w:jc w:val="right"/>
              <w:spacing w:after="0"/>
              <w:rPr>
                <w:sz w:val="20"/>
                <w:szCs w:val="20"/>
                <w:color w:val="auto"/>
              </w:rPr>
            </w:pPr>
            <w:r>
              <w:rPr>
                <w:rFonts w:ascii="Arial" w:cs="Arial" w:eastAsia="Arial" w:hAnsi="Arial"/>
                <w:sz w:val="18"/>
                <w:szCs w:val="18"/>
                <w:color w:val="auto"/>
                <w:w w:val="92"/>
              </w:rPr>
              <w:t>At or for the year ended December 31,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94"/>
        </w:trPr>
        <w:tc>
          <w:tcPr>
            <w:tcW w:w="43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 share amounts)</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4"/>
                <w:szCs w:val="24"/>
                <w:color w:val="auto"/>
              </w:rPr>
            </w:pPr>
          </w:p>
        </w:tc>
      </w:tr>
      <w:tr>
        <w:trPr>
          <w:trHeight w:val="46"/>
        </w:trPr>
        <w:tc>
          <w:tcPr>
            <w:tcW w:w="4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4"/>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 Share</w:t>
            </w: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r>
      <w:tr>
        <w:trPr>
          <w:trHeight w:val="250"/>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Book value per common share</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6"/>
        </w:trPr>
        <w:tc>
          <w:tcPr>
            <w:tcW w:w="4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48"/>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4"/>
              </w:rPr>
              <w:t>Total Pathfinder Bancorp, Inc. shareholders' equity (book</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7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value)</w:t>
            </w:r>
          </w:p>
        </w:tc>
        <w:tc>
          <w:tcPr>
            <w:tcW w:w="26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r>
      <w:tr>
        <w:trPr>
          <w:trHeight w:val="286"/>
        </w:trPr>
        <w:tc>
          <w:tcPr>
            <w:tcW w:w="43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(GAAP)</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122,451</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121,483</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119,495</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110,997</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110,287</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Total shares outstanding</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6,126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5,983</w:t>
            </w:r>
          </w:p>
        </w:tc>
        <w:tc>
          <w:tcPr>
            <w:tcW w:w="220" w:type="dxa"/>
            <w:vAlign w:val="bottom"/>
          </w:tcPr>
          <w:p>
            <w:pPr>
              <w:spacing w:after="0"/>
              <w:rPr>
                <w:sz w:val="21"/>
                <w:szCs w:val="21"/>
                <w:color w:val="auto"/>
              </w:rPr>
            </w:pPr>
          </w:p>
        </w:tc>
      </w:tr>
      <w:tr>
        <w:trPr>
          <w:trHeight w:val="46"/>
        </w:trPr>
        <w:tc>
          <w:tcPr>
            <w:tcW w:w="4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48"/>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Book value per common share</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220" w:type="dxa"/>
            <w:vAlign w:val="bottom"/>
            <w:shd w:val="clear" w:color="auto" w:fill="CFF0FC"/>
          </w:tcPr>
          <w:p>
            <w:pPr>
              <w:spacing w:after="0"/>
              <w:rPr>
                <w:sz w:val="21"/>
                <w:szCs w:val="21"/>
                <w:color w:val="auto"/>
              </w:rPr>
            </w:pPr>
          </w:p>
        </w:tc>
      </w:tr>
      <w:tr>
        <w:trPr>
          <w:trHeight w:val="81"/>
        </w:trPr>
        <w:tc>
          <w:tcPr>
            <w:tcW w:w="43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r>
      <w:tr>
        <w:trPr>
          <w:trHeight w:val="284"/>
        </w:trPr>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common equity</w:t>
            </w: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Total equity (GAAP)</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122,451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121,483</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119,495</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110,997</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110,287</w:t>
            </w:r>
          </w:p>
        </w:tc>
        <w:tc>
          <w:tcPr>
            <w:tcW w:w="220" w:type="dxa"/>
            <w:vAlign w:val="bottom"/>
          </w:tcPr>
          <w:p>
            <w:pPr>
              <w:spacing w:after="0"/>
              <w:rPr>
                <w:sz w:val="21"/>
                <w:szCs w:val="21"/>
                <w:color w:val="auto"/>
              </w:rPr>
            </w:pPr>
          </w:p>
        </w:tc>
      </w:tr>
      <w:tr>
        <w:trPr>
          <w:trHeight w:val="36"/>
        </w:trPr>
        <w:tc>
          <w:tcPr>
            <w:tcW w:w="4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5,056</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5,056</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5,362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1"/>
                <w:szCs w:val="21"/>
                <w:color w:val="auto"/>
              </w:rPr>
            </w:pPr>
          </w:p>
        </w:tc>
      </w:tr>
      <w:tr>
        <w:trPr>
          <w:trHeight w:val="46"/>
        </w:trPr>
        <w:tc>
          <w:tcPr>
            <w:tcW w:w="4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48"/>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Tangible common equity</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112,033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110,438</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114,874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106,360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105,634</w:t>
            </w:r>
          </w:p>
        </w:tc>
        <w:tc>
          <w:tcPr>
            <w:tcW w:w="220" w:type="dxa"/>
            <w:vAlign w:val="bottom"/>
            <w:shd w:val="clear" w:color="auto" w:fill="CFF0FC"/>
          </w:tcPr>
          <w:p>
            <w:pPr>
              <w:spacing w:after="0"/>
              <w:rPr>
                <w:sz w:val="21"/>
                <w:szCs w:val="21"/>
                <w:color w:val="auto"/>
              </w:rPr>
            </w:pPr>
          </w:p>
        </w:tc>
      </w:tr>
      <w:tr>
        <w:trPr>
          <w:trHeight w:val="81"/>
        </w:trPr>
        <w:tc>
          <w:tcPr>
            <w:tcW w:w="43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r>
      <w:tr>
        <w:trPr>
          <w:trHeight w:val="284"/>
        </w:trPr>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Tangible book value per common share</w:t>
            </w: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Tangible common equity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112,033</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110,438</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114,874</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106,360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105,634</w:t>
            </w:r>
          </w:p>
        </w:tc>
        <w:tc>
          <w:tcPr>
            <w:tcW w:w="220" w:type="dxa"/>
            <w:vAlign w:val="bottom"/>
          </w:tcPr>
          <w:p>
            <w:pPr>
              <w:spacing w:after="0"/>
              <w:rPr>
                <w:sz w:val="21"/>
                <w:szCs w:val="21"/>
                <w:color w:val="auto"/>
              </w:rPr>
            </w:pPr>
          </w:p>
        </w:tc>
      </w:tr>
      <w:tr>
        <w:trPr>
          <w:trHeight w:val="36"/>
        </w:trPr>
        <w:tc>
          <w:tcPr>
            <w:tcW w:w="4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7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shares outstanding</w:t>
            </w:r>
          </w:p>
        </w:tc>
        <w:tc>
          <w:tcPr>
            <w:tcW w:w="26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6,186</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6,032</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220" w:type="dxa"/>
            <w:vAlign w:val="bottom"/>
            <w:tcBorders>
              <w:bottom w:val="single" w:sz="8" w:color="CFF0FC"/>
            </w:tcBorders>
            <w:shd w:val="clear" w:color="auto" w:fill="CFF0FC"/>
          </w:tcPr>
          <w:p>
            <w:pPr>
              <w:spacing w:after="0"/>
              <w:rPr>
                <w:sz w:val="23"/>
                <w:szCs w:val="23"/>
                <w:color w:val="auto"/>
              </w:rPr>
            </w:pPr>
          </w:p>
        </w:tc>
      </w:tr>
      <w:tr>
        <w:trPr>
          <w:trHeight w:val="248"/>
        </w:trPr>
        <w:tc>
          <w:tcPr>
            <w:tcW w:w="4340" w:type="dxa"/>
            <w:vAlign w:val="bottom"/>
          </w:tcPr>
          <w:p>
            <w:pPr>
              <w:ind w:left="260"/>
              <w:spacing w:after="0"/>
              <w:rPr>
                <w:sz w:val="20"/>
                <w:szCs w:val="20"/>
                <w:color w:val="auto"/>
              </w:rPr>
            </w:pPr>
            <w:r>
              <w:rPr>
                <w:rFonts w:ascii="Arial" w:cs="Arial" w:eastAsia="Arial" w:hAnsi="Arial"/>
                <w:sz w:val="18"/>
                <w:szCs w:val="18"/>
                <w:color w:val="auto"/>
              </w:rPr>
              <w:t>Tangible book value per common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18.03</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18.83</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17.63</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21"/>
                <w:szCs w:val="21"/>
                <w:color w:val="auto"/>
              </w:rPr>
            </w:pPr>
          </w:p>
        </w:tc>
      </w:tr>
      <w:tr>
        <w:trPr>
          <w:trHeight w:val="81"/>
        </w:trPr>
        <w:tc>
          <w:tcPr>
            <w:tcW w:w="4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286"/>
        </w:trPr>
        <w:tc>
          <w:tcPr>
            <w:tcW w:w="43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r>
      <w:tr>
        <w:trPr>
          <w:trHeight w:val="248"/>
        </w:trPr>
        <w:tc>
          <w:tcPr>
            <w:tcW w:w="4340" w:type="dxa"/>
            <w:vAlign w:val="bottom"/>
          </w:tcPr>
          <w:p>
            <w:pPr>
              <w:spacing w:after="0"/>
              <w:rPr>
                <w:sz w:val="20"/>
                <w:szCs w:val="20"/>
                <w:color w:val="auto"/>
              </w:rPr>
            </w:pPr>
            <w:r>
              <w:rPr>
                <w:rFonts w:ascii="Arial" w:cs="Arial" w:eastAsia="Arial" w:hAnsi="Arial"/>
                <w:sz w:val="18"/>
                <w:szCs w:val="18"/>
                <w:b w:val="1"/>
                <w:bCs w:val="1"/>
                <w:color w:val="auto"/>
              </w:rPr>
              <w:t>Performance Ratios</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6"/>
        </w:trPr>
        <w:tc>
          <w:tcPr>
            <w:tcW w:w="4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Efficiency ratio</w:t>
            </w: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Total noninterest expense (numerator)</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34,581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34,417</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29,395</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28,874</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27,495</w:t>
            </w:r>
          </w:p>
        </w:tc>
        <w:tc>
          <w:tcPr>
            <w:tcW w:w="220" w:type="dxa"/>
            <w:vAlign w:val="bottom"/>
          </w:tcPr>
          <w:p>
            <w:pPr>
              <w:spacing w:after="0"/>
              <w:rPr>
                <w:sz w:val="21"/>
                <w:szCs w:val="21"/>
                <w:color w:val="auto"/>
              </w:rPr>
            </w:pPr>
          </w:p>
        </w:tc>
      </w:tr>
      <w:tr>
        <w:trPr>
          <w:trHeight w:val="36"/>
        </w:trPr>
        <w:tc>
          <w:tcPr>
            <w:tcW w:w="4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interest income</w:t>
            </w: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44,335</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40,989</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38,919</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41,403</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38,295</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Noninterest income</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9,561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6,231</w:t>
            </w:r>
          </w:p>
        </w:tc>
        <w:tc>
          <w:tcPr>
            <w:tcW w:w="220" w:type="dxa"/>
            <w:vAlign w:val="bottom"/>
          </w:tcPr>
          <w:p>
            <w:pPr>
              <w:spacing w:after="0"/>
              <w:rPr>
                <w:sz w:val="21"/>
                <w:szCs w:val="21"/>
                <w:color w:val="auto"/>
              </w:rPr>
            </w:pPr>
          </w:p>
        </w:tc>
      </w:tr>
      <w:tr>
        <w:trPr>
          <w:trHeight w:val="36"/>
        </w:trPr>
        <w:tc>
          <w:tcPr>
            <w:tcW w:w="4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48"/>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Less: (Losses) gains on the sales and redemptions of</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86"/>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securities</w:t>
            </w:r>
          </w:p>
        </w:tc>
        <w:tc>
          <w:tcPr>
            <w:tcW w:w="2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w w:val="95"/>
              </w:rPr>
              <w:t>Less: Gains on sales of loans and foreclosed real estate</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1"/>
                <w:szCs w:val="21"/>
                <w:color w:val="auto"/>
              </w:rPr>
            </w:pPr>
          </w:p>
        </w:tc>
      </w:tr>
      <w:tr>
        <w:trPr>
          <w:trHeight w:val="36"/>
        </w:trPr>
        <w:tc>
          <w:tcPr>
            <w:tcW w:w="4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Less: Fair value adjustment to loans held-for-sale</w:t>
            </w: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Less: Loss (gain) on asset sale</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46"/>
        </w:trPr>
        <w:tc>
          <w:tcPr>
            <w:tcW w:w="4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 (denominator)</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50,028</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47,265</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43,866</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47,349</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44,176</w:t>
            </w:r>
          </w:p>
        </w:tc>
        <w:tc>
          <w:tcPr>
            <w:tcW w:w="220" w:type="dxa"/>
            <w:vAlign w:val="bottom"/>
            <w:tcBorders>
              <w:bottom w:val="single" w:sz="8" w:color="CFF0FC"/>
            </w:tcBorders>
            <w:shd w:val="clear" w:color="auto" w:fill="CFF0FC"/>
          </w:tcPr>
          <w:p>
            <w:pPr>
              <w:spacing w:after="0"/>
              <w:rPr>
                <w:sz w:val="23"/>
                <w:szCs w:val="23"/>
                <w:color w:val="auto"/>
              </w:rPr>
            </w:pPr>
          </w:p>
        </w:tc>
      </w:tr>
      <w:tr>
        <w:trPr>
          <w:trHeight w:val="248"/>
        </w:trPr>
        <w:tc>
          <w:tcPr>
            <w:tcW w:w="4340" w:type="dxa"/>
            <w:vAlign w:val="bottom"/>
          </w:tcPr>
          <w:p>
            <w:pPr>
              <w:ind w:left="260"/>
              <w:spacing w:after="0"/>
              <w:rPr>
                <w:sz w:val="20"/>
                <w:szCs w:val="20"/>
                <w:color w:val="auto"/>
              </w:rPr>
            </w:pPr>
            <w:r>
              <w:rPr>
                <w:rFonts w:ascii="Arial" w:cs="Arial" w:eastAsia="Arial" w:hAnsi="Arial"/>
                <w:sz w:val="18"/>
                <w:szCs w:val="18"/>
                <w:color w:val="auto"/>
              </w:rPr>
              <w:t>Efficiency ratio</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72.82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60.98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1"/>
        </w:trPr>
        <w:tc>
          <w:tcPr>
            <w:tcW w:w="4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284"/>
        </w:trPr>
        <w:tc>
          <w:tcPr>
            <w:tcW w:w="43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Dividend payout ratio</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6"/>
        </w:trPr>
        <w:tc>
          <w:tcPr>
            <w:tcW w:w="4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Dividends declared (numerator)</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Net (loss) income available to common shareholders</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7,519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10,221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9,576</w:t>
            </w:r>
          </w:p>
        </w:tc>
        <w:tc>
          <w:tcPr>
            <w:tcW w:w="220" w:type="dxa"/>
            <w:vAlign w:val="bottom"/>
          </w:tcPr>
          <w:p>
            <w:pPr>
              <w:spacing w:after="0"/>
              <w:rPr>
                <w:sz w:val="23"/>
                <w:szCs w:val="23"/>
                <w:color w:val="auto"/>
              </w:rPr>
            </w:pPr>
          </w:p>
        </w:tc>
      </w:tr>
      <w:tr>
        <w:trPr>
          <w:trHeight w:val="46"/>
        </w:trPr>
        <w:tc>
          <w:tcPr>
            <w:tcW w:w="4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48"/>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payout ratio</w:t>
            </w:r>
          </w:p>
        </w:tc>
        <w:tc>
          <w:tcPr>
            <w:tcW w:w="2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(269.03) %</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81"/>
        </w:trPr>
        <w:tc>
          <w:tcPr>
            <w:tcW w:w="43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r>
      <w:tr>
        <w:trPr>
          <w:trHeight w:val="284"/>
        </w:trPr>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Return on average common equity</w:t>
            </w: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w w:val="95"/>
              </w:rPr>
              <w:t>Net (loss) income attributable to Pathfinder Bancorp Inc.</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(GAAP)</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4340" w:type="dxa"/>
            <w:vAlign w:val="bottom"/>
          </w:tcPr>
          <w:p>
            <w:pPr>
              <w:ind w:left="120"/>
              <w:spacing w:after="0"/>
              <w:rPr>
                <w:sz w:val="20"/>
                <w:szCs w:val="20"/>
                <w:color w:val="auto"/>
              </w:rPr>
            </w:pPr>
            <w:r>
              <w:rPr>
                <w:rFonts w:ascii="Arial" w:cs="Arial" w:eastAsia="Arial" w:hAnsi="Arial"/>
                <w:sz w:val="18"/>
                <w:szCs w:val="18"/>
                <w:color w:val="auto"/>
              </w:rPr>
              <w:t>(numerator)</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(1,933)</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3,383</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9,293</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12,932</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12,407</w:t>
            </w:r>
          </w:p>
        </w:tc>
        <w:tc>
          <w:tcPr>
            <w:tcW w:w="220" w:type="dxa"/>
            <w:vAlign w:val="bottom"/>
          </w:tcPr>
          <w:p>
            <w:pPr>
              <w:spacing w:after="0"/>
              <w:rPr>
                <w:sz w:val="23"/>
                <w:szCs w:val="23"/>
                <w:color w:val="auto"/>
              </w:rPr>
            </w:pPr>
          </w:p>
        </w:tc>
      </w:tr>
      <w:tr>
        <w:trPr>
          <w:trHeight w:val="36"/>
        </w:trPr>
        <w:tc>
          <w:tcPr>
            <w:tcW w:w="4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7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Average equity (denominator)</w:t>
            </w:r>
          </w:p>
        </w:tc>
        <w:tc>
          <w:tcPr>
            <w:tcW w:w="26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125,920</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122,901</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114,824</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109,898</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104,131</w:t>
            </w:r>
          </w:p>
        </w:tc>
        <w:tc>
          <w:tcPr>
            <w:tcW w:w="220" w:type="dxa"/>
            <w:vAlign w:val="bottom"/>
            <w:tcBorders>
              <w:bottom w:val="single" w:sz="8" w:color="CFF0FC"/>
            </w:tcBorders>
            <w:shd w:val="clear" w:color="auto" w:fill="CFF0FC"/>
          </w:tcPr>
          <w:p>
            <w:pPr>
              <w:spacing w:after="0"/>
              <w:rPr>
                <w:sz w:val="23"/>
                <w:szCs w:val="23"/>
                <w:color w:val="auto"/>
              </w:rPr>
            </w:pPr>
          </w:p>
        </w:tc>
      </w:tr>
      <w:tr>
        <w:trPr>
          <w:trHeight w:val="248"/>
        </w:trPr>
        <w:tc>
          <w:tcPr>
            <w:tcW w:w="4340" w:type="dxa"/>
            <w:vAlign w:val="bottom"/>
          </w:tcPr>
          <w:p>
            <w:pPr>
              <w:ind w:left="260"/>
              <w:spacing w:after="0"/>
              <w:rPr>
                <w:sz w:val="20"/>
                <w:szCs w:val="20"/>
                <w:color w:val="auto"/>
              </w:rPr>
            </w:pPr>
            <w:r>
              <w:rPr>
                <w:rFonts w:ascii="Arial" w:cs="Arial" w:eastAsia="Arial" w:hAnsi="Arial"/>
                <w:sz w:val="18"/>
                <w:szCs w:val="18"/>
                <w:color w:val="auto"/>
              </w:rPr>
              <w:t>Return on average common equity</w:t>
            </w:r>
          </w:p>
        </w:tc>
        <w:tc>
          <w:tcPr>
            <w:tcW w:w="2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-8250555</wp:posOffset>
            </wp:positionV>
            <wp:extent cx="311658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658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-8063230</wp:posOffset>
            </wp:positionV>
            <wp:extent cx="596773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-6990715</wp:posOffset>
            </wp:positionV>
            <wp:extent cx="596773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-6804025</wp:posOffset>
            </wp:positionV>
            <wp:extent cx="5967730" cy="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-5872480</wp:posOffset>
            </wp:positionV>
            <wp:extent cx="596773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-5685155</wp:posOffset>
            </wp:positionV>
            <wp:extent cx="5967730" cy="28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-4934585</wp:posOffset>
            </wp:positionV>
            <wp:extent cx="596773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-4747260</wp:posOffset>
            </wp:positionV>
            <wp:extent cx="5967730" cy="28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-2740660</wp:posOffset>
            </wp:positionV>
            <wp:extent cx="596773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-2553335</wp:posOffset>
            </wp:positionV>
            <wp:extent cx="596773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-2366645</wp:posOffset>
            </wp:positionV>
            <wp:extent cx="5967730" cy="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-1443990</wp:posOffset>
            </wp:positionV>
            <wp:extent cx="596773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-1257300</wp:posOffset>
            </wp:positionV>
            <wp:extent cx="5967730" cy="28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596773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18</w:t>
      </w:r>
    </w:p>
    <w:p>
      <w:pPr>
        <w:sectPr>
          <w:pgSz w:w="11900" w:h="16838" w:orient="portrait"/>
          <w:cols w:equalWidth="0" w:num="1">
            <w:col w:w="9400"/>
          </w:cols>
          <w:pgMar w:left="1260" w:top="1440" w:right="1246" w:bottom="0" w:gutter="0" w:footer="0" w:header="0"/>
          <w:type w:val="continuous"/>
        </w:sectPr>
      </w:pPr>
    </w:p>
    <w:bookmarkStart w:id="62" w:name="page63"/>
    <w:bookmarkEnd w:id="62"/>
    <w:p>
      <w:pPr>
        <w:spacing w:after="0" w:line="31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18</w:t>
      </w:r>
    </w:p>
    <w:p>
      <w:pPr>
        <w:sectPr>
          <w:pgSz w:w="11900" w:h="16838" w:orient="portrait"/>
          <w:cols w:equalWidth="0" w:num="1">
            <w:col w:w="9026"/>
          </w:cols>
          <w:pgMar w:left="1440" w:top="1440" w:right="1440" w:bottom="0"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8"/>
          </w:tcPr>
          <w:p>
            <w:pPr>
              <w:jc w:val="right"/>
              <w:ind w:right="50"/>
              <w:spacing w:after="0"/>
              <w:rPr>
                <w:sz w:val="20"/>
                <w:szCs w:val="20"/>
                <w:color w:val="auto"/>
              </w:rPr>
            </w:pPr>
            <w:r>
              <w:rPr>
                <w:rFonts w:ascii="Arial" w:cs="Arial" w:eastAsia="Arial" w:hAnsi="Arial"/>
                <w:sz w:val="18"/>
                <w:szCs w:val="18"/>
                <w:color w:val="auto"/>
                <w:w w:val="92"/>
              </w:rPr>
              <w:t>At or for the year ended December 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80"/>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 share amounts)</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4"/>
                <w:szCs w:val="24"/>
                <w:color w:val="auto"/>
              </w:rPr>
            </w:pPr>
          </w:p>
        </w:tc>
      </w:tr>
      <w:tr>
        <w:trPr>
          <w:trHeight w:val="46"/>
        </w:trPr>
        <w:tc>
          <w:tcPr>
            <w:tcW w:w="4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Regulatory Capital Ratios (Bank Only)</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Capital (to risk-weighted assets)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equity (GAAP)</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138,947</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140,641</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137,943</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126,148</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121,896</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4"/>
        </w:trPr>
        <w:tc>
          <w:tcPr>
            <w:tcW w:w="4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(4,536)</w:t>
            </w:r>
          </w:p>
        </w:tc>
        <w:tc>
          <w:tcPr>
            <w:tcW w:w="180" w:type="dxa"/>
            <w:vAlign w:val="bottom"/>
          </w:tcPr>
          <w:p>
            <w:pPr>
              <w:spacing w:after="0"/>
              <w:rPr>
                <w:sz w:val="20"/>
                <w:szCs w:val="20"/>
                <w:color w:val="auto"/>
              </w:rPr>
            </w:pPr>
          </w:p>
        </w:tc>
      </w:t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4"/>
        </w:trPr>
        <w:tc>
          <w:tcPr>
            <w:tcW w:w="4080" w:type="dxa"/>
            <w:vAlign w:val="bottom"/>
          </w:tcPr>
          <w:p>
            <w:pPr>
              <w:ind w:left="80"/>
              <w:spacing w:after="0"/>
              <w:rPr>
                <w:sz w:val="20"/>
                <w:szCs w:val="20"/>
                <w:color w:val="auto"/>
              </w:rPr>
            </w:pPr>
            <w:r>
              <w:rPr>
                <w:rFonts w:ascii="Arial" w:cs="Arial" w:eastAsia="Arial" w:hAnsi="Arial"/>
                <w:sz w:val="18"/>
                <w:szCs w:val="18"/>
                <w:color w:val="auto"/>
                <w:w w:val="94"/>
              </w:rPr>
              <w:t>Addback: Accumulated other comprehensive income</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12,172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20"/>
                <w:szCs w:val="20"/>
                <w:color w:val="auto"/>
              </w:rPr>
            </w:pPr>
          </w:p>
        </w:tc>
      </w:tr>
      <w:tr>
        <w:trPr>
          <w:trHeight w:val="46"/>
        </w:trPr>
        <w:tc>
          <w:tcPr>
            <w:tcW w:w="4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40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Tier 1 Capital</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133,896</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138,740</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142,927</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133,683</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118,511</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4"/>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credit losses (subject to regulatory</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limits)</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12,663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13,007</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12,995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12,076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10,655</w:t>
            </w:r>
          </w:p>
        </w:tc>
        <w:tc>
          <w:tcPr>
            <w:tcW w:w="180" w:type="dxa"/>
            <w:vAlign w:val="bottom"/>
          </w:tcPr>
          <w:p>
            <w:pPr>
              <w:spacing w:after="0"/>
              <w:rPr>
                <w:sz w:val="23"/>
                <w:szCs w:val="23"/>
                <w:color w:val="auto"/>
              </w:rPr>
            </w:pPr>
          </w:p>
        </w:tc>
      </w:tr>
      <w:tr>
        <w:trPr>
          <w:trHeight w:val="46"/>
        </w:trPr>
        <w:tc>
          <w:tcPr>
            <w:tcW w:w="4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60"/>
        </w:trPr>
        <w:tc>
          <w:tcPr>
            <w:tcW w:w="40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Tier 2 Capital</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12,663</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13,007</w:t>
            </w:r>
          </w:p>
        </w:tc>
        <w:tc>
          <w:tcPr>
            <w:tcW w:w="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12,076</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10,655</w:t>
            </w:r>
          </w:p>
        </w:tc>
        <w:tc>
          <w:tcPr>
            <w:tcW w:w="180" w:type="dxa"/>
            <w:vAlign w:val="bottom"/>
            <w:tcBorders>
              <w:bottom w:val="single" w:sz="8" w:color="CFF0FC"/>
            </w:tcBorders>
            <w:shd w:val="clear" w:color="auto" w:fill="CFF0FC"/>
          </w:tcPr>
          <w:p>
            <w:pPr>
              <w:spacing w:after="0"/>
              <w:rPr>
                <w:sz w:val="22"/>
                <w:szCs w:val="22"/>
                <w:color w:val="auto"/>
              </w:rPr>
            </w:pPr>
          </w:p>
        </w:tc>
      </w:tr>
      <w:tr>
        <w:trPr>
          <w:trHeight w:val="234"/>
        </w:trPr>
        <w:tc>
          <w:tcPr>
            <w:tcW w:w="4080" w:type="dxa"/>
            <w:vAlign w:val="bottom"/>
          </w:tcPr>
          <w:p>
            <w:pPr>
              <w:ind w:left="300"/>
              <w:spacing w:after="0"/>
              <w:rPr>
                <w:sz w:val="20"/>
                <w:szCs w:val="20"/>
                <w:color w:val="auto"/>
              </w:rPr>
            </w:pPr>
            <w:r>
              <w:rPr>
                <w:rFonts w:ascii="Arial" w:cs="Arial" w:eastAsia="Arial" w:hAnsi="Arial"/>
                <w:sz w:val="18"/>
                <w:szCs w:val="18"/>
                <w:color w:val="auto"/>
              </w:rPr>
              <w:t>Total Tier 1 plus Tier 2 Capital (numerator)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146,559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151,747</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155,922</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145,759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129,166</w:t>
            </w:r>
          </w:p>
        </w:tc>
        <w:tc>
          <w:tcPr>
            <w:tcW w:w="180" w:type="dxa"/>
            <w:vAlign w:val="bottom"/>
          </w:tcPr>
          <w:p>
            <w:pPr>
              <w:spacing w:after="0"/>
              <w:rPr>
                <w:sz w:val="20"/>
                <w:szCs w:val="20"/>
                <w:color w:val="auto"/>
              </w:rPr>
            </w:pPr>
          </w:p>
        </w:tc>
      </w:t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Risk-weighted assets (denominator)</w:t>
            </w:r>
          </w:p>
        </w:tc>
        <w:tc>
          <w:tcPr>
            <w:tcW w:w="1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995,575</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1,035,557</w:t>
            </w:r>
          </w:p>
        </w:tc>
        <w:tc>
          <w:tcPr>
            <w:tcW w:w="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1,035,747</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962,861</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850,157</w:t>
            </w:r>
          </w:p>
        </w:tc>
        <w:tc>
          <w:tcPr>
            <w:tcW w:w="180" w:type="dxa"/>
            <w:vAlign w:val="bottom"/>
            <w:tcBorders>
              <w:bottom w:val="single" w:sz="8" w:color="CFF0FC"/>
            </w:tcBorders>
            <w:shd w:val="clear" w:color="auto" w:fill="CFF0FC"/>
          </w:tcPr>
          <w:p>
            <w:pPr>
              <w:spacing w:after="0"/>
              <w:rPr>
                <w:sz w:val="22"/>
                <w:szCs w:val="22"/>
                <w:color w:val="auto"/>
              </w:rPr>
            </w:pPr>
          </w:p>
        </w:tc>
      </w:tr>
      <w:tr>
        <w:trPr>
          <w:trHeight w:val="234"/>
        </w:trPr>
        <w:tc>
          <w:tcPr>
            <w:tcW w:w="4080" w:type="dxa"/>
            <w:vAlign w:val="bottom"/>
          </w:tcPr>
          <w:p>
            <w:pPr>
              <w:ind w:left="260"/>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81"/>
        </w:trPr>
        <w:tc>
          <w:tcPr>
            <w:tcW w:w="4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270"/>
        </w:trPr>
        <w:tc>
          <w:tcPr>
            <w:tcW w:w="40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r>
      <w:tr>
        <w:trPr>
          <w:trHeight w:val="234"/>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Tier 1 Capital (to risk-weighted assets)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Tier 1 Capital (numerator)</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133,896</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138,740</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142,927</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133,683</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118,511</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4"/>
        </w:trPr>
        <w:tc>
          <w:tcPr>
            <w:tcW w:w="4080" w:type="dxa"/>
            <w:vAlign w:val="bottom"/>
          </w:tcPr>
          <w:p>
            <w:pPr>
              <w:ind w:left="40"/>
              <w:spacing w:after="0"/>
              <w:rPr>
                <w:sz w:val="20"/>
                <w:szCs w:val="20"/>
                <w:color w:val="auto"/>
              </w:rPr>
            </w:pPr>
            <w:r>
              <w:rPr>
                <w:rFonts w:ascii="Arial" w:cs="Arial" w:eastAsia="Arial" w:hAnsi="Arial"/>
                <w:sz w:val="18"/>
                <w:szCs w:val="18"/>
                <w:color w:val="auto"/>
              </w:rPr>
              <w:t>Risk-weighted assets (denominator)</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995,575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1,035,557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1,035,747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962,861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850,157</w:t>
            </w:r>
          </w:p>
        </w:tc>
        <w:tc>
          <w:tcPr>
            <w:tcW w:w="180" w:type="dxa"/>
            <w:vAlign w:val="bottom"/>
          </w:tcPr>
          <w:p>
            <w:pPr>
              <w:spacing w:after="0"/>
              <w:rPr>
                <w:sz w:val="20"/>
                <w:szCs w:val="20"/>
                <w:color w:val="auto"/>
              </w:rPr>
            </w:pPr>
          </w:p>
        </w:tc>
      </w:tr>
      <w:tr>
        <w:trPr>
          <w:trHeight w:val="46"/>
        </w:trPr>
        <w:tc>
          <w:tcPr>
            <w:tcW w:w="4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34"/>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Tier 1 Capital to risk-weighted assets</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81"/>
        </w:trPr>
        <w:tc>
          <w:tcPr>
            <w:tcW w:w="40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r>
      <w:tr>
        <w:trPr>
          <w:trHeight w:val="270"/>
        </w:trPr>
        <w:tc>
          <w:tcPr>
            <w:tcW w:w="4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Tier 1 Capital (to average assets)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34"/>
        </w:trPr>
        <w:tc>
          <w:tcPr>
            <w:tcW w:w="4080" w:type="dxa"/>
            <w:vAlign w:val="bottom"/>
          </w:tcPr>
          <w:p>
            <w:pPr>
              <w:ind w:left="40"/>
              <w:spacing w:after="0"/>
              <w:rPr>
                <w:sz w:val="20"/>
                <w:szCs w:val="20"/>
                <w:color w:val="auto"/>
              </w:rPr>
            </w:pPr>
            <w:r>
              <w:rPr>
                <w:rFonts w:ascii="Arial" w:cs="Arial" w:eastAsia="Arial" w:hAnsi="Arial"/>
                <w:sz w:val="18"/>
                <w:szCs w:val="18"/>
                <w:color w:val="auto"/>
              </w:rPr>
              <w:t>Total Tier 1 Capital (numerator)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133,896</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138,740</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142,927</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133,683</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118,511</w:t>
            </w:r>
          </w:p>
        </w:tc>
        <w:tc>
          <w:tcPr>
            <w:tcW w:w="180" w:type="dxa"/>
            <w:vAlign w:val="bottom"/>
          </w:tcPr>
          <w:p>
            <w:pPr>
              <w:spacing w:after="0"/>
              <w:rPr>
                <w:sz w:val="20"/>
                <w:szCs w:val="20"/>
                <w:color w:val="auto"/>
              </w:rPr>
            </w:pPr>
          </w:p>
        </w:tc>
      </w:t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average assets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1,433,594</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1,450,254</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1,418,313</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1,387,480</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1,249,752</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4"/>
        </w:trPr>
        <w:tc>
          <w:tcPr>
            <w:tcW w:w="4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(4,536)</w:t>
            </w:r>
          </w:p>
        </w:tc>
        <w:tc>
          <w:tcPr>
            <w:tcW w:w="180" w:type="dxa"/>
            <w:vAlign w:val="bottom"/>
          </w:tcPr>
          <w:p>
            <w:pPr>
              <w:spacing w:after="0"/>
              <w:rPr>
                <w:sz w:val="20"/>
                <w:szCs w:val="20"/>
                <w:color w:val="auto"/>
              </w:rPr>
            </w:pPr>
          </w:p>
        </w:tc>
      </w:t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bottom w:val="single" w:sz="8" w:color="CFF0FC"/>
            </w:tcBorders>
            <w:shd w:val="clear" w:color="auto" w:fill="CFF0FC"/>
          </w:tcPr>
          <w:p>
            <w:pPr>
              <w:spacing w:after="0"/>
              <w:rPr>
                <w:sz w:val="22"/>
                <w:szCs w:val="22"/>
                <w:color w:val="auto"/>
              </w:rPr>
            </w:pPr>
          </w:p>
        </w:tc>
      </w:tr>
      <w:tr>
        <w:trPr>
          <w:trHeight w:val="234"/>
        </w:trPr>
        <w:tc>
          <w:tcPr>
            <w:tcW w:w="4080" w:type="dxa"/>
            <w:vAlign w:val="bottom"/>
          </w:tcPr>
          <w:p>
            <w:pPr>
              <w:ind w:left="40"/>
              <w:spacing w:after="0"/>
              <w:rPr>
                <w:sz w:val="20"/>
                <w:szCs w:val="20"/>
                <w:color w:val="auto"/>
              </w:rPr>
            </w:pPr>
            <w:r>
              <w:rPr>
                <w:rFonts w:ascii="Arial" w:cs="Arial" w:eastAsia="Arial" w:hAnsi="Arial"/>
                <w:sz w:val="18"/>
                <w:szCs w:val="18"/>
                <w:color w:val="auto"/>
              </w:rPr>
              <w:t>Average adjusted assets (denominator)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1,423,176</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1,439,209</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1,413,692</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1,382,843</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1,245,099</w:t>
            </w:r>
          </w:p>
        </w:tc>
        <w:tc>
          <w:tcPr>
            <w:tcW w:w="180" w:type="dxa"/>
            <w:vAlign w:val="bottom"/>
          </w:tcPr>
          <w:p>
            <w:pPr>
              <w:spacing w:after="0"/>
              <w:rPr>
                <w:sz w:val="20"/>
                <w:szCs w:val="20"/>
                <w:color w:val="auto"/>
              </w:rPr>
            </w:pPr>
          </w:p>
        </w:tc>
      </w:tr>
      <w:tr>
        <w:trPr>
          <w:trHeight w:val="46"/>
        </w:trPr>
        <w:tc>
          <w:tcPr>
            <w:tcW w:w="4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34"/>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Tier 1 Capital to average assets</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81"/>
        </w:trPr>
        <w:tc>
          <w:tcPr>
            <w:tcW w:w="40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r>
      <w:tr>
        <w:trPr>
          <w:trHeight w:val="272"/>
        </w:trPr>
        <w:tc>
          <w:tcPr>
            <w:tcW w:w="4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w w:val="98"/>
              </w:rPr>
              <w:t>Common Equity Tier 1 (to risk-weighted assets)</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34"/>
        </w:trPr>
        <w:tc>
          <w:tcPr>
            <w:tcW w:w="4080" w:type="dxa"/>
            <w:vAlign w:val="bottom"/>
          </w:tcPr>
          <w:p>
            <w:pPr>
              <w:ind w:left="40"/>
              <w:spacing w:after="0"/>
              <w:rPr>
                <w:sz w:val="20"/>
                <w:szCs w:val="20"/>
                <w:color w:val="auto"/>
              </w:rPr>
            </w:pPr>
            <w:r>
              <w:rPr>
                <w:rFonts w:ascii="Arial" w:cs="Arial" w:eastAsia="Arial" w:hAnsi="Arial"/>
                <w:sz w:val="18"/>
                <w:szCs w:val="18"/>
                <w:color w:val="auto"/>
              </w:rPr>
              <w:t>Total Common Equity Tier 1 Capital (numerator)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133,896</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138,740</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142,927</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133,683</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118,511</w:t>
            </w:r>
          </w:p>
        </w:tc>
        <w:tc>
          <w:tcPr>
            <w:tcW w:w="180" w:type="dxa"/>
            <w:vAlign w:val="bottom"/>
          </w:tcPr>
          <w:p>
            <w:pPr>
              <w:spacing w:after="0"/>
              <w:rPr>
                <w:sz w:val="20"/>
                <w:szCs w:val="20"/>
                <w:color w:val="auto"/>
              </w:rPr>
            </w:pPr>
          </w:p>
        </w:tc>
      </w:t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Risk-weighted assets (denominator)</w:t>
            </w:r>
          </w:p>
        </w:tc>
        <w:tc>
          <w:tcPr>
            <w:tcW w:w="1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995,575</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1,035,557</w:t>
            </w:r>
          </w:p>
        </w:tc>
        <w:tc>
          <w:tcPr>
            <w:tcW w:w="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1,035,747</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962,861</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850,157</w:t>
            </w:r>
          </w:p>
        </w:tc>
        <w:tc>
          <w:tcPr>
            <w:tcW w:w="180" w:type="dxa"/>
            <w:vAlign w:val="bottom"/>
            <w:tcBorders>
              <w:bottom w:val="single" w:sz="8" w:color="CFF0FC"/>
            </w:tcBorders>
            <w:shd w:val="clear" w:color="auto" w:fill="CFF0FC"/>
          </w:tcPr>
          <w:p>
            <w:pPr>
              <w:spacing w:after="0"/>
              <w:rPr>
                <w:sz w:val="22"/>
                <w:szCs w:val="22"/>
                <w:color w:val="auto"/>
              </w:rPr>
            </w:pPr>
          </w:p>
        </w:tc>
      </w:tr>
      <w:tr>
        <w:trPr>
          <w:trHeight w:val="234"/>
        </w:trPr>
        <w:tc>
          <w:tcPr>
            <w:tcW w:w="4080" w:type="dxa"/>
            <w:vAlign w:val="bottom"/>
          </w:tcPr>
          <w:p>
            <w:pPr>
              <w:ind w:left="260"/>
              <w:spacing w:after="0"/>
              <w:rPr>
                <w:sz w:val="20"/>
                <w:szCs w:val="20"/>
                <w:color w:val="auto"/>
              </w:rPr>
            </w:pPr>
            <w:r>
              <w:rPr>
                <w:rFonts w:ascii="Arial" w:cs="Arial" w:eastAsia="Arial" w:hAnsi="Arial"/>
                <w:sz w:val="18"/>
                <w:szCs w:val="18"/>
                <w:color w:val="auto"/>
                <w:w w:val="92"/>
              </w:rPr>
              <w:t>Total Common Equity Tier 1 to risk-weighted assets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-5612765</wp:posOffset>
            </wp:positionV>
            <wp:extent cx="334200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4200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-5434965</wp:posOffset>
            </wp:positionV>
            <wp:extent cx="596773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-4399915</wp:posOffset>
            </wp:positionV>
            <wp:extent cx="596773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-3879215</wp:posOffset>
            </wp:positionV>
            <wp:extent cx="596773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-3701415</wp:posOffset>
            </wp:positionV>
            <wp:extent cx="596773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-3352165</wp:posOffset>
            </wp:positionV>
            <wp:extent cx="596773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-3174365</wp:posOffset>
            </wp:positionV>
            <wp:extent cx="5967730" cy="28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-2459990</wp:posOffset>
            </wp:positionV>
            <wp:extent cx="596773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-2282190</wp:posOffset>
            </wp:positionV>
            <wp:extent cx="5967730" cy="28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-1224915</wp:posOffset>
            </wp:positionV>
            <wp:extent cx="596773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-1047115</wp:posOffset>
            </wp:positionV>
            <wp:extent cx="596773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-869315</wp:posOffset>
            </wp:positionV>
            <wp:extent cx="5967730" cy="28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-154305</wp:posOffset>
            </wp:positionV>
            <wp:extent cx="596773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ACCOUNTING ESTIMATES</w:t>
      </w:r>
    </w:p>
    <w:p>
      <w:pPr>
        <w:spacing w:after="0" w:line="200"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18</w:t>
      </w:r>
    </w:p>
    <w:p>
      <w:pPr>
        <w:sectPr>
          <w:pgSz w:w="11900" w:h="16838" w:orient="portrait"/>
          <w:cols w:equalWidth="0" w:num="1">
            <w:col w:w="9400"/>
          </w:cols>
          <w:pgMar w:left="1260" w:top="1440" w:right="1246" w:bottom="0" w:gutter="0" w:footer="0" w:header="0"/>
          <w:type w:val="continuous"/>
        </w:sectPr>
      </w:pPr>
    </w:p>
    <w:bookmarkStart w:id="64" w:name="page65"/>
    <w:bookmarkEnd w:id="64"/>
    <w:p>
      <w:pPr>
        <w:jc w:val="both"/>
        <w:ind w:right="40"/>
        <w:spacing w:after="0" w:line="355" w:lineRule="auto"/>
        <w:rPr>
          <w:sz w:val="20"/>
          <w:szCs w:val="20"/>
          <w:color w:val="auto"/>
        </w:rPr>
      </w:pPr>
      <w:r>
        <w:rPr>
          <w:rFonts w:ascii="Arial" w:cs="Arial" w:eastAsia="Arial" w:hAnsi="Arial"/>
          <w:sz w:val="18"/>
          <w:szCs w:val="18"/>
          <w:color w:val="auto"/>
        </w:rPr>
        <w:t>financial statement volatility. The fair values, and information used to record valuation adjustments for certain assets and liabilities, are based on quoted market prices or are provided by other third-party sources, when available. When third party information is not available, valuation adjustments are estimated in good faith by management.</w:t>
      </w:r>
    </w:p>
    <w:p>
      <w:pPr>
        <w:spacing w:after="0" w:line="102"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The most significant accounting policies followed by the Company are presented in Note 1 to the consolidated financial statements. These policies, along with the disclosures presented in the other financial statement notes and in this discussion, provide information on how significant assets and liabilities are valued in the consolidated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 assets and liabilities, pension obligations, the annual evaluation of the Company’s goodwill for possible impairment, and the estimation of fair values for accounting and disclosure purposes to be the accounting areas that require the most subjective and complex judgments. These areas could be the most subject to revision as new information becomes available.</w:t>
      </w:r>
    </w:p>
    <w:p>
      <w:pPr>
        <w:spacing w:after="0" w:line="111"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i w:val="1"/>
          <w:iCs w:val="1"/>
          <w:color w:val="auto"/>
        </w:rPr>
        <w:t xml:space="preserve">Allowance for Credit Losses. </w:t>
      </w:r>
      <w:r>
        <w:rPr>
          <w:rFonts w:ascii="Arial" w:cs="Arial" w:eastAsia="Arial" w:hAnsi="Arial"/>
          <w:sz w:val="20"/>
          <w:szCs w:val="20"/>
          <w:color w:val="auto"/>
        </w:rPr>
        <w:t>On January 1, 2023 the Company adopted ASC 326,</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Financial Instruments—Credit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Losses,</w:t>
      </w:r>
    </w:p>
    <w:p>
      <w:pPr>
        <w:spacing w:after="0" w:line="21" w:lineRule="exact"/>
        <w:rPr>
          <w:sz w:val="20"/>
          <w:szCs w:val="20"/>
          <w:color w:val="auto"/>
        </w:rPr>
      </w:pPr>
    </w:p>
    <w:p>
      <w:pPr>
        <w:jc w:val="both"/>
        <w:ind w:right="20"/>
        <w:spacing w:after="0" w:line="351" w:lineRule="auto"/>
        <w:rPr>
          <w:sz w:val="20"/>
          <w:szCs w:val="20"/>
          <w:color w:val="auto"/>
        </w:rPr>
      </w:pPr>
      <w:r>
        <w:rPr>
          <w:rFonts w:ascii="Arial" w:cs="Arial" w:eastAsia="Arial" w:hAnsi="Arial"/>
          <w:sz w:val="18"/>
          <w:szCs w:val="18"/>
          <w:color w:val="auto"/>
        </w:rPr>
        <w:t>and accounts for its allowance for credit losses on loans in accordance with the Current Expected Credit Loss ("CECL") methodology. The allowance for credit losses on loans and unfunded commitments is a valuation allowance for management’s estimate of expected credit losses in the loan portfolio and commitments to extend credit. Determining the amount of the allowance for credit losses is considered a critical accounting estimate because it requires significant judgment on the use of estimates related to the amount and timing of expected future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18</w:t>
      </w:r>
    </w:p>
    <w:p>
      <w:pPr>
        <w:sectPr>
          <w:pgSz w:w="11900" w:h="16838" w:orient="portrait"/>
          <w:cols w:equalWidth="0" w:num="1">
            <w:col w:w="9380"/>
          </w:cols>
          <w:pgMar w:left="1260" w:top="1173" w:right="1266" w:bottom="0"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331" w:lineRule="auto"/>
        <w:rPr>
          <w:sz w:val="20"/>
          <w:szCs w:val="20"/>
          <w:color w:val="auto"/>
        </w:rPr>
      </w:pPr>
      <w:r>
        <w:rPr>
          <w:rFonts w:ascii="Arial" w:cs="Arial" w:eastAsia="Arial" w:hAnsi="Arial"/>
          <w:sz w:val="19"/>
          <w:szCs w:val="19"/>
          <w:color w:val="auto"/>
        </w:rPr>
        <w:t>cash flows on individually evaluated loans, estimated losses on pools of homogeneous loans based on historical loss experience, and environmental factors, all of which may be susceptible to significant change.</w:t>
      </w:r>
    </w:p>
    <w:p>
      <w:pPr>
        <w:spacing w:after="0" w:line="117"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Company establishes a specific allowance for all troubled credits identified through both normal and targeted credit review processes. Loans recognized within the internal review are identified as being individually evaluated and excluded from collective pools. Individually evaluated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 At December 31, 2025, the Bank’s position in individually evaluated loans consisted of 127 loans totaling $89.4 million. All were valued based on a collateral analysis. No loans were valued using the present value of future cash flows method or other methods permitted under ASC 326. For all other loans, the Company uses the general allocation methodology that establishes an allowance to estimate the lifetime loss for each risk-rating category. Note 1 to the consolidated financial statements describes the methodology used to determine the allowance for credit losses and a discussion of the factors driving changes in the amount of the allowance for credit losses is included in this report.</w:t>
      </w:r>
    </w:p>
    <w:p>
      <w:pPr>
        <w:spacing w:after="0" w:line="130"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As noted above, the ACL represents management’s estimate of lifetime losses in the Bank’s loan portfolio. Determining the amount of the ACL requires significant judgment on the part of management and the use of estimates related to the amount and timing of expected future cash flows on individually evaluated loans, estimated losses on pools of homogeneous loans based on historical loss experience, as correlated to historical economic metrics and in consideration of current economic trends and conditions, and other qualitative factors, all of which may be susceptible to significant change.</w:t>
      </w:r>
    </w:p>
    <w:p>
      <w:pPr>
        <w:spacing w:after="0" w:line="132" w:lineRule="exact"/>
        <w:rPr>
          <w:sz w:val="20"/>
          <w:szCs w:val="20"/>
          <w:color w:val="auto"/>
        </w:rPr>
      </w:pPr>
    </w:p>
    <w:p>
      <w:pPr>
        <w:jc w:val="both"/>
        <w:ind w:right="80"/>
        <w:spacing w:after="0" w:line="330" w:lineRule="auto"/>
        <w:rPr>
          <w:sz w:val="20"/>
          <w:szCs w:val="20"/>
          <w:color w:val="auto"/>
        </w:rPr>
      </w:pPr>
      <w:r>
        <w:rPr>
          <w:rFonts w:ascii="Arial" w:cs="Arial" w:eastAsia="Arial" w:hAnsi="Arial"/>
          <w:sz w:val="19"/>
          <w:szCs w:val="19"/>
          <w:color w:val="auto"/>
        </w:rPr>
        <w:t>The Company utilizes the Discounted Cash Flow (“DCF”) method for its pooled segment calculation. The DCF method implements a probability of default and loss given default and loss exposure at default estimation. The probability of default and loss given default are applied to future cash flows that are adjusted to present value and these discounted expected losses become the Allowance for Credit Losses.</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The Company quarterly assesses the magnitude of QF adjustments necessary to be applied to the quantitatively-derived ACL in order to incorporate forward-looking projections in its final evaluation of current expected credit losses.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18</w:t>
      </w:r>
    </w:p>
    <w:p>
      <w:pPr>
        <w:sectPr>
          <w:pgSz w:w="11900" w:h="16838" w:orient="portrait"/>
          <w:cols w:equalWidth="0" w:num="1">
            <w:col w:w="9400"/>
          </w:cols>
          <w:pgMar w:left="1260" w:top="1440" w:right="1246" w:bottom="0" w:gutter="0" w:footer="0" w:header="0"/>
          <w:type w:val="continuous"/>
        </w:sectPr>
      </w:pPr>
    </w:p>
    <w:bookmarkStart w:id="66" w:name="page67"/>
    <w:bookmarkEnd w:id="66"/>
    <w:p>
      <w:pPr>
        <w:jc w:val="both"/>
        <w:spacing w:after="0" w:line="329" w:lineRule="auto"/>
        <w:rPr>
          <w:sz w:val="20"/>
          <w:szCs w:val="20"/>
          <w:color w:val="auto"/>
        </w:rPr>
      </w:pPr>
      <w:r>
        <w:rPr>
          <w:rFonts w:ascii="Arial" w:cs="Arial" w:eastAsia="Arial" w:hAnsi="Arial"/>
          <w:sz w:val="19"/>
          <w:szCs w:val="19"/>
          <w:color w:val="auto"/>
        </w:rPr>
        <w:t>In estimating the ACL on loans, management considers the sensitivity of the model and significant judgments and assumptions that could result in an amount that is materially different from management’s estimate. At December 31, 2025, the Bank held $536.9 million in commercial real estate and commercial &amp; industrial loans (collectively, commercial loans) representing 59.9% of the Bank’s entire loan portfolio. The Bank allocated $23.3 million to the ACL for these loans, including $326,000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$82,000,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December 31, 2025 in the final recorded estimation of the ACL on loans recognized on the Consolidated Statements of Financial Condition.</w:t>
      </w:r>
    </w:p>
    <w:p>
      <w:pPr>
        <w:spacing w:after="0" w:line="126" w:lineRule="exact"/>
        <w:rPr>
          <w:sz w:val="20"/>
          <w:szCs w:val="20"/>
          <w:color w:val="auto"/>
        </w:rPr>
      </w:pPr>
    </w:p>
    <w:p>
      <w:pPr>
        <w:jc w:val="both"/>
        <w:ind w:right="60"/>
        <w:spacing w:after="0" w:line="352" w:lineRule="auto"/>
        <w:rPr>
          <w:sz w:val="20"/>
          <w:szCs w:val="20"/>
          <w:color w:val="auto"/>
        </w:rPr>
      </w:pPr>
      <w:r>
        <w:rPr>
          <w:rFonts w:ascii="Arial" w:cs="Arial" w:eastAsia="Arial" w:hAnsi="Arial"/>
          <w:sz w:val="18"/>
          <w:szCs w:val="18"/>
          <w:color w:val="auto"/>
        </w:rPr>
        <w:t>If the assumptions underlying the determination of the ACL prove to be incorrect, the ACL may not be sufficient to cover actual credit losses and an increase to the ACL may be necessary in future periods to allow for different assumptions or adverse developments. In addition, future problems with one or more individually evaluated loans or one or more individually evaluated borrower relationships could require a significant increase to the ACL.</w:t>
      </w:r>
    </w:p>
    <w:p>
      <w:pPr>
        <w:spacing w:after="0" w:line="106"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Management’s methodology and policy in determining the allowance for credit losses can be found in Note 1 to the consolidated financial statements included in Item 8 of this Annual Report on Form 10-K. The activity in the allowance for credit losses is depicted in supporting tables in Note 6 to the consolidated financial statements included in Item 8 of this Annual Report on Form 10-K.</w:t>
      </w:r>
    </w:p>
    <w:p>
      <w:pPr>
        <w:spacing w:after="0" w:line="136"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b w:val="1"/>
          <w:bCs w:val="1"/>
          <w:i w:val="1"/>
          <w:iCs w:val="1"/>
          <w:color w:val="auto"/>
        </w:rPr>
        <w:t>Deferred Income Tax Assets and Liabilities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Deferred income tax assets and liabilities are determined using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liability method. Under this method, the net deferred tax asset or liability is recognized for the future tax consequences. This is attributable to the differences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18</w:t>
      </w:r>
    </w:p>
    <w:p>
      <w:pPr>
        <w:sectPr>
          <w:pgSz w:w="11900" w:h="16838" w:orient="portrait"/>
          <w:cols w:equalWidth="0" w:num="1">
            <w:col w:w="9400"/>
          </w:cols>
          <w:pgMar w:left="1260" w:top="1173" w:right="1246" w:bottom="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between the financial statement carrying amounts of existing assets and liabilities and their respective tax bases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from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 For additional information regarding the Company's deferred income taxes, see Note 17 to the consolidated financial statements.</w:t>
      </w:r>
    </w:p>
    <w:p>
      <w:pPr>
        <w:spacing w:after="0" w:line="111"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b w:val="1"/>
          <w:bCs w:val="1"/>
          <w:i w:val="1"/>
          <w:iCs w:val="1"/>
          <w:color w:val="auto"/>
        </w:rPr>
        <w:t xml:space="preserve">Pension Obligations. </w:t>
      </w:r>
      <w:r>
        <w:rPr>
          <w:rFonts w:ascii="Arial" w:cs="Arial" w:eastAsia="Arial" w:hAnsi="Arial"/>
          <w:sz w:val="20"/>
          <w:szCs w:val="20"/>
          <w:color w:val="auto"/>
        </w:rPr>
        <w:t>Pension and postretirement benefit plan liabilities and expenses are based upon actuarial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assumptions of future events, including fair value of plan assets, interest rates, and the length of time the Company will have to provide those benefits. The assumptions used by management are discussed in Note 14 to the consolidated financial statements contained herein.</w:t>
      </w:r>
    </w:p>
    <w:p>
      <w:pPr>
        <w:spacing w:after="0" w:line="136"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b w:val="1"/>
          <w:bCs w:val="1"/>
          <w:i w:val="1"/>
          <w:iCs w:val="1"/>
          <w:color w:val="auto"/>
        </w:rPr>
        <w:t>Evaluation of Goodwill</w:t>
      </w:r>
      <w:r>
        <w:rPr>
          <w:rFonts w:ascii="Arial" w:cs="Arial" w:eastAsia="Arial" w:hAnsi="Arial"/>
          <w:sz w:val="20"/>
          <w:szCs w:val="20"/>
          <w:color w:val="auto"/>
        </w:rPr>
        <w:t>. Management performs an annual evaluation of the Company’s goodwill for possible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impairment. Based on the results of the 2025 evaluation, management has determined that the carrying value of goodwill is not impaired as of December 31, 2025. The evaluation approach is described in Note 10 of the consolidated financial statements contained herein.</w:t>
      </w:r>
    </w:p>
    <w:p>
      <w:pPr>
        <w:spacing w:after="0" w:line="136"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b w:val="1"/>
          <w:bCs w:val="1"/>
          <w:i w:val="1"/>
          <w:iCs w:val="1"/>
          <w:color w:val="auto"/>
        </w:rPr>
        <w:t xml:space="preserve">Estimation of Fair Value. </w:t>
      </w:r>
      <w:r>
        <w:rPr>
          <w:rFonts w:ascii="Arial" w:cs="Arial" w:eastAsia="Arial" w:hAnsi="Arial"/>
          <w:sz w:val="19"/>
          <w:szCs w:val="19"/>
          <w:color w:val="auto"/>
        </w:rPr>
        <w:t>The estimation of fair value is significant to several of our assets; including AFS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investment securities, interest rate derivatives (discussed in detail in Note 22 of the consolidated financial statements),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consolidated financial statements. Fair values on our AFS securities may be influenced by a number of factors; including market interest rates, prepayment speeds, discount rates, and the shape of yield curves.</w:t>
      </w:r>
    </w:p>
    <w:p>
      <w:pPr>
        <w:spacing w:after="0" w:line="124"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Fair values for AFS securities are obtained from an independent third party pricing service.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 The fair values of foreclosed real estate and the underlying collateral value of individually analyzed loans are typically determined based on evaluations by third parties, less estimated costs to sell. When necessary, appraisals are updated to reflect changes in market conditions.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EVENTS</w:t>
      </w:r>
    </w:p>
    <w:p>
      <w:pPr>
        <w:spacing w:after="0" w:line="200"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On December 22, 2025, the Company announced that its Board of Directors had declared a cash dividend of $0.10 per share on the Company’s voting common and non-voting common stock, and a cash dividend of $0.10 per notional share for the issued Warrant relating to the fiscal quarter ended December 31, 2025. The dividend was paid on February 6, 2026 to shareholders of record on January 16, 2026.</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SUMMARY AND RESULTS OF OPERATIONS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18</w:t>
      </w:r>
    </w:p>
    <w:p>
      <w:pPr>
        <w:sectPr>
          <w:pgSz w:w="11900" w:h="16838" w:orient="portrait"/>
          <w:cols w:equalWidth="0" w:num="1">
            <w:col w:w="9380"/>
          </w:cols>
          <w:pgMar w:left="1260" w:top="1440" w:right="1266" w:bottom="0" w:gutter="0" w:footer="0" w:header="0"/>
          <w:type w:val="continuous"/>
        </w:sectPr>
      </w:pPr>
    </w:p>
    <w:bookmarkStart w:id="68" w:name="page69"/>
    <w:bookmarkEnd w:id="68"/>
    <w:p>
      <w:pPr>
        <w:jc w:val="both"/>
        <w:spacing w:after="0" w:line="311" w:lineRule="auto"/>
        <w:rPr>
          <w:sz w:val="20"/>
          <w:szCs w:val="20"/>
          <w:color w:val="auto"/>
        </w:rPr>
      </w:pPr>
      <w:r>
        <w:rPr>
          <w:rFonts w:ascii="Arial" w:cs="Arial" w:eastAsia="Arial" w:hAnsi="Arial"/>
          <w:sz w:val="20"/>
          <w:szCs w:val="20"/>
          <w:color w:val="auto"/>
        </w:rPr>
        <w:t>The Company reported a net loss of $1.9 million or $0.31 per diluted share for the full year 2025, a decrease of $5.3 million compared to net income of $3.4 million or $0.54 per diluted share in 2024. Net income decreased during 2025 compared to the previous year, primarily due to an increase of $5.4 million in provision for credit losses, which reflected a comprehensive review of all commercial loan relationships with exposures of $500,000 or more, representing approximately 90% of the commercial portfolio, that was announced in October 2025 and completed in December 2025. Additionally, the decrease in net income from the prior year was driven by fair value adjustment or lower of cost or market adjustment to loans held-for-sale ("LOCOM HFS adjustment") that lowered noninterest income by $3.5 million in 2025. Prior year net income also benefited from $1.1 million of insurance agency revenue and a $3.2 million gain on sale associated with the Company's insurance agency asset which was sold in October 2024.</w:t>
      </w:r>
    </w:p>
    <w:p>
      <w:pPr>
        <w:spacing w:after="0" w:line="140"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Return on average assets decreased 36 basis points to negative 0.13% in 2025 from 0.23% in 2024. Return on average equity decreased 429 basis points to negative 1.54% in 2025 as compared to 2.75% in 2024. The decreases in return on average assets and return on average equity in 2025, as compared to the previous year, were both primarily due to the aforementioned decrease in net income. Average assets increased in 2025 by $17.6 million, or 1.2%.</w:t>
      </w:r>
    </w:p>
    <w:p>
      <w:pPr>
        <w:spacing w:after="0" w:line="135"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Net interest income before provision for credit losses increased $3.3 million or 8.2% to $44.3 million for the year ended December 31, 2025, compared to $41.0 million for the year ended December 31, 2024. Interest and dividend income decreased $1.7 million or 2.2% to $76.7 million for the year ended December 31, 2025 from $78.4 million for the year ended December 31, 2024. Total interest expense for the year ended December 31, 2025 decreased $5.1 million or 13.5% to $32.3 million from $37.4 million for the year ended December 31, 2024. The increase in net interest income before provision for credit losses, was driven by lower interest expense, primarily reflecting a reduction in interest rates for the year ended December 31, 2025, compared to one year ago. Total average balances on interest-earning assets increased $5.0 million, to $1.38 billion for the year ended December 31, 2025. The overall average yield on interest-earning assets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18</w:t>
      </w:r>
    </w:p>
    <w:p>
      <w:pPr>
        <w:sectPr>
          <w:pgSz w:w="11900" w:h="16838" w:orient="portrait"/>
          <w:cols w:equalWidth="0" w:num="1">
            <w:col w:w="9360"/>
          </w:cols>
          <w:pgMar w:left="1260" w:top="1173" w:right="1286" w:bottom="0"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330" w:lineRule="auto"/>
        <w:rPr>
          <w:sz w:val="20"/>
          <w:szCs w:val="20"/>
          <w:color w:val="auto"/>
        </w:rPr>
      </w:pPr>
      <w:r>
        <w:rPr>
          <w:rFonts w:ascii="Arial" w:cs="Arial" w:eastAsia="Arial" w:hAnsi="Arial"/>
          <w:sz w:val="19"/>
          <w:szCs w:val="19"/>
          <w:color w:val="auto"/>
        </w:rPr>
        <w:t>decreased 14 basis points to 5.56% for the year ended December 31, 2025 from 5.70% for the year ended December 31, 2024. The total average interest-bearing liabilities decreased $4.9 million to $1.12 billion for the year ended December 31, 2025, while the average rate paid on interest-bearing liabilities decreased 44 basis points, to 2.89% for the year ended December 31, 2025, compared to 3.33% one year ago.</w:t>
      </w:r>
    </w:p>
    <w:p>
      <w:pPr>
        <w:spacing w:after="0" w:line="158"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The Company recorded a provision for credit losses of $16.3 million in 2025 as compared to $11.0 million in the prior year. The $5.3 million year-over-year increase in provision for credit losses primarily reflects a risk-based reserve build from the comprehensive loan portfolio review of all commercial loan relationships with exposures of $500,000 or more, representing approximately 90% of the commercial portfolio, which was announced in October 2025 and completed in December 2025. Additionally, the provision for credit losses in 2025 reflected an increase in nonperforming loans of $5.5 million at December 31, 2025 as compared to December 31, 2024. The Company recorded $4.2 million in net charge-offs in 2025 as compared to $9.8 million in net charge-offs in 2024. The elevated loan charge-offs for 2024 were related to the loan portfolio review conducted in the third quarter of 2024.</w:t>
      </w:r>
    </w:p>
    <w:p>
      <w:pPr>
        <w:spacing w:after="0" w:line="105"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Total noninterest income was $2.5 million in 2025, a decrease of $7.1 million, or 73.9%, from $9.6 million in 2024. The decrease from the prior year was driven by fair value adjustment impacts or lower of cost or market adjustment to loans held-for-sale ("LOCOM HFS adjustment") that reduced noninterest income by $3.5 million in 2025. Prior year noninterest income also benefited from $1.1 million in insurance agency revenue and a $3.2 million gain on sale associated with the Company's insurance agency asset which was sold in October 2024. Additionally, the decrease in noninterest income was driven by lower debit card interchange fees of $365,000 and lower other charges, commissions &amp; fees of $468,000, compared to the previous year.</w:t>
      </w:r>
    </w:p>
    <w:p>
      <w:pPr>
        <w:spacing w:after="0" w:line="123" w:lineRule="exact"/>
        <w:rPr>
          <w:sz w:val="20"/>
          <w:szCs w:val="20"/>
          <w:color w:val="auto"/>
        </w:rPr>
      </w:pPr>
    </w:p>
    <w:p>
      <w:pPr>
        <w:jc w:val="both"/>
        <w:ind w:right="40"/>
        <w:spacing w:after="0" w:line="371" w:lineRule="auto"/>
        <w:rPr>
          <w:sz w:val="20"/>
          <w:szCs w:val="20"/>
          <w:color w:val="auto"/>
        </w:rPr>
      </w:pPr>
      <w:r>
        <w:rPr>
          <w:rFonts w:ascii="Arial" w:cs="Arial" w:eastAsia="Arial" w:hAnsi="Arial"/>
          <w:sz w:val="17"/>
          <w:szCs w:val="17"/>
          <w:color w:val="auto"/>
        </w:rPr>
        <w:t>Noninterest expense totaled $34.6 million and $34.4 million for the years ended December 31, 2025 and December 31, 2024, respectively. Salaries and employee benefits, constituting the largest component of noninterest expense, increased $1.1 million to $18.9 million in 2025. The increase from 2024 was primarily attributed to higher salaries and benefits costs associated with merit increases and wage inflation, as well as higher costs related to stock-based compensation. Building and occupancy costs increased $1.2 million or 29.0% in 2025 from the prior year, reflecting a full year of expenses associated with operating the East Syracuse branch acquired in July 2024. Professional and other services expenses decreased $936,000 from the previous year, when the Company incurred transaction-related expenses associated with the East Syracuse branch acquisition and consulting services costs related to technology enhancements, both in 2024. Additionally, noninterest expense was reduced $1.3 million in 2025 as compared to 2024 due to the absence of costs associated with the Company's insurance agency asset sold in October 2024.</w:t>
      </w:r>
    </w:p>
    <w:p>
      <w:pPr>
        <w:spacing w:after="0" w:line="98"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Net loan charge-offs to average loans were 0.46% for 2025, as compared to 1.09% for 2024. Total past due loans measured as a percentage of total loans, increased from 3.81% at December 31, 2024 to 5.91% at December 31, 2025, primarily due to increases of $16.6 million in past due commercial loans and $1.6 million in past due residential loans. Nonperforming loans to total loans increased to 3.07% at December 31, 2025, compared to 2.40% at December 31, 2024. Total nonperforming assets increased $5.6 million, or 25.4%, between December 31, 2024 and December 31, 2025, largely driven by an increase of $6.7 million in nonperforming commercial real estate and commercial and industrial loans, offset by a decrease in nonperforming residential loans of $1.2 million. Commensurate with the increase in nonperforming loans to year end loans, the ratio of nonperforming assets to total assets increased to 1.94% at December 31, 2025 from 1.50% at December 31, 2024. The allowance for credit losses to non-performing loans at December 31, 2025 was 106.80%, compared with 78.08% at December 31, 2024.</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18</w:t>
      </w:r>
    </w:p>
    <w:p>
      <w:pPr>
        <w:sectPr>
          <w:pgSz w:w="11900" w:h="16838" w:orient="portrait"/>
          <w:cols w:equalWidth="0" w:num="1">
            <w:col w:w="9380"/>
          </w:cols>
          <w:pgMar w:left="1260" w:top="1440" w:right="1266" w:bottom="0" w:gutter="0" w:footer="0" w:header="0"/>
          <w:type w:val="continuous"/>
        </w:sectPr>
      </w:pPr>
    </w:p>
    <w:bookmarkStart w:id="70" w:name="page71"/>
    <w:bookmarkEnd w:id="70"/>
    <w:p>
      <w:pPr>
        <w:jc w:val="both"/>
        <w:spacing w:after="0" w:line="309" w:lineRule="auto"/>
        <w:rPr>
          <w:sz w:val="20"/>
          <w:szCs w:val="20"/>
          <w:color w:val="auto"/>
        </w:rPr>
      </w:pPr>
      <w:r>
        <w:rPr>
          <w:rFonts w:ascii="Arial" w:cs="Arial" w:eastAsia="Arial" w:hAnsi="Arial"/>
          <w:sz w:val="20"/>
          <w:szCs w:val="20"/>
          <w:color w:val="auto"/>
        </w:rPr>
        <w:t>Management monitors its loan portfolio closely and has incorporated our current estimate of the ultimate collectability of all loans into the reported allowance for credit losses at December 31, 2025. Overall, the ratio of the allowance for credit losses to year end loans increased to 3.28% at December 31, 2025 from 1.88% at December 31, 2024.</w:t>
      </w:r>
    </w:p>
    <w:p>
      <w:pPr>
        <w:spacing w:after="0" w:line="13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Company’s shareholders’ equity increased $968,000 or 0.8%, to $122.5 million at December 31, 2025 from $121.5 million at December 31, 2024. This increase was primarily due to a $3.8 million decrease in accumulated other comprehensive loss, and an increase of $1.6 million in additional paid in capital, offset by a $4.5 million decrease in retained earnings. Comprehensive loss decreased primarily due to net unrealized gains on pension and post-retirement benefits and AFS securities. The increase of $1.6 million for additional paid in capital was due to increased stock option exercise activity during the year. The decrease in retained earnings resulted from a $1.9 million net loss recorded for the year ended December 31, 2025, $1.9 million for cash dividends declared on voting common stock, $552,000 for cash dividends declared on non-voting common stock and $50,000 for cash dividends declared on issued warrants.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 / 18</w:t>
      </w:r>
    </w:p>
    <w:p>
      <w:pPr>
        <w:sectPr>
          <w:pgSz w:w="11900" w:h="16838" w:orient="portrait"/>
          <w:cols w:equalWidth="0" w:num="1">
            <w:col w:w="9340"/>
          </w:cols>
          <w:pgMar w:left="1260" w:top="1173" w:right="1306" w:bottom="0"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Interest Income</w:t>
      </w:r>
    </w:p>
    <w:p>
      <w:pPr>
        <w:spacing w:after="0" w:line="200"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Net interest income is the Company's primary source of operating income. It is the amount by which interest earned on interest-earning deposits, loans and investment securities exceeds the interest paid on deposits and borrowed money. Changes in net interest income and the net interest margin ratio resulted from the interaction between the volume and composition of interest-earning assets, interest-bearing liabilities, and their respective yields and funding costs.</w:t>
      </w:r>
    </w:p>
    <w:p>
      <w:pPr>
        <w:spacing w:after="0" w:line="135"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following comments refer to the table of Average Balances and Rates and the Rate/Volume Analysis, both of which follow below.</w:t>
      </w:r>
    </w:p>
    <w:p>
      <w:pPr>
        <w:spacing w:after="0" w:line="141"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Net interest income, before provision for credit losses, increased $3.3 million, or 8.2%, to $44.3 million in 2025 as compared to $41.0 million in the previous year. Our net interest margin for the year ended December 31, 2025 increased to 3.21% from 2.98% compared to the prior year. The increase in net interest income was primarily due to lower interest expense of $5.1 million, or 13.5%, partially offset by lower interest and dividend income of $1.7 million or 2.2%. The $1.7 million decrease in interest and dividend income was driven by lower average taxable investment securities balances of $2.6 million, combined with lower average yield of taxable investment securities of 45 basis points. The decrease in interest expense was a result of the lower interest rate environment in 2025, which reduced cost of funds on MMDA accounts, time deposits, and borrowings, of 40 basis points, 46 basis points, and 63 basis points, respectively. Additionally, interest expense decreased due to lower average balances of time deposits of $31.4 million and borrowings of $50.0 million for the year ended December 31, 2025.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18</w:t>
      </w:r>
    </w:p>
    <w:p>
      <w:pPr>
        <w:sectPr>
          <w:pgSz w:w="11900" w:h="16838" w:orient="portrait"/>
          <w:cols w:equalWidth="0" w:num="1">
            <w:col w:w="9380"/>
          </w:cols>
          <w:pgMar w:left="1260" w:top="1440" w:right="1266" w:bottom="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Average Balances and Rates</w:t>
      </w:r>
    </w:p>
    <w:p>
      <w:pPr>
        <w:spacing w:after="0" w:line="200"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color w:val="auto"/>
        </w:rPr>
        <w:t>The following table sets forth information concerning average interest-earning assets and interest-bearing liabilities and the yields and rates thereon. Interest income and resultant yield information in the table has not been adjusted for tax equivalency. Averages are computed on the daily average balance for each month in the period divided by the number of days in the period. Yields and amounts earned include loan fees. Nonaccrual loans have been included in interest-earning assets for purposes of these calculations.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gridSpan w:val="4"/>
          </w:tcPr>
          <w:p>
            <w:pPr>
              <w:jc w:val="right"/>
              <w:ind w:right="30"/>
              <w:spacing w:after="0"/>
              <w:rPr>
                <w:sz w:val="20"/>
                <w:szCs w:val="20"/>
                <w:color w:val="auto"/>
              </w:rPr>
            </w:pPr>
            <w:r>
              <w:rPr>
                <w:rFonts w:ascii="Arial" w:cs="Arial" w:eastAsia="Arial" w:hAnsi="Arial"/>
                <w:sz w:val="18"/>
                <w:szCs w:val="18"/>
                <w:color w:val="auto"/>
              </w:rPr>
              <w:t>For the year ended December 31,</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94"/>
        </w:trPr>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2025</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w w:val="99"/>
              </w:rPr>
              <w:t>2024</w:t>
            </w:r>
          </w:p>
        </w:tc>
        <w:tc>
          <w:tcPr>
            <w:tcW w:w="960" w:type="dxa"/>
            <w:vAlign w:val="bottom"/>
          </w:tcPr>
          <w:p>
            <w:pPr>
              <w:spacing w:after="0"/>
              <w:rPr>
                <w:sz w:val="24"/>
                <w:szCs w:val="24"/>
                <w:color w:val="auto"/>
              </w:rPr>
            </w:pPr>
          </w:p>
        </w:tc>
      </w:tr>
      <w:tr>
        <w:trPr>
          <w:trHeight w:val="294"/>
        </w:trPr>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Average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Yield /</w:t>
            </w:r>
          </w:p>
        </w:tc>
        <w:tc>
          <w:tcPr>
            <w:tcW w:w="16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Yield /</w:t>
            </w:r>
          </w:p>
        </w:tc>
      </w:tr>
      <w:tr>
        <w:trPr>
          <w:trHeight w:val="284"/>
        </w:trPr>
        <w:tc>
          <w:tcPr>
            <w:tcW w:w="29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Balance</w:t>
            </w:r>
          </w:p>
        </w:tc>
        <w:tc>
          <w:tcPr>
            <w:tcW w:w="24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Interest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w w:val="89"/>
              </w:rPr>
              <w:t>Interest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Cost</w:t>
            </w:r>
          </w:p>
        </w:tc>
      </w:tr>
      <w:tr>
        <w:trPr>
          <w:trHeight w:val="46"/>
        </w:trPr>
        <w:tc>
          <w:tcPr>
            <w:tcW w:w="2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64"/>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Interest-earning assets:</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spacing w:after="0"/>
              <w:rPr>
                <w:sz w:val="22"/>
                <w:szCs w:val="22"/>
                <w:color w:val="auto"/>
              </w:rPr>
            </w:pPr>
          </w:p>
        </w:tc>
      </w:tr>
      <w:tr>
        <w:trPr>
          <w:trHeight w:val="248"/>
        </w:trPr>
        <w:tc>
          <w:tcPr>
            <w:tcW w:w="2900" w:type="dxa"/>
            <w:vAlign w:val="bottom"/>
          </w:tcPr>
          <w:p>
            <w:pPr>
              <w:ind w:left="2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909,683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53,560</w:t>
            </w: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903,941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w w:val="98"/>
              </w:rPr>
              <w:t>52,705</w:t>
            </w:r>
          </w:p>
        </w:tc>
        <w:tc>
          <w:tcPr>
            <w:tcW w:w="96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36"/>
        </w:trPr>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Taxable investment securities</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420,838</w:t>
            </w: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20,936</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423,475</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8"/>
              </w:rPr>
              <w:t>22,939</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5.42%</w:t>
            </w:r>
          </w:p>
        </w:tc>
      </w:tr>
      <w:tr>
        <w:trPr>
          <w:trHeight w:val="248"/>
        </w:trPr>
        <w:tc>
          <w:tcPr>
            <w:tcW w:w="2900" w:type="dxa"/>
            <w:vAlign w:val="bottom"/>
          </w:tcPr>
          <w:p>
            <w:pPr>
              <w:ind w:left="20"/>
              <w:spacing w:after="0"/>
              <w:rPr>
                <w:sz w:val="20"/>
                <w:szCs w:val="20"/>
                <w:color w:val="auto"/>
              </w:rPr>
            </w:pPr>
            <w:r>
              <w:rPr>
                <w:rFonts w:ascii="Arial" w:cs="Arial" w:eastAsia="Arial" w:hAnsi="Arial"/>
                <w:sz w:val="18"/>
                <w:szCs w:val="18"/>
                <w:color w:val="auto"/>
              </w:rPr>
              <w:t>Tax-exempt investment securities</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34,136</w:t>
            </w: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1,707</w:t>
            </w: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30,861</w:t>
            </w:r>
          </w:p>
        </w:tc>
        <w:tc>
          <w:tcPr>
            <w:tcW w:w="18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1,920</w:t>
            </w:r>
          </w:p>
        </w:tc>
        <w:tc>
          <w:tcPr>
            <w:tcW w:w="96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36"/>
        </w:trPr>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8"/>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 funds sold and interest-earning</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96"/>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deposits</w:t>
            </w: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14,984</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450</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16,379</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793</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4.84%</w:t>
            </w:r>
          </w:p>
        </w:tc>
      </w:tr>
      <w:tr>
        <w:trPr>
          <w:trHeight w:val="248"/>
        </w:trPr>
        <w:tc>
          <w:tcPr>
            <w:tcW w:w="2900" w:type="dxa"/>
            <w:vAlign w:val="bottom"/>
          </w:tcPr>
          <w:p>
            <w:pPr>
              <w:ind w:left="40"/>
              <w:spacing w:after="0"/>
              <w:rPr>
                <w:sz w:val="20"/>
                <w:szCs w:val="20"/>
                <w:color w:val="auto"/>
              </w:rPr>
            </w:pPr>
            <w:r>
              <w:rPr>
                <w:rFonts w:ascii="Arial" w:cs="Arial" w:eastAsia="Arial" w:hAnsi="Arial"/>
                <w:sz w:val="18"/>
                <w:szCs w:val="18"/>
                <w:color w:val="auto"/>
              </w:rPr>
              <w:t>Total interest-earning assets</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1,379,641</w:t>
            </w: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76,653</w:t>
            </w: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1,374,656</w:t>
            </w:r>
          </w:p>
        </w:tc>
        <w:tc>
          <w:tcPr>
            <w:tcW w:w="18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w w:val="98"/>
              </w:rPr>
              <w:t>78,357</w:t>
            </w:r>
          </w:p>
        </w:tc>
        <w:tc>
          <w:tcPr>
            <w:tcW w:w="96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46"/>
        </w:trPr>
        <w:tc>
          <w:tcPr>
            <w:tcW w:w="2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64"/>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Noninterest-earning assets:</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spacing w:after="0"/>
              <w:rPr>
                <w:sz w:val="22"/>
                <w:szCs w:val="22"/>
                <w:color w:val="auto"/>
              </w:rPr>
            </w:pPr>
          </w:p>
        </w:tc>
      </w:tr>
      <w:tr>
        <w:trPr>
          <w:trHeight w:val="248"/>
        </w:trPr>
        <w:tc>
          <w:tcPr>
            <w:tcW w:w="29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115,350</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102,582</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6"/>
        </w:trPr>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(17,277)</w:t>
            </w: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(16,670)</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spacing w:after="0"/>
              <w:rPr>
                <w:sz w:val="22"/>
                <w:szCs w:val="22"/>
                <w:color w:val="auto"/>
              </w:rPr>
            </w:pPr>
          </w:p>
        </w:tc>
      </w:tr>
      <w:tr>
        <w:trPr>
          <w:trHeight w:val="248"/>
        </w:trPr>
        <w:tc>
          <w:tcPr>
            <w:tcW w:w="2900" w:type="dxa"/>
            <w:vAlign w:val="bottom"/>
          </w:tcPr>
          <w:p>
            <w:pPr>
              <w:ind w:left="20"/>
              <w:spacing w:after="0"/>
              <w:rPr>
                <w:sz w:val="20"/>
                <w:szCs w:val="20"/>
                <w:color w:val="auto"/>
              </w:rPr>
            </w:pPr>
            <w:r>
              <w:rPr>
                <w:rFonts w:ascii="Arial" w:cs="Arial" w:eastAsia="Arial" w:hAnsi="Arial"/>
                <w:sz w:val="18"/>
                <w:szCs w:val="18"/>
                <w:color w:val="auto"/>
              </w:rPr>
              <w:t>Net unrealized losses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2900" w:type="dxa"/>
            <w:vAlign w:val="bottom"/>
          </w:tcPr>
          <w:p>
            <w:pPr>
              <w:ind w:left="160"/>
              <w:spacing w:after="0"/>
              <w:rPr>
                <w:sz w:val="20"/>
                <w:szCs w:val="20"/>
                <w:color w:val="auto"/>
              </w:rPr>
            </w:pPr>
            <w:r>
              <w:rPr>
                <w:rFonts w:ascii="Arial" w:cs="Arial" w:eastAsia="Arial" w:hAnsi="Arial"/>
                <w:sz w:val="18"/>
                <w:szCs w:val="18"/>
                <w:color w:val="auto"/>
              </w:rPr>
              <w:t>on available-for-sale securities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(9,357)</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(9,769)</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6"/>
        </w:trPr>
        <w:tc>
          <w:tcPr>
            <w:tcW w:w="2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48"/>
        </w:trPr>
        <w:tc>
          <w:tcPr>
            <w:tcW w:w="2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4"/>
              </w:rPr>
              <w:t>1,468,357</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1,450,799</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81"/>
        </w:trPr>
        <w:tc>
          <w:tcPr>
            <w:tcW w:w="29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r>
      <w:tr>
        <w:trPr>
          <w:trHeight w:val="248"/>
        </w:trPr>
        <w:tc>
          <w:tcPr>
            <w:tcW w:w="290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6"/>
        </w:trPr>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NOW accounts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115,555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1,275</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101,336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1,111</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w:t>
            </w:r>
          </w:p>
        </w:tc>
      </w:tr>
      <w:tr>
        <w:trPr>
          <w:trHeight w:val="248"/>
        </w:trPr>
        <w:tc>
          <w:tcPr>
            <w:tcW w:w="2900" w:type="dxa"/>
            <w:vAlign w:val="bottom"/>
          </w:tcPr>
          <w:p>
            <w:pPr>
              <w:ind w:left="20"/>
              <w:spacing w:after="0"/>
              <w:rPr>
                <w:sz w:val="20"/>
                <w:szCs w:val="20"/>
                <w:color w:val="auto"/>
              </w:rPr>
            </w:pPr>
            <w:r>
              <w:rPr>
                <w:rFonts w:ascii="Arial" w:cs="Arial" w:eastAsia="Arial" w:hAnsi="Arial"/>
                <w:sz w:val="18"/>
                <w:szCs w:val="18"/>
                <w:color w:val="auto"/>
              </w:rPr>
              <w:t>Money management accounts</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10,233</w:t>
            </w: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11,679</w:t>
            </w:r>
          </w:p>
        </w:tc>
        <w:tc>
          <w:tcPr>
            <w:tcW w:w="18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13</w:t>
            </w:r>
          </w:p>
        </w:tc>
        <w:tc>
          <w:tcPr>
            <w:tcW w:w="96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36"/>
        </w:trPr>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MMDA accounts</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282,650</w:t>
            </w: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8,823</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227,597</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8,020</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3.52%</w:t>
            </w:r>
          </w:p>
        </w:tc>
      </w:tr>
      <w:tr>
        <w:trPr>
          <w:trHeight w:val="248"/>
        </w:trPr>
        <w:tc>
          <w:tcPr>
            <w:tcW w:w="2900" w:type="dxa"/>
            <w:vAlign w:val="bottom"/>
          </w:tcPr>
          <w:p>
            <w:pPr>
              <w:ind w:left="20"/>
              <w:spacing w:after="0"/>
              <w:rPr>
                <w:sz w:val="20"/>
                <w:szCs w:val="20"/>
                <w:color w:val="auto"/>
              </w:rPr>
            </w:pPr>
            <w:r>
              <w:rPr>
                <w:rFonts w:ascii="Arial" w:cs="Arial" w:eastAsia="Arial" w:hAnsi="Arial"/>
                <w:sz w:val="18"/>
                <w:szCs w:val="18"/>
                <w:color w:val="auto"/>
              </w:rPr>
              <w:t>Savings and club accounts</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127,414</w:t>
            </w: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318</w:t>
            </w: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118,965</w:t>
            </w:r>
          </w:p>
        </w:tc>
        <w:tc>
          <w:tcPr>
            <w:tcW w:w="18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307</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36"/>
        </w:trPr>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Time deposits</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485,975</w:t>
            </w: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17,560</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517,352</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8"/>
              </w:rPr>
              <w:t>21,042</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w:t>
            </w:r>
          </w:p>
        </w:tc>
      </w:tr>
      <w:tr>
        <w:trPr>
          <w:trHeight w:val="248"/>
        </w:trPr>
        <w:tc>
          <w:tcPr>
            <w:tcW w:w="290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30,179</w:t>
            </w: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1,972</w:t>
            </w:r>
          </w:p>
        </w:tc>
        <w:tc>
          <w:tcPr>
            <w:tcW w:w="104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30,002</w:t>
            </w:r>
          </w:p>
        </w:tc>
        <w:tc>
          <w:tcPr>
            <w:tcW w:w="18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1,966</w:t>
            </w: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36"/>
        </w:trPr>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4"/>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Borrowings</w:t>
            </w:r>
          </w:p>
        </w:tc>
        <w:tc>
          <w:tcPr>
            <w:tcW w:w="2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64,489</w:t>
            </w:r>
          </w:p>
        </w:tc>
        <w:tc>
          <w:tcPr>
            <w:tcW w:w="2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2,358</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114,471</w:t>
            </w:r>
          </w:p>
        </w:tc>
        <w:tc>
          <w:tcPr>
            <w:tcW w:w="1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4,909</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4.29%</w:t>
            </w:r>
          </w:p>
        </w:tc>
      </w:tr>
      <w:tr>
        <w:trPr>
          <w:trHeight w:val="248"/>
        </w:trPr>
        <w:tc>
          <w:tcPr>
            <w:tcW w:w="2900" w:type="dxa"/>
            <w:vAlign w:val="bottom"/>
          </w:tcPr>
          <w:p>
            <w:pPr>
              <w:ind w:left="40"/>
              <w:spacing w:after="0"/>
              <w:rPr>
                <w:sz w:val="20"/>
                <w:szCs w:val="20"/>
                <w:color w:val="auto"/>
              </w:rPr>
            </w:pPr>
            <w:r>
              <w:rPr>
                <w:rFonts w:ascii="Arial" w:cs="Arial" w:eastAsia="Arial" w:hAnsi="Arial"/>
                <w:sz w:val="18"/>
                <w:szCs w:val="18"/>
                <w:color w:val="auto"/>
              </w:rPr>
              <w:t>Total interest-bearing liabilities</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1,116,495</w:t>
            </w: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32,318</w:t>
            </w:r>
          </w:p>
        </w:tc>
        <w:tc>
          <w:tcPr>
            <w:tcW w:w="104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1,121,402</w:t>
            </w:r>
          </w:p>
        </w:tc>
        <w:tc>
          <w:tcPr>
            <w:tcW w:w="18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w w:val="98"/>
              </w:rPr>
              <w:t>37,368</w:t>
            </w: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46"/>
        </w:trPr>
        <w:tc>
          <w:tcPr>
            <w:tcW w:w="2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64"/>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Noninterest-bearing liabilities:</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spacing w:after="0"/>
              <w:rPr>
                <w:sz w:val="22"/>
                <w:szCs w:val="22"/>
                <w:color w:val="auto"/>
              </w:rPr>
            </w:pPr>
          </w:p>
        </w:tc>
      </w:tr>
      <w:tr>
        <w:trPr>
          <w:trHeight w:val="248"/>
        </w:trPr>
        <w:tc>
          <w:tcPr>
            <w:tcW w:w="2900" w:type="dxa"/>
            <w:vAlign w:val="bottom"/>
          </w:tcPr>
          <w:p>
            <w:pPr>
              <w:ind w:left="20"/>
              <w:spacing w:after="0"/>
              <w:rPr>
                <w:sz w:val="20"/>
                <w:szCs w:val="20"/>
                <w:color w:val="auto"/>
              </w:rPr>
            </w:pPr>
            <w:r>
              <w:rPr>
                <w:rFonts w:ascii="Arial" w:cs="Arial" w:eastAsia="Arial" w:hAnsi="Arial"/>
                <w:sz w:val="18"/>
                <w:szCs w:val="18"/>
                <w:color w:val="auto"/>
              </w:rPr>
              <w:t>Demand deposits</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196,353</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184,572</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6"/>
        </w:trPr>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4"/>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29,589</w:t>
            </w:r>
          </w:p>
        </w:tc>
        <w:tc>
          <w:tcPr>
            <w:tcW w:w="2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21,924</w:t>
            </w:r>
          </w:p>
        </w:tc>
        <w:tc>
          <w:tcPr>
            <w:tcW w:w="1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spacing w:after="0"/>
              <w:rPr>
                <w:sz w:val="23"/>
                <w:szCs w:val="23"/>
                <w:color w:val="auto"/>
              </w:rPr>
            </w:pPr>
          </w:p>
        </w:tc>
      </w:tr>
      <w:tr>
        <w:trPr>
          <w:trHeight w:val="248"/>
        </w:trPr>
        <w:tc>
          <w:tcPr>
            <w:tcW w:w="2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1,342,437</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1,327,898</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6"/>
        </w:trPr>
        <w:tc>
          <w:tcPr>
            <w:tcW w:w="2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4"/>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125,920</w:t>
            </w:r>
          </w:p>
        </w:tc>
        <w:tc>
          <w:tcPr>
            <w:tcW w:w="2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122,901</w:t>
            </w:r>
          </w:p>
        </w:tc>
        <w:tc>
          <w:tcPr>
            <w:tcW w:w="1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spacing w:after="0"/>
              <w:rPr>
                <w:sz w:val="23"/>
                <w:szCs w:val="23"/>
                <w:color w:val="auto"/>
              </w:rPr>
            </w:pPr>
          </w:p>
        </w:tc>
      </w:tr>
      <w:tr>
        <w:trPr>
          <w:trHeight w:val="248"/>
        </w:trPr>
        <w:tc>
          <w:tcPr>
            <w:tcW w:w="2900" w:type="dxa"/>
            <w:vAlign w:val="bottom"/>
          </w:tcPr>
          <w:p>
            <w:pPr>
              <w:ind w:left="40"/>
              <w:spacing w:after="0"/>
              <w:rPr>
                <w:sz w:val="20"/>
                <w:szCs w:val="20"/>
                <w:color w:val="auto"/>
              </w:rPr>
            </w:pPr>
            <w:r>
              <w:rPr>
                <w:rFonts w:ascii="Arial" w:cs="Arial" w:eastAsia="Arial" w:hAnsi="Arial"/>
                <w:sz w:val="18"/>
                <w:szCs w:val="18"/>
                <w:color w:val="auto"/>
                <w:w w:val="96"/>
              </w:rPr>
              <w:t>Total liabilities &amp; shareholders' equity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1,468,357</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1,450,799</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81"/>
        </w:trPr>
        <w:tc>
          <w:tcPr>
            <w:tcW w:w="2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64"/>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44,335</w:t>
            </w:r>
          </w:p>
        </w:tc>
        <w:tc>
          <w:tcPr>
            <w:tcW w:w="10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8"/>
              </w:rPr>
              <w:t>40,989</w:t>
            </w:r>
          </w:p>
        </w:tc>
        <w:tc>
          <w:tcPr>
            <w:tcW w:w="960" w:type="dxa"/>
            <w:vAlign w:val="bottom"/>
            <w:tcBorders>
              <w:bottom w:val="single" w:sz="8" w:color="CFF0FC"/>
            </w:tcBorders>
            <w:shd w:val="clear" w:color="auto" w:fill="CFF0FC"/>
          </w:tcPr>
          <w:p>
            <w:pPr>
              <w:spacing w:after="0"/>
              <w:rPr>
                <w:sz w:val="22"/>
                <w:szCs w:val="22"/>
                <w:color w:val="auto"/>
              </w:rPr>
            </w:pPr>
          </w:p>
        </w:tc>
      </w:tr>
      <w:tr>
        <w:trPr>
          <w:trHeight w:val="248"/>
        </w:trPr>
        <w:tc>
          <w:tcPr>
            <w:tcW w:w="2900" w:type="dxa"/>
            <w:vAlign w:val="bottom"/>
          </w:tcPr>
          <w:p>
            <w:pPr>
              <w:spacing w:after="0"/>
              <w:rPr>
                <w:sz w:val="20"/>
                <w:szCs w:val="20"/>
                <w:color w:val="auto"/>
              </w:rPr>
            </w:pPr>
            <w:r>
              <w:rPr>
                <w:rFonts w:ascii="Arial" w:cs="Arial" w:eastAsia="Arial" w:hAnsi="Arial"/>
                <w:sz w:val="18"/>
                <w:szCs w:val="18"/>
                <w:color w:val="auto"/>
              </w:rPr>
              <w:t>Net interest rate spread</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36"/>
        </w:trPr>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4"/>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interest margin</w:t>
            </w:r>
          </w:p>
        </w:tc>
        <w:tc>
          <w:tcPr>
            <w:tcW w:w="2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2.98%</w:t>
            </w:r>
          </w:p>
        </w:tc>
      </w:tr>
      <w:tr>
        <w:trPr>
          <w:trHeight w:val="248"/>
        </w:trPr>
        <w:tc>
          <w:tcPr>
            <w:tcW w:w="2900" w:type="dxa"/>
            <w:vAlign w:val="bottom"/>
          </w:tcPr>
          <w:p>
            <w:pPr>
              <w:spacing w:after="0"/>
              <w:rPr>
                <w:sz w:val="20"/>
                <w:szCs w:val="20"/>
                <w:color w:val="auto"/>
              </w:rPr>
            </w:pPr>
            <w:r>
              <w:rPr>
                <w:rFonts w:ascii="Arial" w:cs="Arial" w:eastAsia="Arial" w:hAnsi="Arial"/>
                <w:sz w:val="18"/>
                <w:szCs w:val="18"/>
                <w:color w:val="auto"/>
                <w:w w:val="90"/>
              </w:rPr>
              <w:t>Ratio of average interest-earning assets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2900" w:type="dxa"/>
            <w:vAlign w:val="bottom"/>
          </w:tcPr>
          <w:p>
            <w:pPr>
              <w:ind w:left="120"/>
              <w:spacing w:after="0"/>
              <w:rPr>
                <w:sz w:val="20"/>
                <w:szCs w:val="20"/>
                <w:color w:val="auto"/>
              </w:rPr>
            </w:pPr>
            <w:r>
              <w:rPr>
                <w:rFonts w:ascii="Arial" w:cs="Arial" w:eastAsia="Arial" w:hAnsi="Arial"/>
                <w:sz w:val="18"/>
                <w:szCs w:val="18"/>
                <w:color w:val="auto"/>
                <w:w w:val="95"/>
              </w:rPr>
              <w:t>to average interest-bearing liabilities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123.57%</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-6583680</wp:posOffset>
            </wp:positionV>
            <wp:extent cx="407098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70985" cy="635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-6396990</wp:posOffset>
            </wp:positionV>
            <wp:extent cx="407098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7098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-6029325</wp:posOffset>
            </wp:positionV>
            <wp:extent cx="596773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-4948555</wp:posOffset>
            </wp:positionV>
            <wp:extent cx="596773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-4761230</wp:posOffset>
            </wp:positionV>
            <wp:extent cx="596773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-3861435</wp:posOffset>
            </wp:positionV>
            <wp:extent cx="596773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-3674110</wp:posOffset>
            </wp:positionV>
            <wp:extent cx="5967730" cy="28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-2200910</wp:posOffset>
            </wp:positionV>
            <wp:extent cx="596773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-2014220</wp:posOffset>
            </wp:positionV>
            <wp:extent cx="596773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-1466215</wp:posOffset>
            </wp:positionV>
            <wp:extent cx="596773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-1278890</wp:posOffset>
            </wp:positionV>
            <wp:extent cx="596773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-1092200</wp:posOffset>
            </wp:positionV>
            <wp:extent cx="596773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-904875</wp:posOffset>
            </wp:positionV>
            <wp:extent cx="5967730" cy="28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596773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18</w:t>
      </w:r>
    </w:p>
    <w:p>
      <w:pPr>
        <w:sectPr>
          <w:pgSz w:w="11900" w:h="16838" w:orient="portrait"/>
          <w:cols w:equalWidth="0" w:num="1">
            <w:col w:w="9400"/>
          </w:cols>
          <w:pgMar w:left="1260" w:top="1440" w:right="1246" w:bottom="0" w:gutter="0" w:footer="0" w:header="0"/>
          <w:type w:val="continuous"/>
        </w:sectPr>
      </w:pPr>
    </w:p>
    <w:bookmarkStart w:id="73" w:name="page74"/>
    <w:bookmarkEnd w:id="73"/>
    <w:p>
      <w:pPr>
        <w:spacing w:after="0" w:line="2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18</w:t>
      </w:r>
    </w:p>
    <w:p>
      <w:pPr>
        <w:sectPr>
          <w:pgSz w:w="11900" w:h="16838" w:orient="portrait"/>
          <w:cols w:equalWidth="0" w:num="1">
            <w:col w:w="9026"/>
          </w:cols>
          <w:pgMar w:left="1440" w:top="1440" w:right="1440" w:bottom="0"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Rate/Volume Analysis</w:t>
      </w:r>
    </w:p>
    <w:p>
      <w:pPr>
        <w:spacing w:after="0" w:line="200"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years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920" w:type="dxa"/>
            <w:vAlign w:val="bottom"/>
            <w:gridSpan w:val="4"/>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60" w:type="dxa"/>
            <w:vAlign w:val="bottom"/>
          </w:tcPr>
          <w:p>
            <w:pPr>
              <w:spacing w:after="0"/>
              <w:rPr>
                <w:sz w:val="17"/>
                <w:szCs w:val="17"/>
                <w:color w:val="auto"/>
              </w:rPr>
            </w:pPr>
          </w:p>
        </w:tc>
      </w:tr>
      <w:tr>
        <w:trPr>
          <w:trHeight w:val="294"/>
        </w:trPr>
        <w:tc>
          <w:tcPr>
            <w:tcW w:w="3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w w:val="88"/>
              </w:rPr>
              <w:t>2025 vs 2024</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4"/>
        </w:trPr>
        <w:tc>
          <w:tcPr>
            <w:tcW w:w="3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20" w:type="dxa"/>
            <w:vAlign w:val="bottom"/>
            <w:gridSpan w:val="4"/>
          </w:tcPr>
          <w:p>
            <w:pPr>
              <w:jc w:val="right"/>
              <w:ind w:right="90"/>
              <w:spacing w:after="0"/>
              <w:rPr>
                <w:sz w:val="20"/>
                <w:szCs w:val="20"/>
                <w:color w:val="auto"/>
              </w:rPr>
            </w:pPr>
            <w:r>
              <w:rPr>
                <w:rFonts w:ascii="Arial" w:cs="Arial" w:eastAsia="Arial" w:hAnsi="Arial"/>
                <w:sz w:val="18"/>
                <w:szCs w:val="18"/>
                <w:color w:val="auto"/>
              </w:rPr>
              <w:t>Increase/(Decrease) Due to</w:t>
            </w:r>
          </w:p>
        </w:tc>
        <w:tc>
          <w:tcPr>
            <w:tcW w:w="1060" w:type="dxa"/>
            <w:vAlign w:val="bottom"/>
          </w:tcPr>
          <w:p>
            <w:pPr>
              <w:spacing w:after="0"/>
              <w:rPr>
                <w:sz w:val="24"/>
                <w:szCs w:val="24"/>
                <w:color w:val="auto"/>
              </w:rPr>
            </w:pPr>
          </w:p>
        </w:tc>
      </w:tr>
      <w:tr>
        <w:trPr>
          <w:trHeight w:val="294"/>
        </w:trPr>
        <w:tc>
          <w:tcPr>
            <w:tcW w:w="3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Total</w:t>
            </w:r>
          </w:p>
        </w:tc>
      </w:tr>
      <w:tr>
        <w:trPr>
          <w:trHeight w:val="284"/>
        </w:trPr>
        <w:tc>
          <w:tcPr>
            <w:tcW w:w="3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Increase</w:t>
            </w:r>
          </w:p>
        </w:tc>
      </w:tr>
      <w:tr>
        <w:trPr>
          <w:trHeight w:val="284"/>
        </w:trPr>
        <w:tc>
          <w:tcPr>
            <w:tcW w:w="37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Volume</w:t>
            </w:r>
          </w:p>
        </w:tc>
        <w:tc>
          <w:tcPr>
            <w:tcW w:w="22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Rate</w:t>
            </w:r>
          </w:p>
        </w:tc>
        <w:tc>
          <w:tcPr>
            <w:tcW w:w="3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(Decrease)</w:t>
            </w:r>
          </w:p>
        </w:tc>
      </w:tr>
      <w:tr>
        <w:trPr>
          <w:trHeight w:val="46"/>
        </w:trPr>
        <w:tc>
          <w:tcPr>
            <w:tcW w:w="3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64"/>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6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r>
      <w:tr>
        <w:trPr>
          <w:trHeight w:val="248"/>
        </w:trPr>
        <w:tc>
          <w:tcPr>
            <w:tcW w:w="3760" w:type="dxa"/>
            <w:vAlign w:val="bottom"/>
          </w:tcPr>
          <w:p>
            <w:pPr>
              <w:ind w:left="40"/>
              <w:spacing w:after="0"/>
              <w:rPr>
                <w:sz w:val="20"/>
                <w:szCs w:val="20"/>
                <w:color w:val="auto"/>
              </w:rPr>
            </w:pPr>
            <w:r>
              <w:rPr>
                <w:rFonts w:ascii="Arial" w:cs="Arial" w:eastAsia="Arial" w:hAnsi="Arial"/>
                <w:sz w:val="18"/>
                <w:szCs w:val="18"/>
                <w:color w:val="auto"/>
              </w:rPr>
              <w:t>Loans</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519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855</w:t>
            </w:r>
          </w:p>
        </w:tc>
      </w:tr>
      <w:tr>
        <w:trPr>
          <w:trHeight w:val="36"/>
        </w:trPr>
        <w:tc>
          <w:tcPr>
            <w:tcW w:w="3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3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Taxable investment securities</w:t>
            </w:r>
          </w:p>
        </w:tc>
        <w:tc>
          <w:tcPr>
            <w:tcW w:w="16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(1,861)</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(2,003)</w:t>
            </w:r>
          </w:p>
        </w:tc>
      </w:tr>
      <w:tr>
        <w:trPr>
          <w:trHeight w:val="248"/>
        </w:trPr>
        <w:tc>
          <w:tcPr>
            <w:tcW w:w="3760" w:type="dxa"/>
            <w:vAlign w:val="bottom"/>
          </w:tcPr>
          <w:p>
            <w:pPr>
              <w:ind w:left="40"/>
              <w:spacing w:after="0"/>
              <w:rPr>
                <w:sz w:val="20"/>
                <w:szCs w:val="20"/>
                <w:color w:val="auto"/>
              </w:rPr>
            </w:pPr>
            <w:r>
              <w:rPr>
                <w:rFonts w:ascii="Arial" w:cs="Arial" w:eastAsia="Arial" w:hAnsi="Arial"/>
                <w:sz w:val="18"/>
                <w:szCs w:val="18"/>
                <w:color w:val="auto"/>
              </w:rPr>
              <w:t>Tax-exempt investment securities</w:t>
            </w:r>
          </w:p>
        </w:tc>
        <w:tc>
          <w:tcPr>
            <w:tcW w:w="16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36"/>
        </w:trPr>
        <w:tc>
          <w:tcPr>
            <w:tcW w:w="3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4"/>
        </w:trPr>
        <w:tc>
          <w:tcPr>
            <w:tcW w:w="3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Interest-earning deposits</w:t>
            </w:r>
          </w:p>
        </w:tc>
        <w:tc>
          <w:tcPr>
            <w:tcW w:w="16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(280)</w:t>
            </w:r>
          </w:p>
        </w:tc>
        <w:tc>
          <w:tcPr>
            <w:tcW w:w="3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3760" w:type="dxa"/>
            <w:vAlign w:val="bottom"/>
          </w:tcPr>
          <w:p>
            <w:pPr>
              <w:ind w:left="80"/>
              <w:spacing w:after="0"/>
              <w:rPr>
                <w:sz w:val="20"/>
                <w:szCs w:val="20"/>
                <w:color w:val="auto"/>
              </w:rPr>
            </w:pPr>
            <w:r>
              <w:rPr>
                <w:rFonts w:ascii="Arial" w:cs="Arial" w:eastAsia="Arial" w:hAnsi="Arial"/>
                <w:sz w:val="18"/>
                <w:szCs w:val="18"/>
                <w:color w:val="auto"/>
              </w:rPr>
              <w:t>Total interest income</w:t>
            </w:r>
          </w:p>
        </w:tc>
        <w:tc>
          <w:tcPr>
            <w:tcW w:w="16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w:t>
            </w:r>
          </w:p>
        </w:tc>
      </w:tr>
      <w:tr>
        <w:trPr>
          <w:trHeight w:val="46"/>
        </w:trPr>
        <w:tc>
          <w:tcPr>
            <w:tcW w:w="3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64"/>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w:t>
            </w:r>
          </w:p>
        </w:tc>
        <w:tc>
          <w:tcPr>
            <w:tcW w:w="16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r>
      <w:tr>
        <w:trPr>
          <w:trHeight w:val="248"/>
        </w:trPr>
        <w:tc>
          <w:tcPr>
            <w:tcW w:w="3760" w:type="dxa"/>
            <w:vAlign w:val="bottom"/>
          </w:tcPr>
          <w:p>
            <w:pPr>
              <w:ind w:left="40"/>
              <w:spacing w:after="0"/>
              <w:rPr>
                <w:sz w:val="20"/>
                <w:szCs w:val="20"/>
                <w:color w:val="auto"/>
              </w:rPr>
            </w:pPr>
            <w:r>
              <w:rPr>
                <w:rFonts w:ascii="Arial" w:cs="Arial" w:eastAsia="Arial" w:hAnsi="Arial"/>
                <w:sz w:val="18"/>
                <w:szCs w:val="18"/>
                <w:color w:val="auto"/>
              </w:rPr>
              <w:t>NOW accounts</w:t>
            </w:r>
          </w:p>
        </w:tc>
        <w:tc>
          <w:tcPr>
            <w:tcW w:w="16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164</w:t>
            </w:r>
          </w:p>
        </w:tc>
      </w:tr>
      <w:tr>
        <w:trPr>
          <w:trHeight w:val="36"/>
        </w:trPr>
        <w:tc>
          <w:tcPr>
            <w:tcW w:w="3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3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Money management accounts</w:t>
            </w:r>
          </w:p>
        </w:tc>
        <w:tc>
          <w:tcPr>
            <w:tcW w:w="16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3760" w:type="dxa"/>
            <w:vAlign w:val="bottom"/>
          </w:tcPr>
          <w:p>
            <w:pPr>
              <w:ind w:left="40"/>
              <w:spacing w:after="0"/>
              <w:rPr>
                <w:sz w:val="20"/>
                <w:szCs w:val="20"/>
                <w:color w:val="auto"/>
              </w:rPr>
            </w:pPr>
            <w:r>
              <w:rPr>
                <w:rFonts w:ascii="Arial" w:cs="Arial" w:eastAsia="Arial" w:hAnsi="Arial"/>
                <w:sz w:val="18"/>
                <w:szCs w:val="18"/>
                <w:color w:val="auto"/>
              </w:rPr>
              <w:t>MMDA accounts</w:t>
            </w:r>
          </w:p>
        </w:tc>
        <w:tc>
          <w:tcPr>
            <w:tcW w:w="16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1,789</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(986)</w:t>
            </w:r>
          </w:p>
        </w:tc>
        <w:tc>
          <w:tcPr>
            <w:tcW w:w="3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803</w:t>
            </w:r>
          </w:p>
        </w:tc>
      </w:tr>
      <w:tr>
        <w:trPr>
          <w:trHeight w:val="36"/>
        </w:trPr>
        <w:tc>
          <w:tcPr>
            <w:tcW w:w="3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3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Savings and club accounts</w:t>
            </w:r>
          </w:p>
        </w:tc>
        <w:tc>
          <w:tcPr>
            <w:tcW w:w="16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48"/>
        </w:trPr>
        <w:tc>
          <w:tcPr>
            <w:tcW w:w="376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16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(2,256)</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(3,482)</w:t>
            </w:r>
          </w:p>
        </w:tc>
      </w:tr>
      <w:tr>
        <w:trPr>
          <w:trHeight w:val="36"/>
        </w:trPr>
        <w:tc>
          <w:tcPr>
            <w:tcW w:w="3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3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Subordinated debt</w:t>
            </w:r>
          </w:p>
        </w:tc>
        <w:tc>
          <w:tcPr>
            <w:tcW w:w="16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48"/>
        </w:trPr>
        <w:tc>
          <w:tcPr>
            <w:tcW w:w="3760" w:type="dxa"/>
            <w:vAlign w:val="bottom"/>
          </w:tcPr>
          <w:p>
            <w:pPr>
              <w:ind w:left="40"/>
              <w:spacing w:after="0"/>
              <w:rPr>
                <w:sz w:val="20"/>
                <w:szCs w:val="20"/>
                <w:color w:val="auto"/>
              </w:rPr>
            </w:pPr>
            <w:r>
              <w:rPr>
                <w:rFonts w:ascii="Arial" w:cs="Arial" w:eastAsia="Arial" w:hAnsi="Arial"/>
                <w:sz w:val="18"/>
                <w:szCs w:val="18"/>
                <w:color w:val="auto"/>
              </w:rPr>
              <w:t>Borrowings</w:t>
            </w:r>
          </w:p>
        </w:tc>
        <w:tc>
          <w:tcPr>
            <w:tcW w:w="16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46"/>
        </w:trPr>
        <w:tc>
          <w:tcPr>
            <w:tcW w:w="3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74"/>
        </w:trPr>
        <w:tc>
          <w:tcPr>
            <w:tcW w:w="37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interest expense</w:t>
            </w:r>
          </w:p>
        </w:tc>
        <w:tc>
          <w:tcPr>
            <w:tcW w:w="16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(1,156)</w:t>
            </w:r>
          </w:p>
        </w:tc>
        <w:tc>
          <w:tcPr>
            <w:tcW w:w="22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(3,894)</w:t>
            </w:r>
          </w:p>
        </w:tc>
        <w:tc>
          <w:tcPr>
            <w:tcW w:w="3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(5,050)</w:t>
            </w:r>
          </w:p>
        </w:tc>
      </w:tr>
      <w:tr>
        <w:trPr>
          <w:trHeight w:val="248"/>
        </w:trPr>
        <w:tc>
          <w:tcPr>
            <w:tcW w:w="3760" w:type="dxa"/>
            <w:vAlign w:val="bottom"/>
          </w:tcPr>
          <w:p>
            <w:pPr>
              <w:spacing w:after="0"/>
              <w:rPr>
                <w:sz w:val="20"/>
                <w:szCs w:val="20"/>
                <w:color w:val="auto"/>
              </w:rPr>
            </w:pPr>
            <w:r>
              <w:rPr>
                <w:rFonts w:ascii="Arial" w:cs="Arial" w:eastAsia="Arial" w:hAnsi="Arial"/>
                <w:sz w:val="18"/>
                <w:szCs w:val="18"/>
                <w:color w:val="auto"/>
              </w:rPr>
              <w:t>Net change in net interest income</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1,477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1,869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-3813175</wp:posOffset>
            </wp:positionV>
            <wp:extent cx="274447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44470" cy="635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-3445510</wp:posOffset>
            </wp:positionV>
            <wp:extent cx="274447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4447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-2897505</wp:posOffset>
            </wp:positionV>
            <wp:extent cx="596773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-1988185</wp:posOffset>
            </wp:positionV>
            <wp:extent cx="596773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-1801495</wp:posOffset>
            </wp:positionV>
            <wp:extent cx="596773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-350520</wp:posOffset>
            </wp:positionV>
            <wp:extent cx="596773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596773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w:t>
      </w:r>
    </w:p>
    <w:p>
      <w:pPr>
        <w:spacing w:after="0" w:line="20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Changes in interest income result from changes in the average balances of loans, securities, and interest-earning deposits and the related average yields on those balances.</w:t>
      </w:r>
    </w:p>
    <w:p>
      <w:pPr>
        <w:spacing w:after="0" w:line="141"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Interest and dividend income decreased $1.7 million, or 2.2%, to $76.7 million for the year ended December 31, 2025, compared to $78.4 million for the year ended December 31, 2024. The decrease in 2025 was driven by lower average interest-earning balances of taxable investment securities and federal funds sold and interest-earning deposits down by $2.6 million and $1.4 million, respectively, accompanied by lower average yields of taxable investment securities and federal funds sold and interest-earning deposits down 45 basis points to 4.97% from 5.42% and 184 basis points, to 3.00% from 4.84% respectively. These decreases were offset by higher average balances of loans and tax-exempt securities up $5.7 million and $3.3 million, respectively, and higher average yields of six basis points to 5.89% from 5.83% for average loans, when compared to the year ended December 31, 2024. The decline in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18</w:t>
      </w:r>
    </w:p>
    <w:p>
      <w:pPr>
        <w:sectPr>
          <w:pgSz w:w="11900" w:h="16838" w:orient="portrait"/>
          <w:cols w:equalWidth="0" w:num="1">
            <w:col w:w="9400"/>
          </w:cols>
          <w:pgMar w:left="1260" w:top="1440" w:right="1246" w:bottom="0" w:gutter="0" w:footer="0" w:header="0"/>
          <w:type w:val="continuous"/>
        </w:sectPr>
      </w:pPr>
    </w:p>
    <w:bookmarkStart w:id="75" w:name="page76"/>
    <w:bookmarkEnd w:id="75"/>
    <w:p>
      <w:pPr>
        <w:jc w:val="both"/>
        <w:ind w:right="60"/>
        <w:spacing w:after="0" w:line="355" w:lineRule="auto"/>
        <w:rPr>
          <w:sz w:val="20"/>
          <w:szCs w:val="20"/>
          <w:color w:val="auto"/>
        </w:rPr>
      </w:pPr>
      <w:r>
        <w:rPr>
          <w:rFonts w:ascii="Arial" w:cs="Arial" w:eastAsia="Arial" w:hAnsi="Arial"/>
          <w:sz w:val="18"/>
          <w:szCs w:val="18"/>
          <w:color w:val="auto"/>
        </w:rPr>
        <w:t>interest income reflected the decrease in total average yield of average interest-earnings assets which decreased 14 basis points, to 5.56% for the year ended December 31, 2025 from 5.70% for the year ended December 31, 2024, offset by the increase in total average interest-earning assets which increased $5.0 million from the sequential year.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0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Interest expense totaled $32.3 million for the year ended December 31, 2025, down $5.1 million or 13.5% from $37.4 million for the year ended December 31, 2024. The decrease in interest expense for the year ended December 31, 2025, was primarily driven by the lower interest rate environment and decreased average borrowing balances and associated costs. Total cost of funds on average interest-bearing deposits for the year ended December 31, 2025, was 2.74%, down 38 basis points, from 3.12% for the year ended December 31, 2024. Total average balances on interest-bearing deposits increased $44.9 million to $1.02 billion for the year ended December 31, 2025, from $976.9 million for the year ended December 31, 2024. Average balances on borrowings decreased to $64.5 million, down $50.0 million, and cost of funds related to average borrowings decreased to 3.66%, down 63 basis points for the year ended December 31, 2025 as compared to the year ended December 31, 2024. The decrease in interest expense was the result of the decrease in the average balance of total interest-bearing liabilities which decreased $4.9 million, or 0.44%, paired with lower cost of funds down 44 basis points, to 2.89% for the year ended December 31, 2025 from the year ended December 31, 2024.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18</w:t>
      </w:r>
    </w:p>
    <w:p>
      <w:pPr>
        <w:sectPr>
          <w:pgSz w:w="11900" w:h="16838" w:orient="portrait"/>
          <w:cols w:equalWidth="0" w:num="1">
            <w:col w:w="9400"/>
          </w:cols>
          <w:pgMar w:left="1260" w:top="1173" w:right="1246" w:bottom="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Credit Losses</w:t>
      </w:r>
    </w:p>
    <w:p>
      <w:pPr>
        <w:spacing w:after="0" w:line="200"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We establish a provision for credit losses, which is recorded to operations, at a level management believes is appropriate to absorb lifetime credit losses in the loan portfolio. In evaluating the level of the allowance for credit losses, management considers historical loss experience, the types and amount of loans in the loan portfolio, adverse situations that may affect a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136"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The Company recorded a provision for credit losses of $16.3 million in 2025 as compared to $11.0 million in the prior year. The $5.3 million year-over-year increase in provision for credit losses reflected a comprehensive loan portfolio review of all commercial loan relationships of $500,000 or more, representing approximately 90% of the commercial portfolio, which was announced in October 2025 and completed in December 2025. The increase in provision for credit losses reflects a risk-based reserve build of the Company's forward-looking assessment of loans identified through the comprehensive loan portfolio review.</w:t>
      </w:r>
    </w:p>
    <w:p>
      <w:pPr>
        <w:spacing w:after="0" w:line="123" w:lineRule="exact"/>
        <w:rPr>
          <w:sz w:val="20"/>
          <w:szCs w:val="20"/>
          <w:color w:val="auto"/>
        </w:rPr>
      </w:pPr>
    </w:p>
    <w:p>
      <w:pPr>
        <w:jc w:val="both"/>
        <w:ind w:right="80"/>
        <w:spacing w:after="0" w:line="309" w:lineRule="auto"/>
        <w:rPr>
          <w:sz w:val="20"/>
          <w:szCs w:val="20"/>
          <w:color w:val="auto"/>
        </w:rPr>
      </w:pPr>
      <w:r>
        <w:rPr>
          <w:rFonts w:ascii="Arial" w:cs="Arial" w:eastAsia="Arial" w:hAnsi="Arial"/>
          <w:sz w:val="20"/>
          <w:szCs w:val="20"/>
          <w:color w:val="auto"/>
        </w:rPr>
        <w:t>The Company recorded $4.2 million in net charge-offs in 2025 as compared to $9.8 million in net charge-offs in 2024. The ratio of net charge-offs to average loans therefore decreased to 0.46% in 2025 from 1.09% in 2024. Further information on earnings per share can be found in Note 1 to the consolidated financial statements of this Form 10-K.</w:t>
      </w:r>
    </w:p>
    <w:p>
      <w:pPr>
        <w:spacing w:after="0" w:line="136"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Nonperforming loans to total loans increased to 3.07% at December 31, 2025 as compared to 2.40% at December 31, 2024. The allowance for credit losses to non-performing loans at December 31, 2025 was 106.80%, compared with 78.1% at December 31, 2024.</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Noninterest Income</w:t>
      </w:r>
    </w:p>
    <w:p>
      <w:pPr>
        <w:spacing w:after="0" w:line="200" w:lineRule="exact"/>
        <w:rPr>
          <w:sz w:val="20"/>
          <w:szCs w:val="20"/>
          <w:color w:val="auto"/>
        </w:rPr>
      </w:pPr>
    </w:p>
    <w:p>
      <w:pPr>
        <w:ind w:right="40"/>
        <w:spacing w:after="0" w:line="363" w:lineRule="auto"/>
        <w:rPr>
          <w:sz w:val="20"/>
          <w:szCs w:val="20"/>
          <w:color w:val="auto"/>
        </w:rPr>
      </w:pPr>
      <w:r>
        <w:rPr>
          <w:rFonts w:ascii="Arial" w:cs="Arial" w:eastAsia="Arial" w:hAnsi="Arial"/>
          <w:sz w:val="18"/>
          <w:szCs w:val="18"/>
          <w:color w:val="auto"/>
        </w:rPr>
        <w:t>The Company's noninterest income is primarily comprised of fees on deposit account balances and transactions, loan servicing, commissions and net gains or losses on sales of securities, loans, and foreclosed real estate.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on noninterest income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For the years ended</w:t>
            </w: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4"/>
        </w:trPr>
        <w:tc>
          <w:tcPr>
            <w:tcW w:w="3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24"/>
                <w:szCs w:val="24"/>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Change</w:t>
            </w:r>
          </w:p>
        </w:tc>
        <w:tc>
          <w:tcPr>
            <w:tcW w:w="920" w:type="dxa"/>
            <w:vAlign w:val="bottom"/>
          </w:tcPr>
          <w:p>
            <w:pPr>
              <w:spacing w:after="0"/>
              <w:rPr>
                <w:sz w:val="24"/>
                <w:szCs w:val="24"/>
                <w:color w:val="auto"/>
              </w:rPr>
            </w:pPr>
          </w:p>
        </w:tc>
      </w:tr>
      <w:tr>
        <w:trPr>
          <w:trHeight w:val="294"/>
        </w:trPr>
        <w:tc>
          <w:tcPr>
            <w:tcW w:w="366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1,539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1,436</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103</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6"/>
        </w:trPr>
        <w:tc>
          <w:tcPr>
            <w:tcW w:w="3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Earnings and gain on bank owned life insurance</w:t>
            </w:r>
          </w:p>
        </w:tc>
        <w:tc>
          <w:tcPr>
            <w:tcW w:w="5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834</w:t>
            </w:r>
          </w:p>
        </w:tc>
        <w:tc>
          <w:tcPr>
            <w:tcW w:w="4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854</w:t>
            </w:r>
          </w:p>
        </w:tc>
        <w:tc>
          <w:tcPr>
            <w:tcW w:w="7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510"/>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3660" w:type="dxa"/>
            <w:vAlign w:val="bottom"/>
          </w:tcPr>
          <w:p>
            <w:pPr>
              <w:spacing w:after="0"/>
              <w:rPr>
                <w:sz w:val="20"/>
                <w:szCs w:val="20"/>
                <w:color w:val="auto"/>
              </w:rPr>
            </w:pPr>
            <w:r>
              <w:rPr>
                <w:rFonts w:ascii="Arial" w:cs="Arial" w:eastAsia="Arial" w:hAnsi="Arial"/>
                <w:sz w:val="18"/>
                <w:szCs w:val="18"/>
                <w:color w:val="auto"/>
              </w:rPr>
              <w:t>Loan servicing fees</w:t>
            </w:r>
          </w:p>
        </w:tc>
        <w:tc>
          <w:tcPr>
            <w:tcW w:w="5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386</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375</w:t>
            </w:r>
          </w:p>
        </w:tc>
        <w:tc>
          <w:tcPr>
            <w:tcW w:w="740" w:type="dxa"/>
            <w:vAlign w:val="bottom"/>
          </w:tcPr>
          <w:p>
            <w:pPr>
              <w:spacing w:after="0"/>
              <w:rPr>
                <w:sz w:val="21"/>
                <w:szCs w:val="21"/>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
        </w:trPr>
        <w:tc>
          <w:tcPr>
            <w:tcW w:w="3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Debit card interchange fees</w:t>
            </w:r>
          </w:p>
        </w:tc>
        <w:tc>
          <w:tcPr>
            <w:tcW w:w="5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510</w:t>
            </w:r>
          </w:p>
        </w:tc>
        <w:tc>
          <w:tcPr>
            <w:tcW w:w="4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875</w:t>
            </w:r>
          </w:p>
        </w:tc>
        <w:tc>
          <w:tcPr>
            <w:tcW w:w="7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510"/>
              <w:spacing w:after="0"/>
              <w:rPr>
                <w:sz w:val="20"/>
                <w:szCs w:val="20"/>
                <w:color w:val="auto"/>
              </w:rPr>
            </w:pPr>
            <w:r>
              <w:rPr>
                <w:rFonts w:ascii="Arial" w:cs="Arial" w:eastAsia="Arial" w:hAnsi="Arial"/>
                <w:sz w:val="18"/>
                <w:szCs w:val="18"/>
                <w:color w:val="auto"/>
              </w:rPr>
              <w:t>(365)</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-41.7%</w:t>
            </w:r>
          </w:p>
        </w:tc>
      </w:tr>
      <w:tr>
        <w:trPr>
          <w:trHeight w:val="248"/>
        </w:trPr>
        <w:tc>
          <w:tcPr>
            <w:tcW w:w="3660" w:type="dxa"/>
            <w:vAlign w:val="bottom"/>
          </w:tcPr>
          <w:p>
            <w:pPr>
              <w:spacing w:after="0"/>
              <w:rPr>
                <w:sz w:val="20"/>
                <w:szCs w:val="20"/>
                <w:color w:val="auto"/>
              </w:rPr>
            </w:pPr>
            <w:r>
              <w:rPr>
                <w:rFonts w:ascii="Arial" w:cs="Arial" w:eastAsia="Arial" w:hAnsi="Arial"/>
                <w:sz w:val="18"/>
                <w:szCs w:val="18"/>
                <w:color w:val="auto"/>
              </w:rPr>
              <w:t>Insurance agency revenue</w:t>
            </w:r>
          </w:p>
        </w:tc>
        <w:tc>
          <w:tcPr>
            <w:tcW w:w="5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1,073</w:t>
            </w:r>
          </w:p>
        </w:tc>
        <w:tc>
          <w:tcPr>
            <w:tcW w:w="74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(1,073)</w:t>
            </w: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36"/>
        </w:trPr>
        <w:tc>
          <w:tcPr>
            <w:tcW w:w="3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4"/>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charges, commissions and fees</w:t>
            </w:r>
          </w:p>
        </w:tc>
        <w:tc>
          <w:tcPr>
            <w:tcW w:w="5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1,011</w:t>
            </w:r>
          </w:p>
        </w:tc>
        <w:tc>
          <w:tcPr>
            <w:tcW w:w="4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1,234</w:t>
            </w:r>
          </w:p>
        </w:tc>
        <w:tc>
          <w:tcPr>
            <w:tcW w:w="7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510"/>
              <w:spacing w:after="0"/>
              <w:rPr>
                <w:sz w:val="20"/>
                <w:szCs w:val="20"/>
                <w:color w:val="auto"/>
              </w:rPr>
            </w:pPr>
            <w:r>
              <w:rPr>
                <w:rFonts w:ascii="Arial" w:cs="Arial" w:eastAsia="Arial" w:hAnsi="Arial"/>
                <w:sz w:val="18"/>
                <w:szCs w:val="18"/>
                <w:color w:val="auto"/>
              </w:rPr>
              <w:t>(223)</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-18.1%</w:t>
            </w:r>
          </w:p>
        </w:tc>
      </w:tr>
      <w:tr>
        <w:trPr>
          <w:trHeight w:val="248"/>
        </w:trPr>
        <w:tc>
          <w:tcPr>
            <w:tcW w:w="3660" w:type="dxa"/>
            <w:vAlign w:val="bottom"/>
          </w:tcPr>
          <w:p>
            <w:pPr>
              <w:spacing w:after="0"/>
              <w:rPr>
                <w:sz w:val="20"/>
                <w:szCs w:val="20"/>
                <w:color w:val="auto"/>
              </w:rPr>
            </w:pPr>
            <w:r>
              <w:rPr>
                <w:rFonts w:ascii="Arial" w:cs="Arial" w:eastAsia="Arial" w:hAnsi="Arial"/>
                <w:sz w:val="18"/>
                <w:szCs w:val="18"/>
                <w:color w:val="auto"/>
              </w:rPr>
              <w:t>Noninterest income before gains and losses</w:t>
            </w:r>
          </w:p>
        </w:tc>
        <w:tc>
          <w:tcPr>
            <w:tcW w:w="5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4,280</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5,847</w:t>
            </w:r>
          </w:p>
        </w:tc>
        <w:tc>
          <w:tcPr>
            <w:tcW w:w="74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(1,567)</w:t>
            </w: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36"/>
        </w:trPr>
        <w:tc>
          <w:tcPr>
            <w:tcW w:w="3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8"/>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95"/>
              </w:rPr>
              <w:t>Losses on sales and redemptions of investment</w:t>
            </w:r>
          </w:p>
        </w:tc>
        <w:tc>
          <w:tcPr>
            <w:tcW w:w="5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86"/>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securities</w:t>
            </w:r>
          </w:p>
        </w:tc>
        <w:tc>
          <w:tcPr>
            <w:tcW w:w="5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7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590"/>
              <w:spacing w:after="0"/>
              <w:rPr>
                <w:sz w:val="20"/>
                <w:szCs w:val="20"/>
                <w:color w:val="auto"/>
              </w:rPr>
            </w:pPr>
            <w:r>
              <w:rPr>
                <w:rFonts w:ascii="Arial" w:cs="Arial" w:eastAsia="Arial" w:hAnsi="Arial"/>
                <w:sz w:val="18"/>
                <w:szCs w:val="18"/>
                <w:color w:val="auto"/>
              </w:rPr>
              <w:t>48</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67.6%</w:t>
            </w:r>
          </w:p>
        </w:tc>
      </w:tr>
      <w:tr>
        <w:trPr>
          <w:trHeight w:val="248"/>
        </w:trPr>
        <w:tc>
          <w:tcPr>
            <w:tcW w:w="3660" w:type="dxa"/>
            <w:vAlign w:val="bottom"/>
          </w:tcPr>
          <w:p>
            <w:pPr>
              <w:spacing w:after="0"/>
              <w:rPr>
                <w:sz w:val="20"/>
                <w:szCs w:val="20"/>
                <w:color w:val="auto"/>
              </w:rPr>
            </w:pPr>
            <w:r>
              <w:rPr>
                <w:rFonts w:ascii="Arial" w:cs="Arial" w:eastAsia="Arial" w:hAnsi="Arial"/>
                <w:sz w:val="18"/>
                <w:szCs w:val="18"/>
                <w:color w:val="auto"/>
              </w:rPr>
              <w:t>(Loss) gain on asset sale</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3,169</w:t>
            </w:r>
          </w:p>
        </w:tc>
        <w:tc>
          <w:tcPr>
            <w:tcW w:w="74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(3,284)</w:t>
            </w:r>
          </w:p>
        </w:tc>
        <w:tc>
          <w:tcPr>
            <w:tcW w:w="92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36"/>
        </w:trPr>
        <w:tc>
          <w:tcPr>
            <w:tcW w:w="3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Gains on sales of loans and foreclosed real estate</w:t>
            </w:r>
          </w:p>
        </w:tc>
        <w:tc>
          <w:tcPr>
            <w:tcW w:w="5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402</w:t>
            </w:r>
          </w:p>
        </w:tc>
        <w:tc>
          <w:tcPr>
            <w:tcW w:w="4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187</w:t>
            </w:r>
          </w:p>
        </w:tc>
        <w:tc>
          <w:tcPr>
            <w:tcW w:w="7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590"/>
              <w:spacing w:after="0"/>
              <w:rPr>
                <w:sz w:val="20"/>
                <w:szCs w:val="20"/>
                <w:color w:val="auto"/>
              </w:rPr>
            </w:pPr>
            <w:r>
              <w:rPr>
                <w:rFonts w:ascii="Arial" w:cs="Arial" w:eastAsia="Arial" w:hAnsi="Arial"/>
                <w:sz w:val="18"/>
                <w:szCs w:val="18"/>
                <w:color w:val="auto"/>
              </w:rPr>
              <w:t>215</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r>
      <w:tr>
        <w:trPr>
          <w:trHeight w:val="248"/>
        </w:trPr>
        <w:tc>
          <w:tcPr>
            <w:tcW w:w="3660" w:type="dxa"/>
            <w:vAlign w:val="bottom"/>
          </w:tcPr>
          <w:p>
            <w:pPr>
              <w:spacing w:after="0"/>
              <w:rPr>
                <w:sz w:val="20"/>
                <w:szCs w:val="20"/>
                <w:color w:val="auto"/>
              </w:rPr>
            </w:pPr>
            <w:r>
              <w:rPr>
                <w:rFonts w:ascii="Arial" w:cs="Arial" w:eastAsia="Arial" w:hAnsi="Arial"/>
                <w:sz w:val="18"/>
                <w:szCs w:val="18"/>
                <w:color w:val="auto"/>
              </w:rPr>
              <w:t>Fair value adjustment to loans held-for-sale</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-2334260</wp:posOffset>
            </wp:positionV>
            <wp:extent cx="355028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5028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-2146935</wp:posOffset>
            </wp:positionV>
            <wp:extent cx="596773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596773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18</w:t>
      </w:r>
    </w:p>
    <w:p>
      <w:pPr>
        <w:sectPr>
          <w:pgSz w:w="11900" w:h="16838" w:orient="portrait"/>
          <w:cols w:equalWidth="0" w:num="1">
            <w:col w:w="9400"/>
          </w:cols>
          <w:pgMar w:left="1260" w:top="1440" w:right="1246" w:bottom="0" w:gutter="0" w:footer="0" w:header="0"/>
          <w:type w:val="continuous"/>
        </w:sectPr>
      </w:pPr>
    </w:p>
    <w:bookmarkStart w:id="77" w:name="page78"/>
    <w:bookmarkEnd w:id="77"/>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(3,462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(3,462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Loss on sale of premises and equipment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-184.6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Non-recurring gain on lease renegotiations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Gains on marketable equity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1,450</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18</w:t>
      </w:r>
    </w:p>
    <w:p>
      <w:pPr>
        <w:sectPr>
          <w:pgSz w:w="11900" w:h="16838" w:orient="portrait"/>
          <w:cols w:equalWidth="0" w:num="1">
            <w:col w:w="9400"/>
          </w:cols>
          <w:pgMar w:left="1260" w:top="1440" w:right="1246" w:bottom="0" w:gutter="0" w:footer="0" w:header="0"/>
          <w:type w:val="continuous"/>
        </w:sectPr>
      </w:pPr>
    </w:p>
    <w:bookmarkStart w:id="78" w:name="page79"/>
    <w:bookmarkEnd w:id="78"/>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636.0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noninterest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2,495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9,561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(7,066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Total noninterest income was $2.5 million in 2025, a decrease of $7.1 million, or 73.9%, from $9.6 million in 2024. Excluding recorded gains and losses, noninterest income was down $1.6 million to $4.3 million for the year ended December 31, 2025 from $5.8 million for the year ended December 31, 2024. The decrease from the prior year was driven by fair value adjustment or lower of cost or market adjustment to loans held-for-sale ("LOCOM HFS adjustment") of nonperforming and substandard loan sales conducted in 2025, totaling a pre-tax loss in noninterest income of $3.5 million for the year ended December 31, 2025. Prior year noninterest income also benefited from $1.1 million of insurance agency revenue and a $3.2 million gain on sale associated with the Company's insurance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18</w:t>
      </w:r>
    </w:p>
    <w:p>
      <w:pPr>
        <w:sectPr>
          <w:pgSz w:w="11900" w:h="16838" w:orient="portrait"/>
          <w:cols w:equalWidth="0" w:num="1">
            <w:col w:w="9400"/>
          </w:cols>
          <w:pgMar w:left="1260" w:top="1440" w:right="1246" w:bottom="0" w:gutter="0" w:footer="0" w:header="0"/>
          <w:type w:val="continuous"/>
        </w:sectPr>
      </w:pPr>
    </w:p>
    <w:bookmarkStart w:id="79" w:name="page80"/>
    <w:bookmarkEnd w:id="79"/>
    <w:p>
      <w:pPr>
        <w:jc w:val="both"/>
        <w:spacing w:after="0" w:line="307" w:lineRule="auto"/>
        <w:rPr>
          <w:sz w:val="20"/>
          <w:szCs w:val="20"/>
          <w:color w:val="auto"/>
        </w:rPr>
      </w:pPr>
      <w:r>
        <w:rPr>
          <w:rFonts w:ascii="Arial" w:cs="Arial" w:eastAsia="Arial" w:hAnsi="Arial"/>
          <w:sz w:val="20"/>
          <w:szCs w:val="20"/>
          <w:color w:val="auto"/>
        </w:rPr>
        <w:t>agency asset sold in October 2024. Additionally, the decrease in noninterest income was driven by lower debit card interchange fees of $365,000, lower non-recurring gain on lease negotiations of $245,000, and lower other charges, commissions &amp; fees of $223,000 compared to the previous year.</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18</w:t>
      </w:r>
    </w:p>
    <w:p>
      <w:pPr>
        <w:sectPr>
          <w:pgSz w:w="11900" w:h="16838" w:orient="portrait"/>
          <w:cols w:equalWidth="0" w:num="1">
            <w:col w:w="9340"/>
          </w:cols>
          <w:pgMar w:left="1260" w:top="1173" w:right="1306" w:bottom="0" w:gutter="0" w:footer="0" w:header="0"/>
          <w:type w:val="continuous"/>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Noninterest Expense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on noninterest expense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For the years ended</w:t>
            </w: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94"/>
        </w:trPr>
        <w:tc>
          <w:tcPr>
            <w:tcW w:w="30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24"/>
                <w:szCs w:val="24"/>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Change</w:t>
            </w:r>
          </w:p>
        </w:tc>
        <w:tc>
          <w:tcPr>
            <w:tcW w:w="920" w:type="dxa"/>
            <w:vAlign w:val="bottom"/>
          </w:tcPr>
          <w:p>
            <w:pPr>
              <w:spacing w:after="0"/>
              <w:rPr>
                <w:sz w:val="24"/>
                <w:szCs w:val="24"/>
                <w:color w:val="auto"/>
              </w:rPr>
            </w:pPr>
          </w:p>
        </w:tc>
      </w:tr>
      <w:tr>
        <w:trPr>
          <w:trHeight w:val="294"/>
        </w:trPr>
        <w:tc>
          <w:tcPr>
            <w:tcW w:w="302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18,904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17,810</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1,094</w:t>
            </w: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6"/>
        </w:trPr>
        <w:tc>
          <w:tcPr>
            <w:tcW w:w="3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 and occupancy</w:t>
            </w:r>
          </w:p>
        </w:tc>
        <w:tc>
          <w:tcPr>
            <w:tcW w:w="11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5,313</w:t>
            </w:r>
          </w:p>
        </w:tc>
        <w:tc>
          <w:tcPr>
            <w:tcW w:w="4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4,118</w:t>
            </w:r>
          </w:p>
        </w:tc>
        <w:tc>
          <w:tcPr>
            <w:tcW w:w="7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590"/>
              <w:spacing w:after="0"/>
              <w:rPr>
                <w:sz w:val="20"/>
                <w:szCs w:val="20"/>
                <w:color w:val="auto"/>
              </w:rPr>
            </w:pPr>
            <w:r>
              <w:rPr>
                <w:rFonts w:ascii="Arial" w:cs="Arial" w:eastAsia="Arial" w:hAnsi="Arial"/>
                <w:sz w:val="18"/>
                <w:szCs w:val="18"/>
                <w:color w:val="auto"/>
              </w:rPr>
              <w:t>1,195</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29.0%</w:t>
            </w:r>
          </w:p>
        </w:tc>
      </w:tr>
      <w:tr>
        <w:trPr>
          <w:trHeight w:val="248"/>
        </w:trPr>
        <w:tc>
          <w:tcPr>
            <w:tcW w:w="3020" w:type="dxa"/>
            <w:vAlign w:val="bottom"/>
          </w:tcPr>
          <w:p>
            <w:pPr>
              <w:spacing w:after="0"/>
              <w:rPr>
                <w:sz w:val="20"/>
                <w:szCs w:val="20"/>
                <w:color w:val="auto"/>
              </w:rPr>
            </w:pPr>
            <w:r>
              <w:rPr>
                <w:rFonts w:ascii="Arial" w:cs="Arial" w:eastAsia="Arial" w:hAnsi="Arial"/>
                <w:sz w:val="18"/>
                <w:szCs w:val="18"/>
                <w:color w:val="auto"/>
              </w:rPr>
              <w:t>Data processing</w:t>
            </w:r>
          </w:p>
        </w:tc>
        <w:tc>
          <w:tcPr>
            <w:tcW w:w="1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2,672</w:t>
            </w:r>
          </w:p>
        </w:tc>
        <w:tc>
          <w:tcPr>
            <w:tcW w:w="4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2,471</w:t>
            </w:r>
          </w:p>
        </w:tc>
        <w:tc>
          <w:tcPr>
            <w:tcW w:w="760" w:type="dxa"/>
            <w:vAlign w:val="bottom"/>
          </w:tcPr>
          <w:p>
            <w:pPr>
              <w:spacing w:after="0"/>
              <w:rPr>
                <w:sz w:val="21"/>
                <w:szCs w:val="21"/>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201</w:t>
            </w: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6"/>
        </w:trPr>
        <w:tc>
          <w:tcPr>
            <w:tcW w:w="3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Professional and other services</w:t>
            </w:r>
          </w:p>
        </w:tc>
        <w:tc>
          <w:tcPr>
            <w:tcW w:w="11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2,750</w:t>
            </w:r>
          </w:p>
        </w:tc>
        <w:tc>
          <w:tcPr>
            <w:tcW w:w="4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3,686</w:t>
            </w:r>
          </w:p>
        </w:tc>
        <w:tc>
          <w:tcPr>
            <w:tcW w:w="7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510"/>
              <w:spacing w:after="0"/>
              <w:rPr>
                <w:sz w:val="20"/>
                <w:szCs w:val="20"/>
                <w:color w:val="auto"/>
              </w:rPr>
            </w:pPr>
            <w:r>
              <w:rPr>
                <w:rFonts w:ascii="Arial" w:cs="Arial" w:eastAsia="Arial" w:hAnsi="Arial"/>
                <w:sz w:val="18"/>
                <w:szCs w:val="18"/>
                <w:color w:val="auto"/>
              </w:rPr>
              <w:t>(936)</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-25.4%</w:t>
            </w:r>
          </w:p>
        </w:tc>
      </w:tr>
      <w:tr>
        <w:trPr>
          <w:trHeight w:val="248"/>
        </w:trPr>
        <w:tc>
          <w:tcPr>
            <w:tcW w:w="3020" w:type="dxa"/>
            <w:vAlign w:val="bottom"/>
          </w:tcPr>
          <w:p>
            <w:pPr>
              <w:spacing w:after="0"/>
              <w:rPr>
                <w:sz w:val="20"/>
                <w:szCs w:val="20"/>
                <w:color w:val="auto"/>
              </w:rPr>
            </w:pPr>
            <w:r>
              <w:rPr>
                <w:rFonts w:ascii="Arial" w:cs="Arial" w:eastAsia="Arial" w:hAnsi="Arial"/>
                <w:sz w:val="18"/>
                <w:szCs w:val="18"/>
                <w:color w:val="auto"/>
              </w:rPr>
              <w:t>Advertising</w:t>
            </w:r>
          </w:p>
        </w:tc>
        <w:tc>
          <w:tcPr>
            <w:tcW w:w="1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4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76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(145)</w:t>
            </w: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36"/>
        </w:trPr>
        <w:tc>
          <w:tcPr>
            <w:tcW w:w="3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FDIC assessments</w:t>
            </w:r>
          </w:p>
        </w:tc>
        <w:tc>
          <w:tcPr>
            <w:tcW w:w="11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604</w:t>
            </w:r>
          </w:p>
        </w:tc>
        <w:tc>
          <w:tcPr>
            <w:tcW w:w="4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916</w:t>
            </w:r>
          </w:p>
        </w:tc>
        <w:tc>
          <w:tcPr>
            <w:tcW w:w="7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510"/>
              <w:spacing w:after="0"/>
              <w:rPr>
                <w:sz w:val="20"/>
                <w:szCs w:val="20"/>
                <w:color w:val="auto"/>
              </w:rPr>
            </w:pPr>
            <w:r>
              <w:rPr>
                <w:rFonts w:ascii="Arial" w:cs="Arial" w:eastAsia="Arial" w:hAnsi="Arial"/>
                <w:sz w:val="18"/>
                <w:szCs w:val="18"/>
                <w:color w:val="auto"/>
              </w:rPr>
              <w:t>(312)</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w:t>
            </w:r>
          </w:p>
        </w:tc>
      </w:tr>
      <w:tr>
        <w:trPr>
          <w:trHeight w:val="248"/>
        </w:trPr>
        <w:tc>
          <w:tcPr>
            <w:tcW w:w="3020" w:type="dxa"/>
            <w:vAlign w:val="bottom"/>
          </w:tcPr>
          <w:p>
            <w:pPr>
              <w:spacing w:after="0"/>
              <w:rPr>
                <w:sz w:val="20"/>
                <w:szCs w:val="20"/>
                <w:color w:val="auto"/>
              </w:rPr>
            </w:pPr>
            <w:r>
              <w:rPr>
                <w:rFonts w:ascii="Arial" w:cs="Arial" w:eastAsia="Arial" w:hAnsi="Arial"/>
                <w:sz w:val="18"/>
                <w:szCs w:val="18"/>
                <w:color w:val="auto"/>
              </w:rPr>
              <w:t>Audits and exams</w:t>
            </w:r>
          </w:p>
        </w:tc>
        <w:tc>
          <w:tcPr>
            <w:tcW w:w="1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4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76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(64)</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6"/>
        </w:trPr>
        <w:tc>
          <w:tcPr>
            <w:tcW w:w="3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expense</w:t>
            </w:r>
          </w:p>
        </w:tc>
        <w:tc>
          <w:tcPr>
            <w:tcW w:w="11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627</w:t>
            </w:r>
          </w:p>
        </w:tc>
        <w:tc>
          <w:tcPr>
            <w:tcW w:w="4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293</w:t>
            </w:r>
          </w:p>
        </w:tc>
        <w:tc>
          <w:tcPr>
            <w:tcW w:w="7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590"/>
              <w:spacing w:after="0"/>
              <w:rPr>
                <w:sz w:val="20"/>
                <w:szCs w:val="20"/>
                <w:color w:val="auto"/>
              </w:rPr>
            </w:pPr>
            <w:r>
              <w:rPr>
                <w:rFonts w:ascii="Arial" w:cs="Arial" w:eastAsia="Arial" w:hAnsi="Arial"/>
                <w:sz w:val="18"/>
                <w:szCs w:val="18"/>
                <w:color w:val="auto"/>
              </w:rPr>
              <w:t>334</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r>
      <w:tr>
        <w:trPr>
          <w:trHeight w:val="248"/>
        </w:trPr>
        <w:tc>
          <w:tcPr>
            <w:tcW w:w="3020" w:type="dxa"/>
            <w:vAlign w:val="bottom"/>
          </w:tcPr>
          <w:p>
            <w:pPr>
              <w:spacing w:after="0"/>
              <w:rPr>
                <w:sz w:val="20"/>
                <w:szCs w:val="20"/>
                <w:color w:val="auto"/>
              </w:rPr>
            </w:pPr>
            <w:r>
              <w:rPr>
                <w:rFonts w:ascii="Arial" w:cs="Arial" w:eastAsia="Arial" w:hAnsi="Arial"/>
                <w:sz w:val="18"/>
                <w:szCs w:val="18"/>
                <w:color w:val="auto"/>
              </w:rPr>
              <w:t>Insurance agency expense</w:t>
            </w:r>
          </w:p>
        </w:tc>
        <w:tc>
          <w:tcPr>
            <w:tcW w:w="1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1,281</w:t>
            </w:r>
          </w:p>
        </w:tc>
        <w:tc>
          <w:tcPr>
            <w:tcW w:w="76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(1,281)</w:t>
            </w: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36"/>
        </w:trPr>
        <w:tc>
          <w:tcPr>
            <w:tcW w:w="3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Community service activities</w:t>
            </w:r>
          </w:p>
        </w:tc>
        <w:tc>
          <w:tcPr>
            <w:tcW w:w="11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130</w:t>
            </w:r>
          </w:p>
        </w:tc>
        <w:tc>
          <w:tcPr>
            <w:tcW w:w="7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510"/>
              <w:spacing w:after="0"/>
              <w:rPr>
                <w:sz w:val="20"/>
                <w:szCs w:val="20"/>
                <w:color w:val="auto"/>
              </w:rPr>
            </w:pPr>
            <w:r>
              <w:rPr>
                <w:rFonts w:ascii="Arial" w:cs="Arial" w:eastAsia="Arial" w:hAnsi="Arial"/>
                <w:sz w:val="18"/>
                <w:szCs w:val="18"/>
                <w:color w:val="auto"/>
              </w:rPr>
              <w:t>(60)</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-46.2%</w:t>
            </w:r>
          </w:p>
        </w:tc>
      </w:tr>
      <w:tr>
        <w:trPr>
          <w:trHeight w:val="248"/>
        </w:trPr>
        <w:tc>
          <w:tcPr>
            <w:tcW w:w="3020" w:type="dxa"/>
            <w:vAlign w:val="bottom"/>
          </w:tcPr>
          <w:p>
            <w:pPr>
              <w:spacing w:after="0"/>
              <w:rPr>
                <w:sz w:val="20"/>
                <w:szCs w:val="20"/>
                <w:color w:val="auto"/>
              </w:rPr>
            </w:pPr>
            <w:r>
              <w:rPr>
                <w:rFonts w:ascii="Arial" w:cs="Arial" w:eastAsia="Arial" w:hAnsi="Arial"/>
                <w:sz w:val="18"/>
                <w:szCs w:val="18"/>
                <w:color w:val="auto"/>
              </w:rPr>
              <w:t>Foreclosed real estate expenses</w:t>
            </w:r>
          </w:p>
        </w:tc>
        <w:tc>
          <w:tcPr>
            <w:tcW w:w="1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1"/>
                <w:szCs w:val="21"/>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
        </w:trPr>
        <w:tc>
          <w:tcPr>
            <w:tcW w:w="3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4"/>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1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2,601</w:t>
            </w:r>
          </w:p>
        </w:tc>
        <w:tc>
          <w:tcPr>
            <w:tcW w:w="4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2,467</w:t>
            </w:r>
          </w:p>
        </w:tc>
        <w:tc>
          <w:tcPr>
            <w:tcW w:w="7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590"/>
              <w:spacing w:after="0"/>
              <w:rPr>
                <w:sz w:val="20"/>
                <w:szCs w:val="20"/>
                <w:color w:val="auto"/>
              </w:rPr>
            </w:pPr>
            <w:r>
              <w:rPr>
                <w:rFonts w:ascii="Arial" w:cs="Arial" w:eastAsia="Arial" w:hAnsi="Arial"/>
                <w:sz w:val="18"/>
                <w:szCs w:val="18"/>
                <w:color w:val="auto"/>
              </w:rPr>
              <w:t>134</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3020" w:type="dxa"/>
            <w:vAlign w:val="bottom"/>
          </w:tcPr>
          <w:p>
            <w:pPr>
              <w:spacing w:after="0"/>
              <w:rPr>
                <w:sz w:val="20"/>
                <w:szCs w:val="20"/>
                <w:color w:val="auto"/>
              </w:rPr>
            </w:pPr>
            <w:r>
              <w:rPr>
                <w:rFonts w:ascii="Arial" w:cs="Arial" w:eastAsia="Arial" w:hAnsi="Arial"/>
                <w:sz w:val="18"/>
                <w:szCs w:val="18"/>
                <w:color w:val="auto"/>
              </w:rPr>
              <w:t>Total noninterest expenses</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34,581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34,417</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164</w:t>
            </w: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-2523490</wp:posOffset>
            </wp:positionV>
            <wp:extent cx="355092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5092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-2336800</wp:posOffset>
            </wp:positionV>
            <wp:extent cx="596773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596773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41"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Noninterest expenses totaled $34.6 million for the year ended December 31, 2025, which was an increase of $164,000, or 0.5%, from $34.4 million for the year ended December 31, 2024. This increase was primarily attributed to higher salaries and employee benefits associated with general salary increases and a change in workforce composition in 2025, as the Company strategically added more senior, key personnel across the organization and higher occupancy costs related to the addition of the East Syracuse branch, offset by lower expenses related to the divestiture of the Company's insurance company in October 2024.</w:t>
      </w:r>
    </w:p>
    <w:p>
      <w:pPr>
        <w:spacing w:after="0" w:line="123"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Salaries and employee benefits, which constituted the largest component of noninterest expenses, increased $1.1 million to $18.9 million for the year ended December 31, 2025. The increase from the year ended December 31, 2024, was primarily attributed to higher salaries and benefits costs associated with merit increases and wage inflation of $426,000, as well as $736,000 in higher costs related to stock-based compensation. Building and occupancy costs increased $1.2 million or 29.0% from the sequential year, reflecting a full year of expenses associated with operating the East Syracuse branch acquired in July 2024. Building leases and maintenance increased $915,000 from the previous year. Professional and other services expense decreased $936,000 from the previous year, when the Company incurred transaction-related expenses associated with the East Syracuse branch acquisition and consulting services costs related to technology enhancements, both in 2024. Additionally, noninterest expense was reduced $1.3 million in 2025 as compared with 2024, primarily due to the absence of costs associated with the Company's insurance agency asset sold in October 2024.</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00"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Income tax expense (benefit) decreased $2.5 million in 2025, resulting in an income tax benefit of $2.2 million compared to income tax expense of $332,000 in 2024. The change was primarily attributable to a pre-tax loss of $4.1 million in 2025 compared to pre-tax income of $5.2 million in 2024. The decline in pre-tax earnings was largely driven by higher credit-related costs, including asset sales, loan charge-offs and increased provisions for the allowance for credit losses. In addition, the Company recognized deferred tax assets related to New York State net operating losses and temporary differences associated with the allowance for credit losses.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18</w:t>
      </w:r>
    </w:p>
    <w:p>
      <w:pPr>
        <w:sectPr>
          <w:pgSz w:w="11900" w:h="16838" w:orient="portrait"/>
          <w:cols w:equalWidth="0" w:num="1">
            <w:col w:w="9400"/>
          </w:cols>
          <w:pgMar w:left="1260" w:top="1440" w:right="1246" w:bottom="0" w:gutter="0" w:footer="0" w:header="0"/>
          <w:type w:val="continuous"/>
        </w:sectPr>
      </w:pPr>
    </w:p>
    <w:bookmarkStart w:id="81" w:name="page82"/>
    <w:bookmarkEnd w:id="81"/>
    <w:p>
      <w:pPr>
        <w:jc w:val="both"/>
        <w:ind w:right="20"/>
        <w:spacing w:after="0" w:line="310" w:lineRule="auto"/>
        <w:rPr>
          <w:sz w:val="20"/>
          <w:szCs w:val="20"/>
          <w:color w:val="auto"/>
        </w:rPr>
      </w:pPr>
      <w:r>
        <w:rPr>
          <w:rFonts w:ascii="Arial" w:cs="Arial" w:eastAsia="Arial" w:hAnsi="Arial"/>
          <w:sz w:val="20"/>
          <w:szCs w:val="20"/>
          <w:color w:val="auto"/>
        </w:rPr>
        <w:t>In 2025, the Company’s effective tax rate was a benefit of 52.8%, as compared to an expense of 8.9% in 2024. The effective tax rate for 2025 was significantly impacted by the pre-tax loss reported during the year, which magnifies the effect of permanent tax differences relative to pre-tax results. The effective tax rate also reflects the recognition of state deferred tax assets associated with net operating losses and temporary differences related to the allowance for credit losses.</w:t>
      </w:r>
    </w:p>
    <w:p>
      <w:pPr>
        <w:spacing w:after="0" w:line="135"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color w:val="auto"/>
        </w:rPr>
        <w:t>As a Maryland business corporation, the Company is required to file an annual report with, and pay franchise taxes to, the State of Maryland.</w:t>
      </w:r>
    </w:p>
    <w:p>
      <w:pPr>
        <w:spacing w:after="0" w:line="141"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See Note 17 to the consolidated financial statements for the reconciliation of the statutory tax rate to the effective tax rate.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00"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Basic and diluted earnings per share for the year ended December 31, 2025 were both ($0.31), as compared to basic and diluted earnings per share of $0.54 for the year ended December 31, 2024. The decrease in earnings per share between these two years was due to the decrease in net income available to common shareholders between these two time periods. Further information on earnings per share can be found in Note 3 to the consolidated financial statements of this Form 10-K.</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 / 18</w:t>
      </w:r>
    </w:p>
    <w:p>
      <w:pPr>
        <w:sectPr>
          <w:pgSz w:w="11900" w:h="16838" w:orient="portrait"/>
          <w:cols w:equalWidth="0" w:num="1">
            <w:col w:w="9360"/>
          </w:cols>
          <w:pgMar w:left="1260" w:top="1173" w:right="1286" w:bottom="0"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FINANCIAL CONDITION</w:t>
      </w:r>
    </w:p>
    <w:p>
      <w:pPr>
        <w:spacing w:after="0" w:line="200"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The Company's total assets were $1.43 billion at December 31, 2025, a decrease of $48.2 million, or 3.3% from December 31, 2024. The decrease was primarily the result of a decrease of $28.4 million in HTM securities, as well as a $34.5 million decrease in loans receivable, net, that reflects the reclassification of $5.9 million in loans to held-for-sale status. These decreases were partially offset by increases of $7.5 million in AFS securities and $6.6 million in bank owned life insurance. All other asset categories had a net increase of $499,000.</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Securities</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average balance of the investment portfolio, which represented 33.0% of the Company’s average interest-earning assets in 2025, is designed to generate a favorable rate of return in consideration of all risk factors associated with debt securities while assisting the Company in meeting its liquidity needs and interest rate risk strategies. All of the Company’s investments, with the exception of marketable equity securities, are classified as either AFS or HTM. The Company does not hold any trading securities. The Company invests in securities issued by United States Government agencies and sponsored enterprises (“GSE”), mortgage-backed securities, collateralized mortgage obligations, state and municipal obligations, mutual funds, equity securities, investment grade corporate debt instruments, and common stock issued by the FHLB-NY. By investing in these types of assets, the Company reduces the credit risk of its asset base through geographical and collateral-type diversification but must accept lower yields than would typically be available on loan products. Our mortgage-backed securities and collateralized mortgage obligation portfolios include privately-issued but substantially collateralized pass-through securities as well as pass-through securities guaranteed by GSEs.</w:t>
      </w:r>
    </w:p>
    <w:p>
      <w:pPr>
        <w:spacing w:after="0" w:line="126"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At December 31, 2025, AFS investment securities increased 2.8% to $276.8 million and HTM investment securities decreased 17.9% to $130.3 million as compared to December 31, 2024. There were four securities that exceeded 10% of consolidated shareholders’ equity.</w:t>
      </w:r>
    </w:p>
    <w:p>
      <w:pPr>
        <w:spacing w:after="0" w:line="137"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Our AFS investment securities are carried at fair value and our HTM investment securities are carried at amortized cost.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carrying value of the Company's investment portfolio at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Available-for-Sale</w:t>
            </w:r>
          </w:p>
        </w:tc>
        <w:tc>
          <w:tcPr>
            <w:tcW w:w="380" w:type="dxa"/>
            <w:vAlign w:val="bottom"/>
          </w:tcPr>
          <w:p>
            <w:pPr>
              <w:spacing w:after="0"/>
              <w:rPr>
                <w:sz w:val="18"/>
                <w:szCs w:val="18"/>
                <w:color w:val="auto"/>
              </w:rPr>
            </w:pPr>
          </w:p>
        </w:tc>
        <w:tc>
          <w:tcPr>
            <w:tcW w:w="21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Held-to-Maturity</w:t>
            </w:r>
          </w:p>
        </w:tc>
      </w:tr>
      <w:tr>
        <w:trPr>
          <w:trHeight w:val="29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2024</w:t>
            </w:r>
          </w:p>
        </w:tc>
      </w:tr>
      <w:tr>
        <w:trPr>
          <w:trHeight w:val="46"/>
        </w:trPr>
        <w:tc>
          <w:tcPr>
            <w:tcW w:w="4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64"/>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Investment Securities:</w:t>
            </w:r>
          </w:p>
        </w:tc>
        <w:tc>
          <w:tcPr>
            <w:tcW w:w="6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r>
      <w:tr>
        <w:trPr>
          <w:trHeight w:val="248"/>
        </w:trPr>
        <w:tc>
          <w:tcPr>
            <w:tcW w:w="4120" w:type="dxa"/>
            <w:vAlign w:val="bottom"/>
          </w:tcPr>
          <w:p>
            <w:pPr>
              <w:ind w:left="80"/>
              <w:spacing w:after="0"/>
              <w:rPr>
                <w:sz w:val="20"/>
                <w:szCs w:val="20"/>
                <w:color w:val="auto"/>
              </w:rPr>
            </w:pPr>
            <w:r>
              <w:rPr>
                <w:rFonts w:ascii="Arial" w:cs="Arial" w:eastAsia="Arial" w:hAnsi="Arial"/>
                <w:sz w:val="18"/>
                <w:szCs w:val="18"/>
                <w:color w:val="auto"/>
              </w:rPr>
              <w:t>US treasury, agencies and GSEs</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65,015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70,425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3,559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3,648</w:t>
            </w:r>
          </w:p>
        </w:tc>
      </w:tr>
      <w:tr>
        <w:trPr>
          <w:trHeight w:val="36"/>
        </w:trPr>
        <w:tc>
          <w:tcPr>
            <w:tcW w:w="4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41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State and political subdivisions</w:t>
            </w:r>
          </w:p>
        </w:tc>
        <w:tc>
          <w:tcPr>
            <w:tcW w:w="6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33,918</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33,322</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14,594</w:t>
            </w:r>
          </w:p>
        </w:tc>
        <w:tc>
          <w:tcPr>
            <w:tcW w:w="3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17,153</w:t>
            </w:r>
          </w:p>
        </w:tc>
      </w:tr>
      <w:tr>
        <w:trPr>
          <w:trHeight w:val="248"/>
        </w:trPr>
        <w:tc>
          <w:tcPr>
            <w:tcW w:w="4120" w:type="dxa"/>
            <w:vAlign w:val="bottom"/>
          </w:tcPr>
          <w:p>
            <w:pPr>
              <w:ind w:left="80"/>
              <w:spacing w:after="0"/>
              <w:rPr>
                <w:sz w:val="20"/>
                <w:szCs w:val="20"/>
                <w:color w:val="auto"/>
              </w:rPr>
            </w:pPr>
            <w:r>
              <w:rPr>
                <w:rFonts w:ascii="Arial" w:cs="Arial" w:eastAsia="Arial" w:hAnsi="Arial"/>
                <w:sz w:val="18"/>
                <w:szCs w:val="18"/>
                <w:color w:val="auto"/>
              </w:rPr>
              <w:t>Corporate</w:t>
            </w:r>
          </w:p>
        </w:tc>
        <w:tc>
          <w:tcPr>
            <w:tcW w:w="6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7,942</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10,881</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25,530</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43,628</w:t>
            </w:r>
          </w:p>
        </w:tc>
      </w:tr>
      <w:tr>
        <w:trPr>
          <w:trHeight w:val="36"/>
        </w:trPr>
        <w:tc>
          <w:tcPr>
            <w:tcW w:w="4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41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Asset backed securities</w:t>
            </w:r>
          </w:p>
        </w:tc>
        <w:tc>
          <w:tcPr>
            <w:tcW w:w="6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15,612</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18,487</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15,064</w:t>
            </w:r>
          </w:p>
        </w:tc>
        <w:tc>
          <w:tcPr>
            <w:tcW w:w="3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13,050</w:t>
            </w:r>
          </w:p>
        </w:tc>
      </w:tr>
      <w:tr>
        <w:trPr>
          <w:trHeight w:val="248"/>
        </w:trPr>
        <w:tc>
          <w:tcPr>
            <w:tcW w:w="4120" w:type="dxa"/>
            <w:vAlign w:val="bottom"/>
          </w:tcPr>
          <w:p>
            <w:pPr>
              <w:ind w:left="80"/>
              <w:spacing w:after="0"/>
              <w:rPr>
                <w:sz w:val="20"/>
                <w:szCs w:val="20"/>
                <w:color w:val="auto"/>
              </w:rPr>
            </w:pPr>
            <w:r>
              <w:rPr>
                <w:rFonts w:ascii="Arial" w:cs="Arial" w:eastAsia="Arial" w:hAnsi="Arial"/>
                <w:sz w:val="18"/>
                <w:szCs w:val="18"/>
                <w:color w:val="auto"/>
              </w:rPr>
              <w:t>Residential mortgage-backed - US agency</w:t>
            </w:r>
          </w:p>
        </w:tc>
        <w:tc>
          <w:tcPr>
            <w:tcW w:w="6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49,015</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39,171</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7,640</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9,575</w:t>
            </w:r>
          </w:p>
        </w:tc>
      </w:tr>
      <w:tr>
        <w:trPr>
          <w:trHeight w:val="36"/>
        </w:trPr>
        <w:tc>
          <w:tcPr>
            <w:tcW w:w="4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41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Collateralized mortgage obligations - US agency</w:t>
            </w:r>
          </w:p>
        </w:tc>
        <w:tc>
          <w:tcPr>
            <w:tcW w:w="6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18,383</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13,530</w:t>
            </w:r>
          </w:p>
        </w:tc>
        <w:tc>
          <w:tcPr>
            <w:tcW w:w="3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10,035</w:t>
            </w:r>
          </w:p>
        </w:tc>
        <w:tc>
          <w:tcPr>
            <w:tcW w:w="3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11,940</w:t>
            </w:r>
          </w:p>
        </w:tc>
      </w:tr>
      <w:tr>
        <w:trPr>
          <w:trHeight w:val="248"/>
        </w:trPr>
        <w:tc>
          <w:tcPr>
            <w:tcW w:w="4120" w:type="dxa"/>
            <w:vAlign w:val="bottom"/>
          </w:tcPr>
          <w:p>
            <w:pPr>
              <w:ind w:left="80"/>
              <w:spacing w:after="0"/>
              <w:rPr>
                <w:sz w:val="20"/>
                <w:szCs w:val="20"/>
                <w:color w:val="auto"/>
              </w:rPr>
            </w:pPr>
            <w:r>
              <w:rPr>
                <w:rFonts w:ascii="Arial" w:cs="Arial" w:eastAsia="Arial" w:hAnsi="Arial"/>
                <w:sz w:val="18"/>
                <w:szCs w:val="18"/>
                <w:color w:val="auto"/>
              </w:rPr>
              <w:t>Collateralized mortgage obligations - Private label</w:t>
            </w:r>
          </w:p>
        </w:tc>
        <w:tc>
          <w:tcPr>
            <w:tcW w:w="6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86,724</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83,309</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54,078</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59,946</w:t>
            </w:r>
          </w:p>
        </w:tc>
      </w:tr>
      <w:tr>
        <w:trPr>
          <w:trHeight w:val="36"/>
        </w:trPr>
        <w:tc>
          <w:tcPr>
            <w:tcW w:w="4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4"/>
        </w:trPr>
        <w:tc>
          <w:tcPr>
            <w:tcW w:w="41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Common stock - financial services industry</w:t>
            </w:r>
          </w:p>
        </w:tc>
        <w:tc>
          <w:tcPr>
            <w:tcW w:w="6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206</w:t>
            </w:r>
          </w:p>
        </w:tc>
        <w:tc>
          <w:tcPr>
            <w:tcW w:w="3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206</w:t>
            </w:r>
          </w:p>
        </w:tc>
        <w:tc>
          <w:tcPr>
            <w:tcW w:w="3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4120" w:type="dxa"/>
            <w:vAlign w:val="bottom"/>
          </w:tcPr>
          <w:p>
            <w:pPr>
              <w:ind w:left="160"/>
              <w:spacing w:after="0"/>
              <w:rPr>
                <w:sz w:val="20"/>
                <w:szCs w:val="20"/>
                <w:color w:val="auto"/>
              </w:rPr>
            </w:pPr>
            <w:r>
              <w:rPr>
                <w:rFonts w:ascii="Arial" w:cs="Arial" w:eastAsia="Arial" w:hAnsi="Arial"/>
                <w:sz w:val="18"/>
                <w:szCs w:val="18"/>
                <w:color w:val="auto"/>
              </w:rPr>
              <w:t>Total investment securities</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276,815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269,331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130,500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158,940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-1981835</wp:posOffset>
            </wp:positionV>
            <wp:extent cx="308991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8991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-1795145</wp:posOffset>
            </wp:positionV>
            <wp:extent cx="596773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596773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18</w:t>
      </w:r>
    </w:p>
    <w:p>
      <w:pPr>
        <w:sectPr>
          <w:pgSz w:w="11900" w:h="16838" w:orient="portrait"/>
          <w:cols w:equalWidth="0" w:num="1">
            <w:col w:w="9400"/>
          </w:cols>
          <w:pgMar w:left="1260" w:top="1440" w:right="1246" w:bottom="0" w:gutter="0" w:footer="0" w:header="0"/>
          <w:type w:val="continuous"/>
        </w:sectPr>
      </w:pPr>
    </w:p>
    <w:bookmarkStart w:id="83" w:name="page84"/>
    <w:bookmarkEnd w:id="83"/>
    <w:p>
      <w:pPr>
        <w:jc w:val="center"/>
        <w:ind w:right="-13"/>
        <w:spacing w:after="0"/>
        <w:rPr>
          <w:sz w:val="20"/>
          <w:szCs w:val="20"/>
          <w:color w:val="auto"/>
        </w:rPr>
      </w:pPr>
      <w:r>
        <w:rPr>
          <w:rFonts w:ascii="Arial" w:cs="Arial" w:eastAsia="Arial" w:hAnsi="Arial"/>
          <w:sz w:val="20"/>
          <w:szCs w:val="20"/>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18</w:t>
      </w:r>
    </w:p>
    <w:p>
      <w:pPr>
        <w:sectPr>
          <w:pgSz w:w="11900" w:h="16838" w:orient="portrait"/>
          <w:cols w:equalWidth="0" w:num="1">
            <w:col w:w="9026"/>
          </w:cols>
          <w:pgMar w:left="1440" w:top="1297" w:right="1440" w:bottom="0"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80"/>
        <w:spacing w:after="0" w:line="309" w:lineRule="auto"/>
        <w:rPr>
          <w:sz w:val="20"/>
          <w:szCs w:val="20"/>
          <w:color w:val="auto"/>
        </w:rPr>
      </w:pPr>
      <w:r>
        <w:rPr>
          <w:rFonts w:ascii="Arial" w:cs="Arial" w:eastAsia="Arial" w:hAnsi="Arial"/>
          <w:sz w:val="20"/>
          <w:szCs w:val="20"/>
          <w:color w:val="auto"/>
        </w:rPr>
        <w:t>The following table sets forth the scheduled maturities, amortized cost, fair values and average yields for the Company's investment securities at December 31, 2025. Average yield is calculated on the amortized cost to maturity. Adjustable rate mortgage-backed securities are included in the period in which interest rates are next scheduled to be reset.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AVAILABLE-FOR-SALE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3"/>
          </w:tcPr>
          <w:p>
            <w:pPr>
              <w:jc w:val="right"/>
              <w:ind w:right="225"/>
              <w:spacing w:after="0"/>
              <w:rPr>
                <w:sz w:val="20"/>
                <w:szCs w:val="20"/>
                <w:color w:val="auto"/>
              </w:rPr>
            </w:pPr>
            <w:r>
              <w:rPr>
                <w:rFonts w:ascii="Arial" w:cs="Arial" w:eastAsia="Arial" w:hAnsi="Arial"/>
                <w:sz w:val="15"/>
                <w:szCs w:val="15"/>
                <w:color w:val="auto"/>
                <w:w w:val="98"/>
              </w:rPr>
              <w:t>More Than One to</w:t>
            </w:r>
          </w:p>
        </w:tc>
        <w:tc>
          <w:tcPr>
            <w:tcW w:w="1520" w:type="dxa"/>
            <w:vAlign w:val="bottom"/>
            <w:gridSpan w:val="3"/>
          </w:tcPr>
          <w:p>
            <w:pPr>
              <w:jc w:val="right"/>
              <w:ind w:right="205"/>
              <w:spacing w:after="0"/>
              <w:rPr>
                <w:sz w:val="20"/>
                <w:szCs w:val="20"/>
                <w:color w:val="auto"/>
              </w:rPr>
            </w:pPr>
            <w:r>
              <w:rPr>
                <w:rFonts w:ascii="Arial" w:cs="Arial" w:eastAsia="Arial" w:hAnsi="Arial"/>
                <w:sz w:val="15"/>
                <w:szCs w:val="15"/>
                <w:color w:val="auto"/>
              </w:rPr>
              <w:t>More Than Five to</w:t>
            </w:r>
          </w:p>
        </w:tc>
        <w:tc>
          <w:tcPr>
            <w:tcW w:w="14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Arial" w:cs="Arial" w:eastAsia="Arial" w:hAnsi="Arial"/>
                <w:sz w:val="15"/>
                <w:szCs w:val="15"/>
                <w:color w:val="auto"/>
                <w:w w:val="93"/>
              </w:rPr>
              <w:t>More Than Ten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5"/>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5"/>
              <w:spacing w:after="0"/>
              <w:rPr>
                <w:sz w:val="20"/>
                <w:szCs w:val="20"/>
                <w:color w:val="auto"/>
              </w:rPr>
            </w:pPr>
            <w:r>
              <w:rPr>
                <w:rFonts w:ascii="Arial" w:cs="Arial" w:eastAsia="Arial" w:hAnsi="Arial"/>
                <w:sz w:val="15"/>
                <w:szCs w:val="15"/>
                <w:color w:val="auto"/>
                <w:w w:val="88"/>
              </w:rPr>
              <w:t>One Year or Less</w:t>
            </w:r>
          </w:p>
        </w:tc>
        <w:tc>
          <w:tcPr>
            <w:tcW w:w="220" w:type="dxa"/>
            <w:vAlign w:val="bottom"/>
          </w:tcPr>
          <w:p>
            <w:pPr>
              <w:spacing w:after="0"/>
              <w:rPr>
                <w:sz w:val="19"/>
                <w:szCs w:val="19"/>
                <w:color w:val="auto"/>
              </w:rPr>
            </w:pPr>
          </w:p>
        </w:tc>
        <w:tc>
          <w:tcPr>
            <w:tcW w:w="1300" w:type="dxa"/>
            <w:vAlign w:val="bottom"/>
            <w:gridSpan w:val="2"/>
          </w:tcPr>
          <w:p>
            <w:pPr>
              <w:jc w:val="right"/>
              <w:ind w:right="425"/>
              <w:spacing w:after="0"/>
              <w:rPr>
                <w:sz w:val="20"/>
                <w:szCs w:val="20"/>
                <w:color w:val="auto"/>
              </w:rPr>
            </w:pPr>
            <w:r>
              <w:rPr>
                <w:rFonts w:ascii="Arial" w:cs="Arial" w:eastAsia="Arial" w:hAnsi="Arial"/>
                <w:sz w:val="15"/>
                <w:szCs w:val="15"/>
                <w:color w:val="auto"/>
              </w:rPr>
              <w:t>Five Years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Ten Years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Years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4"/>
          </w:tcPr>
          <w:p>
            <w:pPr>
              <w:jc w:val="right"/>
              <w:ind w:right="225"/>
              <w:spacing w:after="0"/>
              <w:rPr>
                <w:sz w:val="20"/>
                <w:szCs w:val="20"/>
                <w:color w:val="auto"/>
              </w:rPr>
            </w:pPr>
            <w:r>
              <w:rPr>
                <w:rFonts w:ascii="Arial" w:cs="Arial" w:eastAsia="Arial" w:hAnsi="Arial"/>
                <w:sz w:val="15"/>
                <w:szCs w:val="15"/>
                <w:color w:val="auto"/>
                <w:w w:val="92"/>
              </w:rPr>
              <w:t>Total Investment Securities</w:t>
            </w:r>
          </w:p>
        </w:tc>
      </w:tr>
      <w:tr>
        <w:trPr>
          <w:trHeight w:val="249"/>
        </w:trPr>
        <w:tc>
          <w:tcPr>
            <w:tcW w:w="1240" w:type="dxa"/>
            <w:vAlign w:val="bottom"/>
          </w:tcPr>
          <w:p>
            <w:pPr>
              <w:spacing w:after="0"/>
              <w:rPr>
                <w:sz w:val="20"/>
                <w:szCs w:val="20"/>
                <w:color w:val="auto"/>
              </w:rPr>
            </w:pPr>
            <w:r>
              <w:rPr>
                <w:rFonts w:ascii="Arial" w:cs="Arial" w:eastAsia="Arial" w:hAnsi="Arial"/>
                <w:sz w:val="15"/>
                <w:szCs w:val="15"/>
                <w:i w:val="1"/>
                <w:iCs w:val="1"/>
                <w:color w:val="auto"/>
              </w:rPr>
              <w:t>(Dollars in</w:t>
            </w:r>
          </w:p>
        </w:tc>
        <w:tc>
          <w:tcPr>
            <w:tcW w:w="860" w:type="dxa"/>
            <w:vAlign w:val="bottom"/>
            <w:gridSpan w:val="2"/>
          </w:tcPr>
          <w:p>
            <w:pPr>
              <w:ind w:left="60"/>
              <w:spacing w:after="0"/>
              <w:rPr>
                <w:sz w:val="20"/>
                <w:szCs w:val="20"/>
                <w:color w:val="auto"/>
              </w:rPr>
            </w:pPr>
            <w:r>
              <w:rPr>
                <w:rFonts w:ascii="Arial" w:cs="Arial" w:eastAsia="Arial" w:hAnsi="Arial"/>
                <w:sz w:val="15"/>
                <w:szCs w:val="15"/>
                <w:color w:val="auto"/>
              </w:rPr>
              <w:t>Amortized</w:t>
            </w:r>
          </w:p>
        </w:tc>
        <w:tc>
          <w:tcPr>
            <w:tcW w:w="64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color w:val="auto"/>
              </w:rPr>
              <w:t>Amortized</w:t>
            </w:r>
          </w:p>
        </w:tc>
        <w:tc>
          <w:tcPr>
            <w:tcW w:w="66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color w:val="auto"/>
              </w:rPr>
              <w:t>Amortized</w:t>
            </w:r>
          </w:p>
        </w:tc>
        <w:tc>
          <w:tcPr>
            <w:tcW w:w="5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5"/>
                <w:szCs w:val="15"/>
                <w:color w:val="auto"/>
              </w:rPr>
              <w:t>Amortized</w:t>
            </w:r>
          </w:p>
        </w:tc>
        <w:tc>
          <w:tcPr>
            <w:tcW w:w="580" w:type="dxa"/>
            <w:vAlign w:val="bottom"/>
          </w:tcPr>
          <w:p>
            <w:pPr>
              <w:spacing w:after="0"/>
              <w:rPr>
                <w:sz w:val="21"/>
                <w:szCs w:val="21"/>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Amortized</w:t>
            </w:r>
          </w:p>
        </w:tc>
        <w:tc>
          <w:tcPr>
            <w:tcW w:w="160" w:type="dxa"/>
            <w:vAlign w:val="bottom"/>
          </w:tcPr>
          <w:p>
            <w:pPr>
              <w:spacing w:after="0"/>
              <w:rPr>
                <w:sz w:val="21"/>
                <w:szCs w:val="21"/>
                <w:color w:val="auto"/>
              </w:rPr>
            </w:pPr>
          </w:p>
        </w:tc>
        <w:tc>
          <w:tcPr>
            <w:tcW w:w="600" w:type="dxa"/>
            <w:vAlign w:val="bottom"/>
          </w:tcPr>
          <w:p>
            <w:pPr>
              <w:jc w:val="right"/>
              <w:ind w:right="65"/>
              <w:spacing w:after="0"/>
              <w:rPr>
                <w:sz w:val="20"/>
                <w:szCs w:val="20"/>
                <w:color w:val="auto"/>
              </w:rPr>
            </w:pPr>
            <w:r>
              <w:rPr>
                <w:rFonts w:ascii="Arial" w:cs="Arial" w:eastAsia="Arial" w:hAnsi="Arial"/>
                <w:sz w:val="15"/>
                <w:szCs w:val="15"/>
                <w:color w:val="auto"/>
              </w:rPr>
              <w:t>Fair</w:t>
            </w:r>
          </w:p>
        </w:tc>
        <w:tc>
          <w:tcPr>
            <w:tcW w:w="580" w:type="dxa"/>
            <w:vAlign w:val="bottom"/>
          </w:tcPr>
          <w:p>
            <w:pPr>
              <w:spacing w:after="0"/>
              <w:rPr>
                <w:sz w:val="21"/>
                <w:szCs w:val="21"/>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i w:val="1"/>
                <w:iCs w:val="1"/>
                <w:color w:val="auto"/>
              </w:rPr>
              <w:t>thousands)</w:t>
            </w:r>
          </w:p>
        </w:tc>
        <w:tc>
          <w:tcPr>
            <w:tcW w:w="160" w:type="dxa"/>
            <w:vAlign w:val="bottom"/>
          </w:tcPr>
          <w:p>
            <w:pPr>
              <w:spacing w:after="0"/>
              <w:rPr>
                <w:sz w:val="19"/>
                <w:szCs w:val="19"/>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Cost</w:t>
            </w:r>
          </w:p>
        </w:tc>
        <w:tc>
          <w:tcPr>
            <w:tcW w:w="640" w:type="dxa"/>
            <w:vAlign w:val="bottom"/>
          </w:tcPr>
          <w:p>
            <w:pPr>
              <w:jc w:val="right"/>
              <w:ind w:right="105"/>
              <w:spacing w:after="0"/>
              <w:rPr>
                <w:sz w:val="20"/>
                <w:szCs w:val="20"/>
                <w:color w:val="auto"/>
              </w:rPr>
            </w:pPr>
            <w:r>
              <w:rPr>
                <w:rFonts w:ascii="Arial" w:cs="Arial" w:eastAsia="Arial" w:hAnsi="Arial"/>
                <w:sz w:val="15"/>
                <w:szCs w:val="15"/>
                <w:color w:val="auto"/>
              </w:rPr>
              <w:t>Yield</w:t>
            </w:r>
          </w:p>
        </w:tc>
        <w:tc>
          <w:tcPr>
            <w:tcW w:w="220" w:type="dxa"/>
            <w:vAlign w:val="bottom"/>
          </w:tcPr>
          <w:p>
            <w:pPr>
              <w:spacing w:after="0"/>
              <w:rPr>
                <w:sz w:val="19"/>
                <w:szCs w:val="19"/>
                <w:color w:val="auto"/>
              </w:rPr>
            </w:pP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Cost</w:t>
            </w:r>
          </w:p>
        </w:tc>
        <w:tc>
          <w:tcPr>
            <w:tcW w:w="660" w:type="dxa"/>
            <w:vAlign w:val="bottom"/>
          </w:tcPr>
          <w:p>
            <w:pPr>
              <w:jc w:val="right"/>
              <w:ind w:right="105"/>
              <w:spacing w:after="0"/>
              <w:rPr>
                <w:sz w:val="20"/>
                <w:szCs w:val="20"/>
                <w:color w:val="auto"/>
              </w:rPr>
            </w:pPr>
            <w:r>
              <w:rPr>
                <w:rFonts w:ascii="Arial" w:cs="Arial" w:eastAsia="Arial" w:hAnsi="Arial"/>
                <w:sz w:val="15"/>
                <w:szCs w:val="15"/>
                <w:color w:val="auto"/>
              </w:rPr>
              <w:t>Yield</w:t>
            </w:r>
          </w:p>
        </w:tc>
        <w:tc>
          <w:tcPr>
            <w:tcW w:w="220" w:type="dxa"/>
            <w:vAlign w:val="bottom"/>
          </w:tcPr>
          <w:p>
            <w:pPr>
              <w:spacing w:after="0"/>
              <w:rPr>
                <w:sz w:val="19"/>
                <w:szCs w:val="19"/>
                <w:color w:val="auto"/>
              </w:rPr>
            </w:pPr>
          </w:p>
        </w:tc>
        <w:tc>
          <w:tcPr>
            <w:tcW w:w="780" w:type="dxa"/>
            <w:vAlign w:val="bottom"/>
          </w:tcPr>
          <w:p>
            <w:pPr>
              <w:jc w:val="right"/>
              <w:ind w:right="205"/>
              <w:spacing w:after="0"/>
              <w:rPr>
                <w:sz w:val="20"/>
                <w:szCs w:val="20"/>
                <w:color w:val="auto"/>
              </w:rPr>
            </w:pPr>
            <w:r>
              <w:rPr>
                <w:rFonts w:ascii="Arial" w:cs="Arial" w:eastAsia="Arial" w:hAnsi="Arial"/>
                <w:sz w:val="15"/>
                <w:szCs w:val="15"/>
                <w:color w:val="auto"/>
              </w:rPr>
              <w:t>Cost</w:t>
            </w:r>
          </w:p>
        </w:tc>
        <w:tc>
          <w:tcPr>
            <w:tcW w:w="520" w:type="dxa"/>
            <w:vAlign w:val="bottom"/>
          </w:tcPr>
          <w:p>
            <w:pPr>
              <w:jc w:val="right"/>
              <w:ind w:right="105"/>
              <w:spacing w:after="0"/>
              <w:rPr>
                <w:sz w:val="20"/>
                <w:szCs w:val="20"/>
                <w:color w:val="auto"/>
              </w:rPr>
            </w:pPr>
            <w:r>
              <w:rPr>
                <w:rFonts w:ascii="Arial" w:cs="Arial" w:eastAsia="Arial" w:hAnsi="Arial"/>
                <w:sz w:val="15"/>
                <w:szCs w:val="15"/>
                <w:color w:val="auto"/>
                <w:w w:val="95"/>
              </w:rPr>
              <w:t>Yield</w:t>
            </w:r>
          </w:p>
        </w:tc>
        <w:tc>
          <w:tcPr>
            <w:tcW w:w="140" w:type="dxa"/>
            <w:vAlign w:val="bottom"/>
          </w:tcPr>
          <w:p>
            <w:pPr>
              <w:spacing w:after="0"/>
              <w:rPr>
                <w:sz w:val="19"/>
                <w:szCs w:val="19"/>
                <w:color w:val="auto"/>
              </w:rPr>
            </w:pP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Cost</w:t>
            </w:r>
          </w:p>
        </w:tc>
        <w:tc>
          <w:tcPr>
            <w:tcW w:w="580" w:type="dxa"/>
            <w:vAlign w:val="bottom"/>
          </w:tcPr>
          <w:p>
            <w:pPr>
              <w:jc w:val="right"/>
              <w:ind w:right="125"/>
              <w:spacing w:after="0"/>
              <w:rPr>
                <w:sz w:val="20"/>
                <w:szCs w:val="20"/>
                <w:color w:val="auto"/>
              </w:rPr>
            </w:pPr>
            <w:r>
              <w:rPr>
                <w:rFonts w:ascii="Arial" w:cs="Arial" w:eastAsia="Arial" w:hAnsi="Arial"/>
                <w:sz w:val="15"/>
                <w:szCs w:val="15"/>
                <w:color w:val="auto"/>
              </w:rPr>
              <w:t>Yield</w:t>
            </w:r>
          </w:p>
        </w:tc>
        <w:tc>
          <w:tcPr>
            <w:tcW w:w="14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Cost</w:t>
            </w:r>
          </w:p>
        </w:tc>
        <w:tc>
          <w:tcPr>
            <w:tcW w:w="160" w:type="dxa"/>
            <w:vAlign w:val="bottom"/>
          </w:tcPr>
          <w:p>
            <w:pPr>
              <w:spacing w:after="0"/>
              <w:rPr>
                <w:sz w:val="19"/>
                <w:szCs w:val="19"/>
                <w:color w:val="auto"/>
              </w:rPr>
            </w:pP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Value</w:t>
            </w:r>
          </w:p>
        </w:tc>
        <w:tc>
          <w:tcPr>
            <w:tcW w:w="580" w:type="dxa"/>
            <w:vAlign w:val="bottom"/>
          </w:tcPr>
          <w:p>
            <w:pPr>
              <w:jc w:val="right"/>
              <w:ind w:right="85"/>
              <w:spacing w:after="0"/>
              <w:rPr>
                <w:sz w:val="20"/>
                <w:szCs w:val="20"/>
                <w:color w:val="auto"/>
              </w:rPr>
            </w:pPr>
            <w:r>
              <w:rPr>
                <w:rFonts w:ascii="Arial" w:cs="Arial" w:eastAsia="Arial" w:hAnsi="Arial"/>
                <w:sz w:val="15"/>
                <w:szCs w:val="15"/>
                <w:color w:val="auto"/>
              </w:rPr>
              <w:t>Yield</w:t>
            </w:r>
          </w:p>
        </w:tc>
      </w:tr>
      <w:tr>
        <w:trPr>
          <w:trHeight w:val="40"/>
        </w:trPr>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12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Debt investment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35"/>
        </w:trPr>
        <w:tc>
          <w:tcPr>
            <w:tcW w:w="1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securities:</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5"/>
                <w:szCs w:val="15"/>
                <w:color w:val="auto"/>
              </w:rPr>
              <w:t>US Treasury,</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color w:val="auto"/>
                <w:w w:val="91"/>
              </w:rPr>
              <w:t>agencies and GSEs</w:t>
            </w:r>
          </w:p>
        </w:tc>
        <w:tc>
          <w:tcPr>
            <w:tcW w:w="160" w:type="dxa"/>
            <w:vAlign w:val="bottom"/>
          </w:tcPr>
          <w:p>
            <w:pPr>
              <w:ind w:left="60"/>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32,509</w:t>
            </w:r>
          </w:p>
        </w:tc>
        <w:tc>
          <w:tcPr>
            <w:tcW w:w="660" w:type="dxa"/>
            <w:vAlign w:val="bottom"/>
          </w:tcPr>
          <w:p>
            <w:pPr>
              <w:jc w:val="right"/>
              <w:spacing w:after="0"/>
              <w:rPr>
                <w:sz w:val="20"/>
                <w:szCs w:val="20"/>
                <w:color w:val="auto"/>
              </w:rPr>
            </w:pPr>
            <w:r>
              <w:rPr>
                <w:rFonts w:ascii="Arial" w:cs="Arial" w:eastAsia="Arial" w:hAnsi="Arial"/>
                <w:sz w:val="15"/>
                <w:szCs w:val="15"/>
                <w:color w:val="auto"/>
              </w:rPr>
              <w:t>2.13%</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05"/>
              <w:spacing w:after="0"/>
              <w:rPr>
                <w:sz w:val="20"/>
                <w:szCs w:val="20"/>
                <w:color w:val="auto"/>
              </w:rPr>
            </w:pPr>
            <w:r>
              <w:rPr>
                <w:rFonts w:ascii="Arial" w:cs="Arial" w:eastAsia="Arial" w:hAnsi="Arial"/>
                <w:sz w:val="15"/>
                <w:szCs w:val="15"/>
                <w:color w:val="auto"/>
              </w:rPr>
              <w:t>391</w:t>
            </w:r>
          </w:p>
        </w:tc>
        <w:tc>
          <w:tcPr>
            <w:tcW w:w="520" w:type="dxa"/>
            <w:vAlign w:val="bottom"/>
          </w:tcPr>
          <w:p>
            <w:pPr>
              <w:jc w:val="right"/>
              <w:spacing w:after="0"/>
              <w:rPr>
                <w:sz w:val="20"/>
                <w:szCs w:val="20"/>
                <w:color w:val="auto"/>
              </w:rPr>
            </w:pPr>
            <w:r>
              <w:rPr>
                <w:rFonts w:ascii="Arial" w:cs="Arial" w:eastAsia="Arial" w:hAnsi="Arial"/>
                <w:sz w:val="15"/>
                <w:szCs w:val="15"/>
                <w:color w:val="auto"/>
              </w:rPr>
              <w:t>6.41%</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34,167</w:t>
            </w:r>
          </w:p>
        </w:tc>
        <w:tc>
          <w:tcPr>
            <w:tcW w:w="580" w:type="dxa"/>
            <w:vAlign w:val="bottom"/>
          </w:tcPr>
          <w:p>
            <w:pPr>
              <w:jc w:val="right"/>
              <w:spacing w:after="0"/>
              <w:rPr>
                <w:sz w:val="20"/>
                <w:szCs w:val="20"/>
                <w:color w:val="auto"/>
              </w:rPr>
            </w:pPr>
            <w:r>
              <w:rPr>
                <w:rFonts w:ascii="Arial" w:cs="Arial" w:eastAsia="Arial" w:hAnsi="Arial"/>
                <w:sz w:val="15"/>
                <w:szCs w:val="15"/>
                <w:color w:val="auto"/>
              </w:rPr>
              <w:t>5.40%</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67,067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65,015</w:t>
            </w:r>
          </w:p>
        </w:tc>
        <w:tc>
          <w:tcPr>
            <w:tcW w:w="580" w:type="dxa"/>
            <w:vAlign w:val="bottom"/>
          </w:tcPr>
          <w:p>
            <w:pPr>
              <w:jc w:val="right"/>
              <w:spacing w:after="0"/>
              <w:rPr>
                <w:sz w:val="20"/>
                <w:szCs w:val="20"/>
                <w:color w:val="auto"/>
              </w:rPr>
            </w:pPr>
            <w:r>
              <w:rPr>
                <w:rFonts w:ascii="Arial" w:cs="Arial" w:eastAsia="Arial" w:hAnsi="Arial"/>
                <w:sz w:val="15"/>
                <w:szCs w:val="15"/>
                <w:color w:val="auto"/>
              </w:rPr>
              <w:t>3.82%</w:t>
            </w:r>
          </w:p>
        </w:tc>
      </w:tr>
      <w:tr>
        <w:trPr>
          <w:trHeight w:val="30"/>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0"/>
        </w:trPr>
        <w:tc>
          <w:tcPr>
            <w:tcW w:w="1240" w:type="dxa"/>
            <w:vAlign w:val="bottom"/>
            <w:shd w:val="clear" w:color="auto" w:fill="CFF0FC"/>
          </w:tcPr>
          <w:p>
            <w:pPr>
              <w:spacing w:after="0"/>
              <w:rPr>
                <w:sz w:val="20"/>
                <w:szCs w:val="20"/>
                <w:color w:val="auto"/>
              </w:rPr>
            </w:pPr>
            <w:r>
              <w:rPr>
                <w:rFonts w:ascii="Arial" w:cs="Arial" w:eastAsia="Arial" w:hAnsi="Arial"/>
                <w:sz w:val="15"/>
                <w:szCs w:val="15"/>
                <w:color w:val="auto"/>
              </w:rPr>
              <w:t>State and political</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35"/>
        </w:trPr>
        <w:tc>
          <w:tcPr>
            <w:tcW w:w="1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subdivisions</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140</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3.30%</w:t>
            </w: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528</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3.40%</w:t>
            </w: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ind w:right="205"/>
              <w:spacing w:after="0"/>
              <w:rPr>
                <w:sz w:val="20"/>
                <w:szCs w:val="20"/>
                <w:color w:val="auto"/>
              </w:rPr>
            </w:pPr>
            <w:r>
              <w:rPr>
                <w:rFonts w:ascii="Arial" w:cs="Arial" w:eastAsia="Arial" w:hAnsi="Arial"/>
                <w:sz w:val="15"/>
                <w:szCs w:val="15"/>
                <w:color w:val="auto"/>
              </w:rPr>
              <w:t>7,542</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1.97%</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rPr>
              <w:t>27,370</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2.58%</w:t>
            </w:r>
          </w:p>
        </w:tc>
        <w:tc>
          <w:tcPr>
            <w:tcW w:w="1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35,580</w:t>
            </w:r>
          </w:p>
        </w:tc>
        <w:tc>
          <w:tcPr>
            <w:tcW w:w="1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33,918</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2.47%</w:t>
            </w:r>
          </w:p>
        </w:tc>
      </w:tr>
      <w:tr>
        <w:trPr>
          <w:trHeight w:val="210"/>
        </w:trPr>
        <w:tc>
          <w:tcPr>
            <w:tcW w:w="1240" w:type="dxa"/>
            <w:vAlign w:val="bottom"/>
          </w:tcPr>
          <w:p>
            <w:pPr>
              <w:spacing w:after="0"/>
              <w:rPr>
                <w:sz w:val="20"/>
                <w:szCs w:val="20"/>
                <w:color w:val="auto"/>
              </w:rPr>
            </w:pPr>
            <w:r>
              <w:rPr>
                <w:rFonts w:ascii="Arial" w:cs="Arial" w:eastAsia="Arial" w:hAnsi="Arial"/>
                <w:sz w:val="15"/>
                <w:szCs w:val="15"/>
                <w:color w:val="auto"/>
              </w:rPr>
              <w:t>Corporate</w:t>
            </w:r>
          </w:p>
        </w:tc>
        <w:tc>
          <w:tcPr>
            <w:tcW w:w="160" w:type="dxa"/>
            <w:vAlign w:val="bottom"/>
          </w:tcPr>
          <w:p>
            <w:pPr>
              <w:spacing w:after="0"/>
              <w:rPr>
                <w:sz w:val="18"/>
                <w:szCs w:val="18"/>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4,066</w:t>
            </w:r>
          </w:p>
        </w:tc>
        <w:tc>
          <w:tcPr>
            <w:tcW w:w="640" w:type="dxa"/>
            <w:vAlign w:val="bottom"/>
          </w:tcPr>
          <w:p>
            <w:pPr>
              <w:jc w:val="right"/>
              <w:spacing w:after="0"/>
              <w:rPr>
                <w:sz w:val="20"/>
                <w:szCs w:val="20"/>
                <w:color w:val="auto"/>
              </w:rPr>
            </w:pPr>
            <w:r>
              <w:rPr>
                <w:rFonts w:ascii="Arial" w:cs="Arial" w:eastAsia="Arial" w:hAnsi="Arial"/>
                <w:sz w:val="15"/>
                <w:szCs w:val="15"/>
                <w:color w:val="auto"/>
              </w:rPr>
              <w:t>5.62%</w:t>
            </w:r>
          </w:p>
        </w:tc>
        <w:tc>
          <w:tcPr>
            <w:tcW w:w="220" w:type="dxa"/>
            <w:vAlign w:val="bottom"/>
          </w:tcPr>
          <w:p>
            <w:pPr>
              <w:spacing w:after="0"/>
              <w:rPr>
                <w:sz w:val="18"/>
                <w:szCs w:val="18"/>
                <w:color w:val="auto"/>
              </w:rPr>
            </w:pP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2,756</w:t>
            </w:r>
          </w:p>
        </w:tc>
        <w:tc>
          <w:tcPr>
            <w:tcW w:w="660" w:type="dxa"/>
            <w:vAlign w:val="bottom"/>
          </w:tcPr>
          <w:p>
            <w:pPr>
              <w:jc w:val="right"/>
              <w:spacing w:after="0"/>
              <w:rPr>
                <w:sz w:val="20"/>
                <w:szCs w:val="20"/>
                <w:color w:val="auto"/>
              </w:rPr>
            </w:pPr>
            <w:r>
              <w:rPr>
                <w:rFonts w:ascii="Arial" w:cs="Arial" w:eastAsia="Arial" w:hAnsi="Arial"/>
                <w:sz w:val="15"/>
                <w:szCs w:val="15"/>
                <w:color w:val="auto"/>
              </w:rPr>
              <w:t>4.19%</w:t>
            </w:r>
          </w:p>
        </w:tc>
        <w:tc>
          <w:tcPr>
            <w:tcW w:w="220" w:type="dxa"/>
            <w:vAlign w:val="bottom"/>
          </w:tcPr>
          <w:p>
            <w:pPr>
              <w:spacing w:after="0"/>
              <w:rPr>
                <w:sz w:val="18"/>
                <w:szCs w:val="18"/>
                <w:color w:val="auto"/>
              </w:rPr>
            </w:pPr>
          </w:p>
        </w:tc>
        <w:tc>
          <w:tcPr>
            <w:tcW w:w="78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0.00%</w:t>
            </w:r>
          </w:p>
        </w:tc>
        <w:tc>
          <w:tcPr>
            <w:tcW w:w="140" w:type="dxa"/>
            <w:vAlign w:val="bottom"/>
          </w:tcPr>
          <w:p>
            <w:pPr>
              <w:spacing w:after="0"/>
              <w:rPr>
                <w:sz w:val="18"/>
                <w:szCs w:val="18"/>
                <w:color w:val="auto"/>
              </w:rPr>
            </w:pP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915</w:t>
            </w:r>
          </w:p>
        </w:tc>
        <w:tc>
          <w:tcPr>
            <w:tcW w:w="580" w:type="dxa"/>
            <w:vAlign w:val="bottom"/>
          </w:tcPr>
          <w:p>
            <w:pPr>
              <w:jc w:val="right"/>
              <w:spacing w:after="0"/>
              <w:rPr>
                <w:sz w:val="20"/>
                <w:szCs w:val="20"/>
                <w:color w:val="auto"/>
              </w:rPr>
            </w:pPr>
            <w:r>
              <w:rPr>
                <w:rFonts w:ascii="Arial" w:cs="Arial" w:eastAsia="Arial" w:hAnsi="Arial"/>
                <w:sz w:val="15"/>
                <w:szCs w:val="15"/>
                <w:color w:val="auto"/>
              </w:rPr>
              <w:t>5.22%</w:t>
            </w:r>
          </w:p>
        </w:tc>
        <w:tc>
          <w:tcPr>
            <w:tcW w:w="140" w:type="dxa"/>
            <w:vAlign w:val="bottom"/>
          </w:tcPr>
          <w:p>
            <w:pPr>
              <w:spacing w:after="0"/>
              <w:rPr>
                <w:sz w:val="18"/>
                <w:szCs w:val="18"/>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7,737</w:t>
            </w:r>
          </w:p>
        </w:tc>
        <w:tc>
          <w:tcPr>
            <w:tcW w:w="160" w:type="dxa"/>
            <w:vAlign w:val="bottom"/>
          </w:tcPr>
          <w:p>
            <w:pPr>
              <w:spacing w:after="0"/>
              <w:rPr>
                <w:sz w:val="18"/>
                <w:szCs w:val="18"/>
                <w:color w:val="auto"/>
              </w:rPr>
            </w:pP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7,942</w:t>
            </w:r>
          </w:p>
        </w:tc>
        <w:tc>
          <w:tcPr>
            <w:tcW w:w="580" w:type="dxa"/>
            <w:vAlign w:val="bottom"/>
          </w:tcPr>
          <w:p>
            <w:pPr>
              <w:jc w:val="right"/>
              <w:spacing w:after="0"/>
              <w:rPr>
                <w:sz w:val="20"/>
                <w:szCs w:val="20"/>
                <w:color w:val="auto"/>
              </w:rPr>
            </w:pPr>
            <w:r>
              <w:rPr>
                <w:rFonts w:ascii="Arial" w:cs="Arial" w:eastAsia="Arial" w:hAnsi="Arial"/>
                <w:sz w:val="15"/>
                <w:szCs w:val="15"/>
                <w:color w:val="auto"/>
              </w:rPr>
              <w:t>5.06%</w:t>
            </w:r>
          </w:p>
        </w:tc>
      </w:tr>
      <w:tr>
        <w:trPr>
          <w:trHeight w:val="30"/>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0"/>
        </w:trPr>
        <w:tc>
          <w:tcPr>
            <w:tcW w:w="1240" w:type="dxa"/>
            <w:vAlign w:val="bottom"/>
            <w:shd w:val="clear" w:color="auto" w:fill="CFF0FC"/>
          </w:tcPr>
          <w:p>
            <w:pPr>
              <w:spacing w:after="0"/>
              <w:rPr>
                <w:sz w:val="20"/>
                <w:szCs w:val="20"/>
                <w:color w:val="auto"/>
              </w:rPr>
            </w:pPr>
            <w:r>
              <w:rPr>
                <w:rFonts w:ascii="Arial" w:cs="Arial" w:eastAsia="Arial" w:hAnsi="Arial"/>
                <w:sz w:val="15"/>
                <w:szCs w:val="15"/>
                <w:color w:val="auto"/>
              </w:rPr>
              <w:t>Asset backed</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45"/>
        </w:trPr>
        <w:tc>
          <w:tcPr>
            <w:tcW w:w="1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securities</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205"/>
              <w:spacing w:after="0"/>
              <w:rPr>
                <w:sz w:val="20"/>
                <w:szCs w:val="20"/>
                <w:color w:val="auto"/>
              </w:rPr>
            </w:pPr>
            <w:r>
              <w:rPr>
                <w:rFonts w:ascii="Arial" w:cs="Arial" w:eastAsia="Arial" w:hAnsi="Arial"/>
                <w:sz w:val="15"/>
                <w:szCs w:val="15"/>
                <w:color w:val="auto"/>
              </w:rPr>
              <w:t>3,005</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5.74%</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rPr>
              <w:t>12,700</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5.16%</w:t>
            </w:r>
          </w:p>
        </w:tc>
        <w:tc>
          <w:tcPr>
            <w:tcW w:w="1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15,705</w:t>
            </w: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15,612</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5.27%</w:t>
            </w:r>
          </w:p>
        </w:tc>
      </w:tr>
      <w:tr>
        <w:trPr>
          <w:trHeight w:val="210"/>
        </w:trPr>
        <w:tc>
          <w:tcPr>
            <w:tcW w:w="1240" w:type="dxa"/>
            <w:vAlign w:val="bottom"/>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Pr>
          <w:p>
            <w:pPr>
              <w:ind w:left="60"/>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4,206</w:t>
            </w:r>
          </w:p>
        </w:tc>
        <w:tc>
          <w:tcPr>
            <w:tcW w:w="640" w:type="dxa"/>
            <w:vAlign w:val="bottom"/>
          </w:tcPr>
          <w:p>
            <w:pPr>
              <w:jc w:val="right"/>
              <w:spacing w:after="0"/>
              <w:rPr>
                <w:sz w:val="20"/>
                <w:szCs w:val="20"/>
                <w:color w:val="auto"/>
              </w:rPr>
            </w:pPr>
            <w:r>
              <w:rPr>
                <w:rFonts w:ascii="Arial" w:cs="Arial" w:eastAsia="Arial" w:hAnsi="Arial"/>
                <w:sz w:val="15"/>
                <w:szCs w:val="15"/>
                <w:color w:val="auto"/>
              </w:rPr>
              <w:t>5.54%</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35,793</w:t>
            </w:r>
          </w:p>
        </w:tc>
        <w:tc>
          <w:tcPr>
            <w:tcW w:w="660" w:type="dxa"/>
            <w:vAlign w:val="bottom"/>
          </w:tcPr>
          <w:p>
            <w:pPr>
              <w:jc w:val="right"/>
              <w:spacing w:after="0"/>
              <w:rPr>
                <w:sz w:val="20"/>
                <w:szCs w:val="20"/>
                <w:color w:val="auto"/>
              </w:rPr>
            </w:pPr>
            <w:r>
              <w:rPr>
                <w:rFonts w:ascii="Arial" w:cs="Arial" w:eastAsia="Arial" w:hAnsi="Arial"/>
                <w:sz w:val="15"/>
                <w:szCs w:val="15"/>
                <w:color w:val="auto"/>
              </w:rPr>
              <w:t>2.31%</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05"/>
              <w:spacing w:after="0"/>
              <w:rPr>
                <w:sz w:val="20"/>
                <w:szCs w:val="20"/>
                <w:color w:val="auto"/>
              </w:rPr>
            </w:pPr>
            <w:r>
              <w:rPr>
                <w:rFonts w:ascii="Arial" w:cs="Arial" w:eastAsia="Arial" w:hAnsi="Arial"/>
                <w:sz w:val="15"/>
                <w:szCs w:val="15"/>
                <w:color w:val="auto"/>
              </w:rPr>
              <w:t>10,938</w:t>
            </w:r>
          </w:p>
        </w:tc>
        <w:tc>
          <w:tcPr>
            <w:tcW w:w="520" w:type="dxa"/>
            <w:vAlign w:val="bottom"/>
          </w:tcPr>
          <w:p>
            <w:pPr>
              <w:jc w:val="right"/>
              <w:spacing w:after="0"/>
              <w:rPr>
                <w:sz w:val="20"/>
                <w:szCs w:val="20"/>
                <w:color w:val="auto"/>
              </w:rPr>
            </w:pPr>
            <w:r>
              <w:rPr>
                <w:rFonts w:ascii="Arial" w:cs="Arial" w:eastAsia="Arial" w:hAnsi="Arial"/>
                <w:sz w:val="15"/>
                <w:szCs w:val="15"/>
                <w:color w:val="auto"/>
              </w:rPr>
              <w:t>3.16%</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75,152</w:t>
            </w:r>
          </w:p>
        </w:tc>
        <w:tc>
          <w:tcPr>
            <w:tcW w:w="580" w:type="dxa"/>
            <w:vAlign w:val="bottom"/>
          </w:tcPr>
          <w:p>
            <w:pPr>
              <w:jc w:val="right"/>
              <w:spacing w:after="0"/>
              <w:rPr>
                <w:sz w:val="20"/>
                <w:szCs w:val="20"/>
                <w:color w:val="auto"/>
              </w:rPr>
            </w:pPr>
            <w:r>
              <w:rPr>
                <w:rFonts w:ascii="Arial" w:cs="Arial" w:eastAsia="Arial" w:hAnsi="Arial"/>
                <w:sz w:val="15"/>
                <w:szCs w:val="15"/>
                <w:color w:val="auto"/>
              </w:rPr>
              <w:t>4.33%</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126,089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5"/>
              <w:spacing w:after="0"/>
              <w:rPr>
                <w:sz w:val="20"/>
                <w:szCs w:val="20"/>
                <w:color w:val="auto"/>
              </w:rPr>
            </w:pPr>
            <w:r>
              <w:rPr>
                <w:rFonts w:ascii="Arial" w:cs="Arial" w:eastAsia="Arial" w:hAnsi="Arial"/>
                <w:sz w:val="15"/>
                <w:szCs w:val="15"/>
                <w:color w:val="auto"/>
                <w:w w:val="88"/>
              </w:rPr>
              <w:t>122,487</w:t>
            </w:r>
          </w:p>
        </w:tc>
        <w:tc>
          <w:tcPr>
            <w:tcW w:w="580" w:type="dxa"/>
            <w:vAlign w:val="bottom"/>
          </w:tcPr>
          <w:p>
            <w:pPr>
              <w:jc w:val="right"/>
              <w:spacing w:after="0"/>
              <w:rPr>
                <w:sz w:val="20"/>
                <w:szCs w:val="20"/>
                <w:color w:val="auto"/>
              </w:rPr>
            </w:pPr>
            <w:r>
              <w:rPr>
                <w:rFonts w:ascii="Arial" w:cs="Arial" w:eastAsia="Arial" w:hAnsi="Arial"/>
                <w:sz w:val="15"/>
                <w:szCs w:val="15"/>
                <w:color w:val="auto"/>
              </w:rPr>
              <w:t>3.71%</w:t>
            </w:r>
          </w:p>
        </w:tc>
      </w:tr>
      <w:tr>
        <w:trPr>
          <w:trHeight w:val="40"/>
        </w:trPr>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12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w w:val="98"/>
              </w:rPr>
              <w:t>Mortgage-backed</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35"/>
        </w:trPr>
        <w:tc>
          <w:tcPr>
            <w:tcW w:w="1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securities:</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5"/>
                <w:szCs w:val="15"/>
                <w:color w:val="auto"/>
              </w:rPr>
              <w:t>Residential</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color w:val="auto"/>
                <w:w w:val="96"/>
              </w:rPr>
              <w:t>mortgage-backed -</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color w:val="auto"/>
              </w:rPr>
              <w:t>US agency</w:t>
            </w:r>
          </w:p>
        </w:tc>
        <w:tc>
          <w:tcPr>
            <w:tcW w:w="160" w:type="dxa"/>
            <w:vAlign w:val="bottom"/>
          </w:tcPr>
          <w:p>
            <w:pPr>
              <w:ind w:left="60"/>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2,234</w:t>
            </w:r>
          </w:p>
        </w:tc>
        <w:tc>
          <w:tcPr>
            <w:tcW w:w="640" w:type="dxa"/>
            <w:vAlign w:val="bottom"/>
          </w:tcPr>
          <w:p>
            <w:pPr>
              <w:jc w:val="right"/>
              <w:spacing w:after="0"/>
              <w:rPr>
                <w:sz w:val="20"/>
                <w:szCs w:val="20"/>
                <w:color w:val="auto"/>
              </w:rPr>
            </w:pPr>
            <w:r>
              <w:rPr>
                <w:rFonts w:ascii="Arial" w:cs="Arial" w:eastAsia="Arial" w:hAnsi="Arial"/>
                <w:sz w:val="15"/>
                <w:szCs w:val="15"/>
                <w:color w:val="auto"/>
              </w:rPr>
              <w:t>0.85%</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05"/>
              <w:spacing w:after="0"/>
              <w:rPr>
                <w:sz w:val="20"/>
                <w:szCs w:val="20"/>
                <w:color w:val="auto"/>
              </w:rPr>
            </w:pPr>
            <w:r>
              <w:rPr>
                <w:rFonts w:ascii="Arial" w:cs="Arial" w:eastAsia="Arial" w:hAnsi="Arial"/>
                <w:sz w:val="15"/>
                <w:szCs w:val="15"/>
                <w:color w:val="auto"/>
              </w:rPr>
              <w:t>1,898</w:t>
            </w:r>
          </w:p>
        </w:tc>
        <w:tc>
          <w:tcPr>
            <w:tcW w:w="520" w:type="dxa"/>
            <w:vAlign w:val="bottom"/>
          </w:tcPr>
          <w:p>
            <w:pPr>
              <w:jc w:val="right"/>
              <w:spacing w:after="0"/>
              <w:rPr>
                <w:sz w:val="20"/>
                <w:szCs w:val="20"/>
                <w:color w:val="auto"/>
              </w:rPr>
            </w:pPr>
            <w:r>
              <w:rPr>
                <w:rFonts w:ascii="Arial" w:cs="Arial" w:eastAsia="Arial" w:hAnsi="Arial"/>
                <w:sz w:val="15"/>
                <w:szCs w:val="15"/>
                <w:color w:val="auto"/>
              </w:rPr>
              <w:t>2.20%</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45,500</w:t>
            </w:r>
          </w:p>
        </w:tc>
        <w:tc>
          <w:tcPr>
            <w:tcW w:w="580" w:type="dxa"/>
            <w:vAlign w:val="bottom"/>
          </w:tcPr>
          <w:p>
            <w:pPr>
              <w:jc w:val="right"/>
              <w:spacing w:after="0"/>
              <w:rPr>
                <w:sz w:val="20"/>
                <w:szCs w:val="20"/>
                <w:color w:val="auto"/>
              </w:rPr>
            </w:pPr>
            <w:r>
              <w:rPr>
                <w:rFonts w:ascii="Arial" w:cs="Arial" w:eastAsia="Arial" w:hAnsi="Arial"/>
                <w:sz w:val="15"/>
                <w:szCs w:val="15"/>
                <w:color w:val="auto"/>
              </w:rPr>
              <w:t>4.90%</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49,632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49,015</w:t>
            </w:r>
          </w:p>
        </w:tc>
        <w:tc>
          <w:tcPr>
            <w:tcW w:w="580" w:type="dxa"/>
            <w:vAlign w:val="bottom"/>
          </w:tcPr>
          <w:p>
            <w:pPr>
              <w:jc w:val="right"/>
              <w:spacing w:after="0"/>
              <w:rPr>
                <w:sz w:val="20"/>
                <w:szCs w:val="20"/>
                <w:color w:val="auto"/>
              </w:rPr>
            </w:pPr>
            <w:r>
              <w:rPr>
                <w:rFonts w:ascii="Arial" w:cs="Arial" w:eastAsia="Arial" w:hAnsi="Arial"/>
                <w:sz w:val="15"/>
                <w:szCs w:val="15"/>
                <w:color w:val="auto"/>
              </w:rPr>
              <w:t>4.61%</w:t>
            </w:r>
          </w:p>
        </w:tc>
      </w:tr>
      <w:tr>
        <w:trPr>
          <w:trHeight w:val="30"/>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0"/>
        </w:trPr>
        <w:tc>
          <w:tcPr>
            <w:tcW w:w="1240" w:type="dxa"/>
            <w:vAlign w:val="bottom"/>
            <w:shd w:val="clear" w:color="auto" w:fill="CFF0FC"/>
          </w:tcPr>
          <w:p>
            <w:pPr>
              <w:spacing w:after="0"/>
              <w:rPr>
                <w:sz w:val="20"/>
                <w:szCs w:val="20"/>
                <w:color w:val="auto"/>
              </w:rPr>
            </w:pPr>
            <w:r>
              <w:rPr>
                <w:rFonts w:ascii="Arial" w:cs="Arial" w:eastAsia="Arial" w:hAnsi="Arial"/>
                <w:sz w:val="15"/>
                <w:szCs w:val="15"/>
                <w:color w:val="auto"/>
              </w:rPr>
              <w:t>Collateralized</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25"/>
        </w:trPr>
        <w:tc>
          <w:tcPr>
            <w:tcW w:w="1240" w:type="dxa"/>
            <w:vAlign w:val="bottom"/>
            <w:shd w:val="clear" w:color="auto" w:fill="CFF0FC"/>
          </w:tcPr>
          <w:p>
            <w:pPr>
              <w:spacing w:after="0"/>
              <w:rPr>
                <w:sz w:val="20"/>
                <w:szCs w:val="20"/>
                <w:color w:val="auto"/>
              </w:rPr>
            </w:pPr>
            <w:r>
              <w:rPr>
                <w:rFonts w:ascii="Arial" w:cs="Arial" w:eastAsia="Arial" w:hAnsi="Arial"/>
                <w:sz w:val="15"/>
                <w:szCs w:val="15"/>
                <w:color w:val="auto"/>
              </w:rPr>
              <w:t>mortgage</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25"/>
        </w:trPr>
        <w:tc>
          <w:tcPr>
            <w:tcW w:w="1240" w:type="dxa"/>
            <w:vAlign w:val="bottom"/>
            <w:shd w:val="clear" w:color="auto" w:fill="CFF0FC"/>
          </w:tcPr>
          <w:p>
            <w:pPr>
              <w:spacing w:after="0"/>
              <w:rPr>
                <w:sz w:val="20"/>
                <w:szCs w:val="20"/>
                <w:color w:val="auto"/>
              </w:rPr>
            </w:pPr>
            <w:r>
              <w:rPr>
                <w:rFonts w:ascii="Arial" w:cs="Arial" w:eastAsia="Arial" w:hAnsi="Arial"/>
                <w:sz w:val="15"/>
                <w:szCs w:val="15"/>
                <w:color w:val="auto"/>
              </w:rPr>
              <w:t>obligations - US</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35"/>
        </w:trPr>
        <w:tc>
          <w:tcPr>
            <w:tcW w:w="1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agency</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1,345</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2.32%</w:t>
            </w: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ind w:right="205"/>
              <w:spacing w:after="0"/>
              <w:rPr>
                <w:sz w:val="20"/>
                <w:szCs w:val="20"/>
                <w:color w:val="auto"/>
              </w:rPr>
            </w:pPr>
            <w:r>
              <w:rPr>
                <w:rFonts w:ascii="Arial" w:cs="Arial" w:eastAsia="Arial" w:hAnsi="Arial"/>
                <w:sz w:val="15"/>
                <w:szCs w:val="15"/>
                <w:color w:val="auto"/>
              </w:rPr>
              <w:t>4,549</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5.50%</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rPr>
              <w:t>12,988</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4.13%</w:t>
            </w:r>
          </w:p>
        </w:tc>
        <w:tc>
          <w:tcPr>
            <w:tcW w:w="1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18,882</w:t>
            </w:r>
          </w:p>
        </w:tc>
        <w:tc>
          <w:tcPr>
            <w:tcW w:w="1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18,383</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4.33%</w:t>
            </w:r>
          </w:p>
        </w:tc>
      </w:tr>
      <w:tr>
        <w:trPr>
          <w:trHeight w:val="210"/>
        </w:trPr>
        <w:tc>
          <w:tcPr>
            <w:tcW w:w="1240" w:type="dxa"/>
            <w:vAlign w:val="bottom"/>
          </w:tcPr>
          <w:p>
            <w:pPr>
              <w:spacing w:after="0"/>
              <w:rPr>
                <w:sz w:val="20"/>
                <w:szCs w:val="20"/>
                <w:color w:val="auto"/>
              </w:rPr>
            </w:pPr>
            <w:r>
              <w:rPr>
                <w:rFonts w:ascii="Arial" w:cs="Arial" w:eastAsia="Arial" w:hAnsi="Arial"/>
                <w:sz w:val="15"/>
                <w:szCs w:val="15"/>
                <w:color w:val="auto"/>
              </w:rPr>
              <w:t>Collateralized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color w:val="auto"/>
              </w:rPr>
              <w:t>mortgage</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color w:val="auto"/>
              </w:rPr>
              <w:t>obligations -</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color w:val="auto"/>
              </w:rPr>
              <w:t>Private label</w:t>
            </w:r>
          </w:p>
        </w:tc>
        <w:tc>
          <w:tcPr>
            <w:tcW w:w="160" w:type="dxa"/>
            <w:vAlign w:val="bottom"/>
          </w:tcPr>
          <w:p>
            <w:pPr>
              <w:spacing w:after="0"/>
              <w:rPr>
                <w:sz w:val="19"/>
                <w:szCs w:val="19"/>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2,252</w:t>
            </w:r>
          </w:p>
        </w:tc>
        <w:tc>
          <w:tcPr>
            <w:tcW w:w="640" w:type="dxa"/>
            <w:vAlign w:val="bottom"/>
          </w:tcPr>
          <w:p>
            <w:pPr>
              <w:jc w:val="right"/>
              <w:spacing w:after="0"/>
              <w:rPr>
                <w:sz w:val="20"/>
                <w:szCs w:val="20"/>
                <w:color w:val="auto"/>
              </w:rPr>
            </w:pPr>
            <w:r>
              <w:rPr>
                <w:rFonts w:ascii="Arial" w:cs="Arial" w:eastAsia="Arial" w:hAnsi="Arial"/>
                <w:sz w:val="15"/>
                <w:szCs w:val="15"/>
                <w:color w:val="auto"/>
              </w:rPr>
              <w:t>6.83%</w:t>
            </w:r>
          </w:p>
        </w:tc>
        <w:tc>
          <w:tcPr>
            <w:tcW w:w="220" w:type="dxa"/>
            <w:vAlign w:val="bottom"/>
          </w:tcPr>
          <w:p>
            <w:pPr>
              <w:spacing w:after="0"/>
              <w:rPr>
                <w:sz w:val="19"/>
                <w:szCs w:val="19"/>
                <w:color w:val="auto"/>
              </w:rPr>
            </w:pP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17,277</w:t>
            </w:r>
          </w:p>
        </w:tc>
        <w:tc>
          <w:tcPr>
            <w:tcW w:w="660" w:type="dxa"/>
            <w:vAlign w:val="bottom"/>
          </w:tcPr>
          <w:p>
            <w:pPr>
              <w:jc w:val="right"/>
              <w:spacing w:after="0"/>
              <w:rPr>
                <w:sz w:val="20"/>
                <w:szCs w:val="20"/>
                <w:color w:val="auto"/>
              </w:rPr>
            </w:pPr>
            <w:r>
              <w:rPr>
                <w:rFonts w:ascii="Arial" w:cs="Arial" w:eastAsia="Arial" w:hAnsi="Arial"/>
                <w:sz w:val="15"/>
                <w:szCs w:val="15"/>
                <w:color w:val="auto"/>
              </w:rPr>
              <w:t>6.14%</w:t>
            </w:r>
          </w:p>
        </w:tc>
        <w:tc>
          <w:tcPr>
            <w:tcW w:w="220" w:type="dxa"/>
            <w:vAlign w:val="bottom"/>
          </w:tcPr>
          <w:p>
            <w:pPr>
              <w:spacing w:after="0"/>
              <w:rPr>
                <w:sz w:val="19"/>
                <w:szCs w:val="19"/>
                <w:color w:val="auto"/>
              </w:rPr>
            </w:pPr>
          </w:p>
        </w:tc>
        <w:tc>
          <w:tcPr>
            <w:tcW w:w="780" w:type="dxa"/>
            <w:vAlign w:val="bottom"/>
          </w:tcPr>
          <w:p>
            <w:pPr>
              <w:jc w:val="right"/>
              <w:ind w:right="205"/>
              <w:spacing w:after="0"/>
              <w:rPr>
                <w:sz w:val="20"/>
                <w:szCs w:val="20"/>
                <w:color w:val="auto"/>
              </w:rPr>
            </w:pPr>
            <w:r>
              <w:rPr>
                <w:rFonts w:ascii="Arial" w:cs="Arial" w:eastAsia="Arial" w:hAnsi="Arial"/>
                <w:sz w:val="15"/>
                <w:szCs w:val="15"/>
                <w:color w:val="auto"/>
              </w:rPr>
              <w:t>7,488</w:t>
            </w:r>
          </w:p>
        </w:tc>
        <w:tc>
          <w:tcPr>
            <w:tcW w:w="520" w:type="dxa"/>
            <w:vAlign w:val="bottom"/>
          </w:tcPr>
          <w:p>
            <w:pPr>
              <w:jc w:val="right"/>
              <w:spacing w:after="0"/>
              <w:rPr>
                <w:sz w:val="20"/>
                <w:szCs w:val="20"/>
                <w:color w:val="auto"/>
              </w:rPr>
            </w:pPr>
            <w:r>
              <w:rPr>
                <w:rFonts w:ascii="Arial" w:cs="Arial" w:eastAsia="Arial" w:hAnsi="Arial"/>
                <w:sz w:val="15"/>
                <w:szCs w:val="15"/>
                <w:color w:val="auto"/>
              </w:rPr>
              <w:t>5.22%</w:t>
            </w:r>
          </w:p>
        </w:tc>
        <w:tc>
          <w:tcPr>
            <w:tcW w:w="140" w:type="dxa"/>
            <w:vAlign w:val="bottom"/>
          </w:tcPr>
          <w:p>
            <w:pPr>
              <w:spacing w:after="0"/>
              <w:rPr>
                <w:sz w:val="19"/>
                <w:szCs w:val="19"/>
                <w:color w:val="auto"/>
              </w:rPr>
            </w:pP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60,815</w:t>
            </w:r>
          </w:p>
        </w:tc>
        <w:tc>
          <w:tcPr>
            <w:tcW w:w="580" w:type="dxa"/>
            <w:vAlign w:val="bottom"/>
          </w:tcPr>
          <w:p>
            <w:pPr>
              <w:jc w:val="right"/>
              <w:spacing w:after="0"/>
              <w:rPr>
                <w:sz w:val="20"/>
                <w:szCs w:val="20"/>
                <w:color w:val="auto"/>
              </w:rPr>
            </w:pPr>
            <w:r>
              <w:rPr>
                <w:rFonts w:ascii="Arial" w:cs="Arial" w:eastAsia="Arial" w:hAnsi="Arial"/>
                <w:sz w:val="15"/>
                <w:szCs w:val="15"/>
                <w:color w:val="auto"/>
              </w:rPr>
              <w:t>4.94%</w:t>
            </w:r>
          </w:p>
        </w:tc>
        <w:tc>
          <w:tcPr>
            <w:tcW w:w="14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87,832</w:t>
            </w:r>
          </w:p>
        </w:tc>
        <w:tc>
          <w:tcPr>
            <w:tcW w:w="160" w:type="dxa"/>
            <w:vAlign w:val="bottom"/>
          </w:tcPr>
          <w:p>
            <w:pPr>
              <w:spacing w:after="0"/>
              <w:rPr>
                <w:sz w:val="19"/>
                <w:szCs w:val="19"/>
                <w:color w:val="auto"/>
              </w:rPr>
            </w:pP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86,724</w:t>
            </w:r>
          </w:p>
        </w:tc>
        <w:tc>
          <w:tcPr>
            <w:tcW w:w="580" w:type="dxa"/>
            <w:vAlign w:val="bottom"/>
          </w:tcPr>
          <w:p>
            <w:pPr>
              <w:jc w:val="right"/>
              <w:spacing w:after="0"/>
              <w:rPr>
                <w:sz w:val="20"/>
                <w:szCs w:val="20"/>
                <w:color w:val="auto"/>
              </w:rPr>
            </w:pPr>
            <w:r>
              <w:rPr>
                <w:rFonts w:ascii="Arial" w:cs="Arial" w:eastAsia="Arial" w:hAnsi="Arial"/>
                <w:sz w:val="15"/>
                <w:szCs w:val="15"/>
                <w:color w:val="auto"/>
              </w:rPr>
              <w:t>5.25%</w:t>
            </w:r>
          </w:p>
        </w:tc>
      </w:tr>
      <w:tr>
        <w:trPr>
          <w:trHeight w:val="40"/>
        </w:trPr>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9"/>
        </w:trPr>
        <w:tc>
          <w:tcPr>
            <w:tcW w:w="1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4,486</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3.85%</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18,622</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5.86%</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FF0FC"/>
            </w:tcBorders>
            <w:shd w:val="clear" w:color="auto" w:fill="CFF0FC"/>
          </w:tcPr>
          <w:p>
            <w:pPr>
              <w:jc w:val="right"/>
              <w:ind w:right="205"/>
              <w:spacing w:after="0"/>
              <w:rPr>
                <w:sz w:val="20"/>
                <w:szCs w:val="20"/>
                <w:color w:val="auto"/>
              </w:rPr>
            </w:pPr>
            <w:r>
              <w:rPr>
                <w:rFonts w:ascii="Arial" w:cs="Arial" w:eastAsia="Arial" w:hAnsi="Arial"/>
                <w:sz w:val="15"/>
                <w:szCs w:val="15"/>
                <w:color w:val="auto"/>
              </w:rPr>
              <w:t>13,935</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4.90%</w:t>
            </w:r>
          </w:p>
        </w:tc>
        <w:tc>
          <w:tcPr>
            <w:tcW w:w="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rPr>
              <w:t>119,303</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4.84%</w:t>
            </w:r>
          </w:p>
        </w:tc>
        <w:tc>
          <w:tcPr>
            <w:tcW w:w="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156,346</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w w:val="88"/>
              </w:rPr>
              <w:t>154,122</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4.94%</w:t>
            </w:r>
          </w:p>
        </w:tc>
      </w:tr>
      <w:tr>
        <w:trPr>
          <w:trHeight w:val="210"/>
        </w:trPr>
        <w:tc>
          <w:tcPr>
            <w:tcW w:w="1240" w:type="dxa"/>
            <w:vAlign w:val="bottom"/>
          </w:tcPr>
          <w:p>
            <w:pPr>
              <w:spacing w:after="0"/>
              <w:rPr>
                <w:sz w:val="20"/>
                <w:szCs w:val="20"/>
                <w:color w:val="auto"/>
              </w:rPr>
            </w:pPr>
            <w:r>
              <w:rPr>
                <w:rFonts w:ascii="Arial" w:cs="Arial" w:eastAsia="Arial" w:hAnsi="Arial"/>
                <w:sz w:val="15"/>
                <w:szCs w:val="15"/>
                <w:b w:val="1"/>
                <w:bCs w:val="1"/>
                <w:color w:val="auto"/>
              </w:rPr>
              <w:t>Other non-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b w:val="1"/>
                <w:bCs w:val="1"/>
                <w:color w:val="auto"/>
              </w:rPr>
              <w:t>maturity</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b w:val="1"/>
                <w:bCs w:val="1"/>
                <w:color w:val="auto"/>
              </w:rPr>
              <w:t>investments: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0"/>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1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Equity securities</w:t>
            </w:r>
          </w:p>
        </w:tc>
        <w:tc>
          <w:tcPr>
            <w:tcW w:w="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206</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2.32%</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FF0FC"/>
            </w:tcBorders>
            <w:shd w:val="clear" w:color="auto" w:fill="CFF0FC"/>
          </w:tcPr>
          <w:p>
            <w:pPr>
              <w:jc w:val="right"/>
              <w:ind w:right="205"/>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w:t>
            </w:r>
          </w:p>
        </w:tc>
        <w:tc>
          <w:tcPr>
            <w:tcW w:w="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w:t>
            </w:r>
          </w:p>
        </w:tc>
        <w:tc>
          <w:tcPr>
            <w:tcW w:w="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206</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206</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2.32%</w:t>
            </w:r>
          </w:p>
        </w:tc>
      </w:tr>
      <w:tr>
        <w:trPr>
          <w:trHeight w:val="210"/>
        </w:trPr>
        <w:tc>
          <w:tcPr>
            <w:tcW w:w="1240" w:type="dxa"/>
            <w:vAlign w:val="bottom"/>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Pr>
          <w:p>
            <w:pPr>
              <w:ind w:left="60"/>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206</w:t>
            </w:r>
          </w:p>
        </w:tc>
        <w:tc>
          <w:tcPr>
            <w:tcW w:w="640" w:type="dxa"/>
            <w:vAlign w:val="bottom"/>
          </w:tcPr>
          <w:p>
            <w:pPr>
              <w:jc w:val="right"/>
              <w:spacing w:after="0"/>
              <w:rPr>
                <w:sz w:val="20"/>
                <w:szCs w:val="20"/>
                <w:color w:val="auto"/>
              </w:rPr>
            </w:pPr>
            <w:r>
              <w:rPr>
                <w:rFonts w:ascii="Arial" w:cs="Arial" w:eastAsia="Arial" w:hAnsi="Arial"/>
                <w:sz w:val="15"/>
                <w:szCs w:val="15"/>
                <w:color w:val="auto"/>
              </w:rPr>
              <w:t>2.32%</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0.00%</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0.00%</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206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206</w:t>
            </w:r>
          </w:p>
        </w:tc>
        <w:tc>
          <w:tcPr>
            <w:tcW w:w="580" w:type="dxa"/>
            <w:vAlign w:val="bottom"/>
          </w:tcPr>
          <w:p>
            <w:pPr>
              <w:jc w:val="right"/>
              <w:spacing w:after="0"/>
              <w:rPr>
                <w:sz w:val="20"/>
                <w:szCs w:val="20"/>
                <w:color w:val="auto"/>
              </w:rPr>
            </w:pPr>
            <w:r>
              <w:rPr>
                <w:rFonts w:ascii="Arial" w:cs="Arial" w:eastAsia="Arial" w:hAnsi="Arial"/>
                <w:sz w:val="15"/>
                <w:szCs w:val="15"/>
                <w:color w:val="auto"/>
              </w:rPr>
              <w:t>2.32%</w:t>
            </w:r>
          </w:p>
        </w:tc>
      </w:tr>
      <w:tr>
        <w:trPr>
          <w:trHeight w:val="40"/>
        </w:trPr>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1240" w:type="dxa"/>
            <w:vAlign w:val="bottom"/>
            <w:shd w:val="clear" w:color="auto" w:fill="CFF0FC"/>
          </w:tcPr>
          <w:p>
            <w:pPr>
              <w:ind w:left="60"/>
              <w:spacing w:after="0"/>
              <w:rPr>
                <w:sz w:val="20"/>
                <w:szCs w:val="20"/>
                <w:color w:val="auto"/>
              </w:rPr>
            </w:pPr>
            <w:r>
              <w:rPr>
                <w:rFonts w:ascii="Arial" w:cs="Arial" w:eastAsia="Arial" w:hAnsi="Arial"/>
                <w:sz w:val="15"/>
                <w:szCs w:val="15"/>
                <w:color w:val="auto"/>
              </w:rPr>
              <w:t>Total investment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25"/>
        </w:trPr>
        <w:tc>
          <w:tcPr>
            <w:tcW w:w="1240" w:type="dxa"/>
            <w:vAlign w:val="bottom"/>
            <w:shd w:val="clear" w:color="auto" w:fill="CFF0FC"/>
          </w:tcPr>
          <w:p>
            <w:pPr>
              <w:ind w:left="60"/>
              <w:spacing w:after="0"/>
              <w:rPr>
                <w:sz w:val="20"/>
                <w:szCs w:val="20"/>
                <w:color w:val="auto"/>
              </w:rPr>
            </w:pPr>
            <w:r>
              <w:rPr>
                <w:rFonts w:ascii="Arial" w:cs="Arial" w:eastAsia="Arial" w:hAnsi="Arial"/>
                <w:sz w:val="15"/>
                <w:szCs w:val="15"/>
                <w:color w:val="auto"/>
              </w:rPr>
              <w:t>securities</w:t>
            </w:r>
          </w:p>
        </w:tc>
        <w:tc>
          <w:tcPr>
            <w:tcW w:w="160" w:type="dxa"/>
            <w:vAlign w:val="bottom"/>
            <w:shd w:val="clear" w:color="auto" w:fill="CFF0FC"/>
          </w:tcPr>
          <w:p>
            <w:pPr>
              <w:ind w:left="6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rPr>
              <w:t>8,898</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4.62%</w:t>
            </w:r>
          </w:p>
        </w:tc>
        <w:tc>
          <w:tcPr>
            <w:tcW w:w="220" w:type="dxa"/>
            <w:vAlign w:val="bottom"/>
            <w:shd w:val="clear" w:color="auto" w:fill="CFF0FC"/>
          </w:tcPr>
          <w:p>
            <w:pPr>
              <w:ind w:lef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rPr>
              <w:t>54,415</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3.52%</w:t>
            </w:r>
          </w:p>
        </w:tc>
        <w:tc>
          <w:tcPr>
            <w:tcW w:w="220" w:type="dxa"/>
            <w:vAlign w:val="bottom"/>
            <w:shd w:val="clear" w:color="auto" w:fill="CFF0FC"/>
          </w:tcPr>
          <w:p>
            <w:pPr>
              <w:ind w:left="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rPr>
              <w:t>24,873</w:t>
            </w: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w:t>
            </w:r>
          </w:p>
        </w:tc>
        <w:tc>
          <w:tcPr>
            <w:tcW w:w="140" w:type="dxa"/>
            <w:vAlign w:val="bottom"/>
            <w:shd w:val="clear" w:color="auto" w:fill="CFF0FC"/>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rPr>
              <w:t>194,455</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4.64%</w:t>
            </w:r>
          </w:p>
        </w:tc>
        <w:tc>
          <w:tcPr>
            <w:tcW w:w="140" w:type="dxa"/>
            <w:vAlign w:val="bottom"/>
            <w:shd w:val="clear" w:color="auto" w:fill="CFF0FC"/>
          </w:tcPr>
          <w:p>
            <w:pPr>
              <w:ind w:left="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rPr>
              <w:t>282,641</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88"/>
              </w:rPr>
              <w:t>276,815</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4.39%</w:t>
            </w:r>
          </w:p>
        </w:tc>
      </w:tr>
      <w:tr>
        <w:trPr>
          <w:trHeight w:val="75"/>
        </w:trPr>
        <w:tc>
          <w:tcPr>
            <w:tcW w:w="12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-4939665</wp:posOffset>
            </wp:positionV>
            <wp:extent cx="596773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-4638675</wp:posOffset>
            </wp:positionV>
            <wp:extent cx="596773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-3300730</wp:posOffset>
            </wp:positionV>
            <wp:extent cx="596773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-3142615</wp:posOffset>
            </wp:positionV>
            <wp:extent cx="596773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-1242060</wp:posOffset>
            </wp:positionV>
            <wp:extent cx="596773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-1083945</wp:posOffset>
            </wp:positionV>
            <wp:extent cx="596773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596773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-328930</wp:posOffset>
            </wp:positionV>
            <wp:extent cx="596773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HELD-TO-MATURITY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3"/>
          </w:tcPr>
          <w:p>
            <w:pPr>
              <w:jc w:val="center"/>
              <w:ind w:right="105"/>
              <w:spacing w:after="0"/>
              <w:rPr>
                <w:sz w:val="20"/>
                <w:szCs w:val="20"/>
                <w:color w:val="auto"/>
              </w:rPr>
            </w:pPr>
            <w:r>
              <w:rPr>
                <w:rFonts w:ascii="Arial" w:cs="Arial" w:eastAsia="Arial" w:hAnsi="Arial"/>
                <w:sz w:val="15"/>
                <w:szCs w:val="15"/>
                <w:color w:val="auto"/>
                <w:w w:val="90"/>
              </w:rPr>
              <w:t>More Than One to</w:t>
            </w:r>
          </w:p>
        </w:tc>
        <w:tc>
          <w:tcPr>
            <w:tcW w:w="1500" w:type="dxa"/>
            <w:vAlign w:val="bottom"/>
            <w:gridSpan w:val="3"/>
          </w:tcPr>
          <w:p>
            <w:pPr>
              <w:jc w:val="center"/>
              <w:ind w:right="105"/>
              <w:spacing w:after="0"/>
              <w:rPr>
                <w:sz w:val="20"/>
                <w:szCs w:val="20"/>
                <w:color w:val="auto"/>
              </w:rPr>
            </w:pPr>
            <w:r>
              <w:rPr>
                <w:rFonts w:ascii="Arial" w:cs="Arial" w:eastAsia="Arial" w:hAnsi="Arial"/>
                <w:sz w:val="15"/>
                <w:szCs w:val="15"/>
                <w:color w:val="auto"/>
                <w:w w:val="91"/>
              </w:rPr>
              <w:t>More Than Five to</w:t>
            </w:r>
          </w:p>
        </w:tc>
        <w:tc>
          <w:tcPr>
            <w:tcW w:w="14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Arial" w:cs="Arial" w:eastAsia="Arial" w:hAnsi="Arial"/>
                <w:sz w:val="15"/>
                <w:szCs w:val="15"/>
                <w:color w:val="auto"/>
                <w:w w:val="93"/>
              </w:rPr>
              <w:t>More Than Ten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25"/>
        </w:trPr>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25"/>
              <w:spacing w:after="0"/>
              <w:rPr>
                <w:sz w:val="20"/>
                <w:szCs w:val="20"/>
                <w:color w:val="auto"/>
              </w:rPr>
            </w:pPr>
            <w:r>
              <w:rPr>
                <w:rFonts w:ascii="Arial" w:cs="Arial" w:eastAsia="Arial" w:hAnsi="Arial"/>
                <w:sz w:val="15"/>
                <w:szCs w:val="15"/>
                <w:color w:val="auto"/>
                <w:w w:val="88"/>
              </w:rPr>
              <w:t>One Year or Less</w:t>
            </w:r>
          </w:p>
        </w:tc>
        <w:tc>
          <w:tcPr>
            <w:tcW w:w="240" w:type="dxa"/>
            <w:vAlign w:val="bottom"/>
          </w:tcPr>
          <w:p>
            <w:pPr>
              <w:spacing w:after="0"/>
              <w:rPr>
                <w:sz w:val="19"/>
                <w:szCs w:val="19"/>
                <w:color w:val="auto"/>
              </w:rPr>
            </w:pPr>
          </w:p>
        </w:tc>
        <w:tc>
          <w:tcPr>
            <w:tcW w:w="1240" w:type="dxa"/>
            <w:vAlign w:val="bottom"/>
            <w:gridSpan w:val="2"/>
          </w:tcPr>
          <w:p>
            <w:pPr>
              <w:jc w:val="center"/>
              <w:ind w:right="305"/>
              <w:spacing w:after="0"/>
              <w:rPr>
                <w:sz w:val="20"/>
                <w:szCs w:val="20"/>
                <w:color w:val="auto"/>
              </w:rPr>
            </w:pPr>
            <w:r>
              <w:rPr>
                <w:rFonts w:ascii="Arial" w:cs="Arial" w:eastAsia="Arial" w:hAnsi="Arial"/>
                <w:sz w:val="15"/>
                <w:szCs w:val="15"/>
                <w:color w:val="auto"/>
                <w:w w:val="91"/>
              </w:rPr>
              <w:t>Five Years</w:t>
            </w:r>
          </w:p>
        </w:tc>
        <w:tc>
          <w:tcPr>
            <w:tcW w:w="240" w:type="dxa"/>
            <w:vAlign w:val="bottom"/>
          </w:tcPr>
          <w:p>
            <w:pPr>
              <w:spacing w:after="0"/>
              <w:rPr>
                <w:sz w:val="19"/>
                <w:szCs w:val="19"/>
                <w:color w:val="auto"/>
              </w:rPr>
            </w:pPr>
          </w:p>
        </w:tc>
        <w:tc>
          <w:tcPr>
            <w:tcW w:w="1260" w:type="dxa"/>
            <w:vAlign w:val="bottom"/>
            <w:gridSpan w:val="2"/>
          </w:tcPr>
          <w:p>
            <w:pPr>
              <w:jc w:val="center"/>
              <w:ind w:right="285"/>
              <w:spacing w:after="0"/>
              <w:rPr>
                <w:sz w:val="20"/>
                <w:szCs w:val="20"/>
                <w:color w:val="auto"/>
              </w:rPr>
            </w:pPr>
            <w:r>
              <w:rPr>
                <w:rFonts w:ascii="Arial" w:cs="Arial" w:eastAsia="Arial" w:hAnsi="Arial"/>
                <w:sz w:val="15"/>
                <w:szCs w:val="15"/>
                <w:color w:val="auto"/>
                <w:w w:val="89"/>
              </w:rPr>
              <w:t>Ten Years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Years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3"/>
          </w:tcPr>
          <w:p>
            <w:pPr>
              <w:jc w:val="right"/>
              <w:ind w:right="245"/>
              <w:spacing w:after="0"/>
              <w:rPr>
                <w:sz w:val="20"/>
                <w:szCs w:val="20"/>
                <w:color w:val="auto"/>
              </w:rPr>
            </w:pPr>
            <w:r>
              <w:rPr>
                <w:rFonts w:ascii="Arial" w:cs="Arial" w:eastAsia="Arial" w:hAnsi="Arial"/>
                <w:sz w:val="15"/>
                <w:szCs w:val="15"/>
                <w:color w:val="auto"/>
                <w:w w:val="91"/>
              </w:rPr>
              <w:t>Total Investment Securities</w:t>
            </w:r>
          </w:p>
        </w:tc>
      </w:tr>
      <w:tr>
        <w:trPr>
          <w:trHeight w:val="249"/>
        </w:trPr>
        <w:tc>
          <w:tcPr>
            <w:tcW w:w="1240" w:type="dxa"/>
            <w:vAlign w:val="bottom"/>
          </w:tcPr>
          <w:p>
            <w:pPr>
              <w:spacing w:after="0"/>
              <w:rPr>
                <w:sz w:val="20"/>
                <w:szCs w:val="20"/>
                <w:color w:val="auto"/>
              </w:rPr>
            </w:pPr>
            <w:r>
              <w:rPr>
                <w:rFonts w:ascii="Arial" w:cs="Arial" w:eastAsia="Arial" w:hAnsi="Arial"/>
                <w:sz w:val="15"/>
                <w:szCs w:val="15"/>
                <w:i w:val="1"/>
                <w:iCs w:val="1"/>
                <w:color w:val="auto"/>
              </w:rPr>
              <w:t>(Dollars in</w:t>
            </w:r>
          </w:p>
        </w:tc>
        <w:tc>
          <w:tcPr>
            <w:tcW w:w="900" w:type="dxa"/>
            <w:vAlign w:val="bottom"/>
            <w:gridSpan w:val="2"/>
          </w:tcPr>
          <w:p>
            <w:pPr>
              <w:ind w:left="80"/>
              <w:spacing w:after="0"/>
              <w:rPr>
                <w:sz w:val="20"/>
                <w:szCs w:val="20"/>
                <w:color w:val="auto"/>
              </w:rPr>
            </w:pPr>
            <w:r>
              <w:rPr>
                <w:rFonts w:ascii="Arial" w:cs="Arial" w:eastAsia="Arial" w:hAnsi="Arial"/>
                <w:sz w:val="15"/>
                <w:szCs w:val="15"/>
                <w:color w:val="auto"/>
              </w:rPr>
              <w:t>Amortized</w:t>
            </w:r>
          </w:p>
        </w:tc>
        <w:tc>
          <w:tcPr>
            <w:tcW w:w="64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5"/>
                <w:szCs w:val="15"/>
                <w:color w:val="auto"/>
              </w:rPr>
              <w:t>Amortized</w:t>
            </w:r>
          </w:p>
        </w:tc>
        <w:tc>
          <w:tcPr>
            <w:tcW w:w="6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5"/>
                <w:szCs w:val="15"/>
                <w:color w:val="auto"/>
              </w:rPr>
              <w:t>Amortized</w:t>
            </w:r>
          </w:p>
        </w:tc>
        <w:tc>
          <w:tcPr>
            <w:tcW w:w="6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5"/>
                <w:szCs w:val="15"/>
                <w:color w:val="auto"/>
              </w:rPr>
              <w:t>Amortized</w:t>
            </w:r>
          </w:p>
        </w:tc>
        <w:tc>
          <w:tcPr>
            <w:tcW w:w="580" w:type="dxa"/>
            <w:vAlign w:val="bottom"/>
          </w:tcPr>
          <w:p>
            <w:pPr>
              <w:spacing w:after="0"/>
              <w:rPr>
                <w:sz w:val="21"/>
                <w:szCs w:val="21"/>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Amortized</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Fair</w:t>
            </w:r>
          </w:p>
        </w:tc>
        <w:tc>
          <w:tcPr>
            <w:tcW w:w="600" w:type="dxa"/>
            <w:vAlign w:val="bottom"/>
          </w:tcPr>
          <w:p>
            <w:pPr>
              <w:spacing w:after="0"/>
              <w:rPr>
                <w:sz w:val="21"/>
                <w:szCs w:val="21"/>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i w:val="1"/>
                <w:iCs w:val="1"/>
                <w:color w:val="auto"/>
              </w:rPr>
              <w:t>thousands)</w:t>
            </w:r>
          </w:p>
        </w:tc>
        <w:tc>
          <w:tcPr>
            <w:tcW w:w="180" w:type="dxa"/>
            <w:vAlign w:val="bottom"/>
          </w:tcPr>
          <w:p>
            <w:pPr>
              <w:spacing w:after="0"/>
              <w:rPr>
                <w:sz w:val="19"/>
                <w:szCs w:val="19"/>
                <w:color w:val="auto"/>
              </w:rPr>
            </w:pPr>
          </w:p>
        </w:tc>
        <w:tc>
          <w:tcPr>
            <w:tcW w:w="720" w:type="dxa"/>
            <w:vAlign w:val="bottom"/>
          </w:tcPr>
          <w:p>
            <w:pPr>
              <w:jc w:val="right"/>
              <w:ind w:right="65"/>
              <w:spacing w:after="0"/>
              <w:rPr>
                <w:sz w:val="20"/>
                <w:szCs w:val="20"/>
                <w:color w:val="auto"/>
              </w:rPr>
            </w:pPr>
            <w:r>
              <w:rPr>
                <w:rFonts w:ascii="Arial" w:cs="Arial" w:eastAsia="Arial" w:hAnsi="Arial"/>
                <w:sz w:val="15"/>
                <w:szCs w:val="15"/>
                <w:color w:val="auto"/>
              </w:rPr>
              <w:t>Cost</w:t>
            </w:r>
          </w:p>
        </w:tc>
        <w:tc>
          <w:tcPr>
            <w:tcW w:w="640" w:type="dxa"/>
            <w:vAlign w:val="bottom"/>
          </w:tcPr>
          <w:p>
            <w:pPr>
              <w:jc w:val="right"/>
              <w:ind w:right="105"/>
              <w:spacing w:after="0"/>
              <w:rPr>
                <w:sz w:val="20"/>
                <w:szCs w:val="20"/>
                <w:color w:val="auto"/>
              </w:rPr>
            </w:pPr>
            <w:r>
              <w:rPr>
                <w:rFonts w:ascii="Arial" w:cs="Arial" w:eastAsia="Arial" w:hAnsi="Arial"/>
                <w:sz w:val="15"/>
                <w:szCs w:val="15"/>
                <w:color w:val="auto"/>
              </w:rPr>
              <w:t>Yield</w:t>
            </w:r>
          </w:p>
        </w:tc>
        <w:tc>
          <w:tcPr>
            <w:tcW w:w="240" w:type="dxa"/>
            <w:vAlign w:val="bottom"/>
          </w:tcPr>
          <w:p>
            <w:pPr>
              <w:spacing w:after="0"/>
              <w:rPr>
                <w:sz w:val="19"/>
                <w:szCs w:val="19"/>
                <w:color w:val="auto"/>
              </w:rPr>
            </w:pPr>
          </w:p>
        </w:tc>
        <w:tc>
          <w:tcPr>
            <w:tcW w:w="600" w:type="dxa"/>
            <w:vAlign w:val="bottom"/>
          </w:tcPr>
          <w:p>
            <w:pPr>
              <w:jc w:val="right"/>
              <w:ind w:right="45"/>
              <w:spacing w:after="0"/>
              <w:rPr>
                <w:sz w:val="20"/>
                <w:szCs w:val="20"/>
                <w:color w:val="auto"/>
              </w:rPr>
            </w:pPr>
            <w:r>
              <w:rPr>
                <w:rFonts w:ascii="Arial" w:cs="Arial" w:eastAsia="Arial" w:hAnsi="Arial"/>
                <w:sz w:val="15"/>
                <w:szCs w:val="15"/>
                <w:color w:val="auto"/>
              </w:rPr>
              <w:t>Cost</w:t>
            </w:r>
          </w:p>
        </w:tc>
        <w:tc>
          <w:tcPr>
            <w:tcW w:w="640" w:type="dxa"/>
            <w:vAlign w:val="bottom"/>
          </w:tcPr>
          <w:p>
            <w:pPr>
              <w:jc w:val="right"/>
              <w:ind w:right="105"/>
              <w:spacing w:after="0"/>
              <w:rPr>
                <w:sz w:val="20"/>
                <w:szCs w:val="20"/>
                <w:color w:val="auto"/>
              </w:rPr>
            </w:pPr>
            <w:r>
              <w:rPr>
                <w:rFonts w:ascii="Arial" w:cs="Arial" w:eastAsia="Arial" w:hAnsi="Arial"/>
                <w:sz w:val="15"/>
                <w:szCs w:val="15"/>
                <w:color w:val="auto"/>
              </w:rPr>
              <w:t>Yield</w:t>
            </w:r>
          </w:p>
        </w:tc>
        <w:tc>
          <w:tcPr>
            <w:tcW w:w="240" w:type="dxa"/>
            <w:vAlign w:val="bottom"/>
          </w:tcPr>
          <w:p>
            <w:pPr>
              <w:spacing w:after="0"/>
              <w:rPr>
                <w:sz w:val="19"/>
                <w:szCs w:val="19"/>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Cost</w:t>
            </w:r>
          </w:p>
        </w:tc>
        <w:tc>
          <w:tcPr>
            <w:tcW w:w="640" w:type="dxa"/>
            <w:vAlign w:val="bottom"/>
          </w:tcPr>
          <w:p>
            <w:pPr>
              <w:jc w:val="right"/>
              <w:ind w:right="125"/>
              <w:spacing w:after="0"/>
              <w:rPr>
                <w:sz w:val="20"/>
                <w:szCs w:val="20"/>
                <w:color w:val="auto"/>
              </w:rPr>
            </w:pPr>
            <w:r>
              <w:rPr>
                <w:rFonts w:ascii="Arial" w:cs="Arial" w:eastAsia="Arial" w:hAnsi="Arial"/>
                <w:sz w:val="15"/>
                <w:szCs w:val="15"/>
                <w:color w:val="auto"/>
              </w:rPr>
              <w:t>Yield</w:t>
            </w:r>
          </w:p>
        </w:tc>
        <w:tc>
          <w:tcPr>
            <w:tcW w:w="140" w:type="dxa"/>
            <w:vAlign w:val="bottom"/>
          </w:tcPr>
          <w:p>
            <w:pPr>
              <w:spacing w:after="0"/>
              <w:rPr>
                <w:sz w:val="19"/>
                <w:szCs w:val="19"/>
                <w:color w:val="auto"/>
              </w:rPr>
            </w:pP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Cost</w:t>
            </w: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Yield</w:t>
            </w:r>
          </w:p>
        </w:tc>
        <w:tc>
          <w:tcPr>
            <w:tcW w:w="160" w:type="dxa"/>
            <w:vAlign w:val="bottom"/>
          </w:tcPr>
          <w:p>
            <w:pPr>
              <w:spacing w:after="0"/>
              <w:rPr>
                <w:sz w:val="19"/>
                <w:szCs w:val="19"/>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Cost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Value</w:t>
            </w:r>
          </w:p>
        </w:tc>
        <w:tc>
          <w:tcPr>
            <w:tcW w:w="600" w:type="dxa"/>
            <w:vAlign w:val="bottom"/>
          </w:tcPr>
          <w:p>
            <w:pPr>
              <w:jc w:val="right"/>
              <w:ind w:right="85"/>
              <w:spacing w:after="0"/>
              <w:rPr>
                <w:sz w:val="20"/>
                <w:szCs w:val="20"/>
                <w:color w:val="auto"/>
              </w:rPr>
            </w:pPr>
            <w:r>
              <w:rPr>
                <w:rFonts w:ascii="Arial" w:cs="Arial" w:eastAsia="Arial" w:hAnsi="Arial"/>
                <w:sz w:val="15"/>
                <w:szCs w:val="15"/>
                <w:color w:val="auto"/>
              </w:rPr>
              <w:t>Yield</w:t>
            </w:r>
          </w:p>
        </w:tc>
      </w:tr>
      <w:tr>
        <w:trPr>
          <w:trHeight w:val="40"/>
        </w:trPr>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10"/>
        </w:trPr>
        <w:tc>
          <w:tcPr>
            <w:tcW w:w="12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Debt investment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r>
      <w:tr>
        <w:trPr>
          <w:trHeight w:val="235"/>
        </w:trPr>
        <w:tc>
          <w:tcPr>
            <w:tcW w:w="1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securities:</w:t>
            </w:r>
          </w:p>
        </w:tc>
        <w:tc>
          <w:tcPr>
            <w:tcW w:w="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5"/>
                <w:szCs w:val="15"/>
                <w:color w:val="auto"/>
              </w:rPr>
              <w:t>US Treasury,</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5"/>
        </w:trPr>
        <w:tc>
          <w:tcPr>
            <w:tcW w:w="1240" w:type="dxa"/>
            <w:vAlign w:val="bottom"/>
          </w:tcPr>
          <w:p>
            <w:pPr>
              <w:spacing w:after="0"/>
              <w:rPr>
                <w:sz w:val="20"/>
                <w:szCs w:val="20"/>
                <w:color w:val="auto"/>
              </w:rPr>
            </w:pPr>
            <w:r>
              <w:rPr>
                <w:rFonts w:ascii="Arial" w:cs="Arial" w:eastAsia="Arial" w:hAnsi="Arial"/>
                <w:sz w:val="15"/>
                <w:szCs w:val="15"/>
                <w:color w:val="auto"/>
                <w:w w:val="91"/>
              </w:rPr>
              <w:t>agencies and GSEs</w:t>
            </w:r>
          </w:p>
        </w:tc>
        <w:tc>
          <w:tcPr>
            <w:tcW w:w="180" w:type="dxa"/>
            <w:vAlign w:val="bottom"/>
          </w:tcPr>
          <w:p>
            <w:pPr>
              <w:ind w:left="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0.00%</w:t>
            </w:r>
          </w:p>
        </w:tc>
        <w:tc>
          <w:tcPr>
            <w:tcW w:w="240" w:type="dxa"/>
            <w:vAlign w:val="bottom"/>
          </w:tcPr>
          <w:p>
            <w:pPr>
              <w:ind w:left="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45"/>
              <w:spacing w:after="0"/>
              <w:rPr>
                <w:sz w:val="20"/>
                <w:szCs w:val="20"/>
                <w:color w:val="auto"/>
              </w:rPr>
            </w:pPr>
            <w:r>
              <w:rPr>
                <w:rFonts w:ascii="Arial" w:cs="Arial" w:eastAsia="Arial" w:hAnsi="Arial"/>
                <w:sz w:val="15"/>
                <w:szCs w:val="15"/>
                <w:color w:val="auto"/>
              </w:rPr>
              <w:t>1,498</w:t>
            </w:r>
          </w:p>
        </w:tc>
        <w:tc>
          <w:tcPr>
            <w:tcW w:w="640" w:type="dxa"/>
            <w:vAlign w:val="bottom"/>
          </w:tcPr>
          <w:p>
            <w:pPr>
              <w:jc w:val="right"/>
              <w:spacing w:after="0"/>
              <w:rPr>
                <w:sz w:val="20"/>
                <w:szCs w:val="20"/>
                <w:color w:val="auto"/>
              </w:rPr>
            </w:pPr>
            <w:r>
              <w:rPr>
                <w:rFonts w:ascii="Arial" w:cs="Arial" w:eastAsia="Arial" w:hAnsi="Arial"/>
                <w:sz w:val="15"/>
                <w:szCs w:val="15"/>
                <w:color w:val="auto"/>
              </w:rPr>
              <w:t>3.18%</w:t>
            </w:r>
          </w:p>
        </w:tc>
        <w:tc>
          <w:tcPr>
            <w:tcW w:w="240" w:type="dxa"/>
            <w:vAlign w:val="bottom"/>
          </w:tcPr>
          <w:p>
            <w:pPr>
              <w:ind w:left="6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0.00%</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2,061</w:t>
            </w:r>
          </w:p>
        </w:tc>
        <w:tc>
          <w:tcPr>
            <w:tcW w:w="580" w:type="dxa"/>
            <w:vAlign w:val="bottom"/>
          </w:tcPr>
          <w:p>
            <w:pPr>
              <w:jc w:val="right"/>
              <w:spacing w:after="0"/>
              <w:rPr>
                <w:sz w:val="20"/>
                <w:szCs w:val="20"/>
                <w:color w:val="auto"/>
              </w:rPr>
            </w:pPr>
            <w:r>
              <w:rPr>
                <w:rFonts w:ascii="Arial" w:cs="Arial" w:eastAsia="Arial" w:hAnsi="Arial"/>
                <w:sz w:val="15"/>
                <w:szCs w:val="15"/>
                <w:color w:val="auto"/>
              </w:rPr>
              <w:t>2.52%</w:t>
            </w:r>
          </w:p>
        </w:tc>
        <w:tc>
          <w:tcPr>
            <w:tcW w:w="16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3,559</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  3,397</w:t>
            </w:r>
          </w:p>
        </w:tc>
        <w:tc>
          <w:tcPr>
            <w:tcW w:w="600" w:type="dxa"/>
            <w:vAlign w:val="bottom"/>
          </w:tcPr>
          <w:p>
            <w:pPr>
              <w:jc w:val="right"/>
              <w:spacing w:after="0"/>
              <w:rPr>
                <w:sz w:val="20"/>
                <w:szCs w:val="20"/>
                <w:color w:val="auto"/>
              </w:rPr>
            </w:pPr>
            <w:r>
              <w:rPr>
                <w:rFonts w:ascii="Arial" w:cs="Arial" w:eastAsia="Arial" w:hAnsi="Arial"/>
                <w:sz w:val="15"/>
                <w:szCs w:val="15"/>
                <w:color w:val="auto"/>
              </w:rPr>
              <w:t>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-877570</wp:posOffset>
            </wp:positionV>
            <wp:extent cx="596773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-576580</wp:posOffset>
            </wp:positionV>
            <wp:extent cx="596773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18</w:t>
      </w:r>
    </w:p>
    <w:p>
      <w:pPr>
        <w:sectPr>
          <w:pgSz w:w="11900" w:h="16838" w:orient="portrait"/>
          <w:cols w:equalWidth="0" w:num="1">
            <w:col w:w="9400"/>
          </w:cols>
          <w:pgMar w:left="1260" w:top="1440" w:right="1246"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10"/>
        </w:trPr>
        <w:tc>
          <w:tcPr>
            <w:tcW w:w="1280" w:type="dxa"/>
            <w:vAlign w:val="bottom"/>
            <w:shd w:val="clear" w:color="auto" w:fill="CFF0FC"/>
          </w:tcPr>
          <w:p>
            <w:pPr>
              <w:spacing w:after="0"/>
              <w:rPr>
                <w:sz w:val="20"/>
                <w:szCs w:val="20"/>
                <w:color w:val="auto"/>
              </w:rPr>
            </w:pPr>
            <w:r>
              <w:rPr>
                <w:rFonts w:ascii="Arial" w:cs="Arial" w:eastAsia="Arial" w:hAnsi="Arial"/>
                <w:sz w:val="15"/>
                <w:szCs w:val="15"/>
                <w:color w:val="auto"/>
              </w:rPr>
              <w:t>State and political</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35"/>
        </w:trPr>
        <w:tc>
          <w:tcPr>
            <w:tcW w:w="1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subdivisions</w:t>
            </w:r>
          </w:p>
        </w:tc>
        <w:tc>
          <w:tcPr>
            <w:tcW w:w="2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427</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3.25%</w:t>
            </w: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5,744</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2.54%</w:t>
            </w: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6,767</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2.37%</w:t>
            </w: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1,656</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2.56%</w:t>
            </w: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14,594</w:t>
            </w: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13,375</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2.48%</w:t>
            </w:r>
          </w:p>
        </w:tc>
      </w:tr>
      <w:tr>
        <w:trPr>
          <w:trHeight w:val="210"/>
        </w:trPr>
        <w:tc>
          <w:tcPr>
            <w:tcW w:w="1280" w:type="dxa"/>
            <w:vAlign w:val="bottom"/>
          </w:tcPr>
          <w:p>
            <w:pPr>
              <w:spacing w:after="0"/>
              <w:rPr>
                <w:sz w:val="20"/>
                <w:szCs w:val="20"/>
                <w:color w:val="auto"/>
              </w:rPr>
            </w:pPr>
            <w:r>
              <w:rPr>
                <w:rFonts w:ascii="Arial" w:cs="Arial" w:eastAsia="Arial" w:hAnsi="Arial"/>
                <w:sz w:val="15"/>
                <w:szCs w:val="15"/>
                <w:color w:val="auto"/>
              </w:rPr>
              <w:t>Corporate</w:t>
            </w:r>
          </w:p>
        </w:tc>
        <w:tc>
          <w:tcPr>
            <w:tcW w:w="260" w:type="dxa"/>
            <w:vAlign w:val="bottom"/>
          </w:tcPr>
          <w:p>
            <w:pPr>
              <w:spacing w:after="0"/>
              <w:rPr>
                <w:sz w:val="18"/>
                <w:szCs w:val="18"/>
                <w:color w:val="auto"/>
              </w:rPr>
            </w:pP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Pr>
          <w:p>
            <w:pPr>
              <w:spacing w:after="0"/>
              <w:rPr>
                <w:sz w:val="18"/>
                <w:szCs w:val="18"/>
                <w:color w:val="auto"/>
              </w:rPr>
            </w:pPr>
          </w:p>
        </w:tc>
        <w:tc>
          <w:tcPr>
            <w:tcW w:w="660" w:type="dxa"/>
            <w:vAlign w:val="bottom"/>
          </w:tcPr>
          <w:p>
            <w:pPr>
              <w:jc w:val="right"/>
              <w:ind w:right="85"/>
              <w:spacing w:after="0"/>
              <w:rPr>
                <w:sz w:val="20"/>
                <w:szCs w:val="20"/>
                <w:color w:val="auto"/>
              </w:rPr>
            </w:pPr>
            <w:r>
              <w:rPr>
                <w:rFonts w:ascii="Arial" w:cs="Arial" w:eastAsia="Arial" w:hAnsi="Arial"/>
                <w:sz w:val="15"/>
                <w:szCs w:val="15"/>
                <w:color w:val="auto"/>
              </w:rPr>
              <w:t>18,977</w:t>
            </w:r>
          </w:p>
        </w:tc>
        <w:tc>
          <w:tcPr>
            <w:tcW w:w="600" w:type="dxa"/>
            <w:vAlign w:val="bottom"/>
          </w:tcPr>
          <w:p>
            <w:pPr>
              <w:jc w:val="right"/>
              <w:spacing w:after="0"/>
              <w:rPr>
                <w:sz w:val="20"/>
                <w:szCs w:val="20"/>
                <w:color w:val="auto"/>
              </w:rPr>
            </w:pPr>
            <w:r>
              <w:rPr>
                <w:rFonts w:ascii="Arial" w:cs="Arial" w:eastAsia="Arial" w:hAnsi="Arial"/>
                <w:sz w:val="15"/>
                <w:szCs w:val="15"/>
                <w:color w:val="auto"/>
              </w:rPr>
              <w:t>5.61%</w:t>
            </w:r>
          </w:p>
        </w:tc>
        <w:tc>
          <w:tcPr>
            <w:tcW w:w="220" w:type="dxa"/>
            <w:vAlign w:val="bottom"/>
          </w:tcPr>
          <w:p>
            <w:pPr>
              <w:spacing w:after="0"/>
              <w:rPr>
                <w:sz w:val="18"/>
                <w:szCs w:val="18"/>
                <w:color w:val="auto"/>
              </w:rPr>
            </w:pP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6,553</w:t>
            </w:r>
          </w:p>
        </w:tc>
        <w:tc>
          <w:tcPr>
            <w:tcW w:w="620" w:type="dxa"/>
            <w:vAlign w:val="bottom"/>
          </w:tcPr>
          <w:p>
            <w:pPr>
              <w:jc w:val="right"/>
              <w:spacing w:after="0"/>
              <w:rPr>
                <w:sz w:val="20"/>
                <w:szCs w:val="20"/>
                <w:color w:val="auto"/>
              </w:rPr>
            </w:pPr>
            <w:r>
              <w:rPr>
                <w:rFonts w:ascii="Arial" w:cs="Arial" w:eastAsia="Arial" w:hAnsi="Arial"/>
                <w:sz w:val="15"/>
                <w:szCs w:val="15"/>
                <w:color w:val="auto"/>
              </w:rPr>
              <w:t>6.86%</w:t>
            </w:r>
          </w:p>
        </w:tc>
        <w:tc>
          <w:tcPr>
            <w:tcW w:w="200" w:type="dxa"/>
            <w:vAlign w:val="bottom"/>
          </w:tcPr>
          <w:p>
            <w:pPr>
              <w:spacing w:after="0"/>
              <w:rPr>
                <w:sz w:val="18"/>
                <w:szCs w:val="18"/>
                <w:color w:val="auto"/>
              </w:rPr>
            </w:pPr>
          </w:p>
        </w:tc>
        <w:tc>
          <w:tcPr>
            <w:tcW w:w="6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0.00%</w:t>
            </w:r>
          </w:p>
        </w:tc>
        <w:tc>
          <w:tcPr>
            <w:tcW w:w="180" w:type="dxa"/>
            <w:vAlign w:val="bottom"/>
          </w:tcPr>
          <w:p>
            <w:pPr>
              <w:spacing w:after="0"/>
              <w:rPr>
                <w:sz w:val="18"/>
                <w:szCs w:val="18"/>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25,530</w:t>
            </w:r>
          </w:p>
        </w:tc>
        <w:tc>
          <w:tcPr>
            <w:tcW w:w="180" w:type="dxa"/>
            <w:vAlign w:val="bottom"/>
          </w:tcPr>
          <w:p>
            <w:pPr>
              <w:spacing w:after="0"/>
              <w:rPr>
                <w:sz w:val="18"/>
                <w:szCs w:val="18"/>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24,199</w:t>
            </w:r>
          </w:p>
        </w:tc>
        <w:tc>
          <w:tcPr>
            <w:tcW w:w="560" w:type="dxa"/>
            <w:vAlign w:val="bottom"/>
          </w:tcPr>
          <w:p>
            <w:pPr>
              <w:jc w:val="right"/>
              <w:spacing w:after="0"/>
              <w:rPr>
                <w:sz w:val="20"/>
                <w:szCs w:val="20"/>
                <w:color w:val="auto"/>
              </w:rPr>
            </w:pPr>
            <w:r>
              <w:rPr>
                <w:rFonts w:ascii="Arial" w:cs="Arial" w:eastAsia="Arial" w:hAnsi="Arial"/>
                <w:sz w:val="15"/>
                <w:szCs w:val="15"/>
                <w:color w:val="auto"/>
              </w:rPr>
              <w:t>5.93%</w:t>
            </w:r>
          </w:p>
        </w:tc>
      </w:tr>
      <w:tr>
        <w:trPr>
          <w:trHeight w:val="30"/>
        </w:trPr>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0"/>
        </w:trPr>
        <w:tc>
          <w:tcPr>
            <w:tcW w:w="1280" w:type="dxa"/>
            <w:vAlign w:val="bottom"/>
            <w:shd w:val="clear" w:color="auto" w:fill="CFF0FC"/>
          </w:tcPr>
          <w:p>
            <w:pPr>
              <w:spacing w:after="0"/>
              <w:rPr>
                <w:sz w:val="20"/>
                <w:szCs w:val="20"/>
                <w:color w:val="auto"/>
              </w:rPr>
            </w:pPr>
            <w:r>
              <w:rPr>
                <w:rFonts w:ascii="Arial" w:cs="Arial" w:eastAsia="Arial" w:hAnsi="Arial"/>
                <w:sz w:val="15"/>
                <w:szCs w:val="15"/>
                <w:color w:val="auto"/>
              </w:rPr>
              <w:t>Asset backed</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45"/>
        </w:trPr>
        <w:tc>
          <w:tcPr>
            <w:tcW w:w="1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securities</w:t>
            </w:r>
          </w:p>
        </w:tc>
        <w:tc>
          <w:tcPr>
            <w:tcW w:w="2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2,080</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3.84%</w:t>
            </w:r>
          </w:p>
        </w:tc>
        <w:tc>
          <w:tcPr>
            <w:tcW w:w="2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416</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5.61%</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12,568</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4.78%</w:t>
            </w:r>
          </w:p>
        </w:tc>
        <w:tc>
          <w:tcPr>
            <w:tcW w:w="1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15,064</w:t>
            </w:r>
          </w:p>
        </w:tc>
        <w:tc>
          <w:tcPr>
            <w:tcW w:w="1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14,206</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4.67%</w:t>
            </w:r>
          </w:p>
        </w:tc>
      </w:tr>
      <w:tr>
        <w:trPr>
          <w:trHeight w:val="210"/>
        </w:trPr>
        <w:tc>
          <w:tcPr>
            <w:tcW w:w="1280" w:type="dxa"/>
            <w:vAlign w:val="bottom"/>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427</w:t>
            </w:r>
          </w:p>
        </w:tc>
        <w:tc>
          <w:tcPr>
            <w:tcW w:w="620" w:type="dxa"/>
            <w:vAlign w:val="bottom"/>
          </w:tcPr>
          <w:p>
            <w:pPr>
              <w:jc w:val="right"/>
              <w:spacing w:after="0"/>
              <w:rPr>
                <w:sz w:val="20"/>
                <w:szCs w:val="20"/>
                <w:color w:val="auto"/>
              </w:rPr>
            </w:pPr>
            <w:r>
              <w:rPr>
                <w:rFonts w:ascii="Arial" w:cs="Arial" w:eastAsia="Arial" w:hAnsi="Arial"/>
                <w:sz w:val="15"/>
                <w:szCs w:val="15"/>
                <w:color w:val="auto"/>
              </w:rPr>
              <w:t>3.25%</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85"/>
              <w:spacing w:after="0"/>
              <w:rPr>
                <w:sz w:val="20"/>
                <w:szCs w:val="20"/>
                <w:color w:val="auto"/>
              </w:rPr>
            </w:pPr>
            <w:r>
              <w:rPr>
                <w:rFonts w:ascii="Arial" w:cs="Arial" w:eastAsia="Arial" w:hAnsi="Arial"/>
                <w:sz w:val="15"/>
                <w:szCs w:val="15"/>
                <w:color w:val="auto"/>
              </w:rPr>
              <w:t>28,299</w:t>
            </w:r>
          </w:p>
        </w:tc>
        <w:tc>
          <w:tcPr>
            <w:tcW w:w="600" w:type="dxa"/>
            <w:vAlign w:val="bottom"/>
          </w:tcPr>
          <w:p>
            <w:pPr>
              <w:jc w:val="right"/>
              <w:spacing w:after="0"/>
              <w:rPr>
                <w:sz w:val="20"/>
                <w:szCs w:val="20"/>
                <w:color w:val="auto"/>
              </w:rPr>
            </w:pPr>
            <w:r>
              <w:rPr>
                <w:rFonts w:ascii="Arial" w:cs="Arial" w:eastAsia="Arial" w:hAnsi="Arial"/>
                <w:sz w:val="15"/>
                <w:szCs w:val="15"/>
                <w:color w:val="auto"/>
              </w:rPr>
              <w:t>4.73%</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13,736</w:t>
            </w:r>
          </w:p>
        </w:tc>
        <w:tc>
          <w:tcPr>
            <w:tcW w:w="620" w:type="dxa"/>
            <w:vAlign w:val="bottom"/>
          </w:tcPr>
          <w:p>
            <w:pPr>
              <w:jc w:val="right"/>
              <w:spacing w:after="0"/>
              <w:rPr>
                <w:sz w:val="20"/>
                <w:szCs w:val="20"/>
                <w:color w:val="auto"/>
              </w:rPr>
            </w:pPr>
            <w:r>
              <w:rPr>
                <w:rFonts w:ascii="Arial" w:cs="Arial" w:eastAsia="Arial" w:hAnsi="Arial"/>
                <w:sz w:val="15"/>
                <w:szCs w:val="15"/>
                <w:color w:val="auto"/>
              </w:rPr>
              <w:t>4.61%</w:t>
            </w:r>
          </w:p>
        </w:tc>
        <w:tc>
          <w:tcPr>
            <w:tcW w:w="2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85"/>
              <w:spacing w:after="0"/>
              <w:rPr>
                <w:sz w:val="20"/>
                <w:szCs w:val="20"/>
                <w:color w:val="auto"/>
              </w:rPr>
            </w:pPr>
            <w:r>
              <w:rPr>
                <w:rFonts w:ascii="Arial" w:cs="Arial" w:eastAsia="Arial" w:hAnsi="Arial"/>
                <w:sz w:val="15"/>
                <w:szCs w:val="15"/>
                <w:color w:val="auto"/>
              </w:rPr>
              <w:t>16,285</w:t>
            </w:r>
          </w:p>
        </w:tc>
        <w:tc>
          <w:tcPr>
            <w:tcW w:w="600" w:type="dxa"/>
            <w:vAlign w:val="bottom"/>
          </w:tcPr>
          <w:p>
            <w:pPr>
              <w:jc w:val="right"/>
              <w:spacing w:after="0"/>
              <w:rPr>
                <w:sz w:val="20"/>
                <w:szCs w:val="20"/>
                <w:color w:val="auto"/>
              </w:rPr>
            </w:pPr>
            <w:r>
              <w:rPr>
                <w:rFonts w:ascii="Arial" w:cs="Arial" w:eastAsia="Arial" w:hAnsi="Arial"/>
                <w:sz w:val="15"/>
                <w:szCs w:val="15"/>
                <w:color w:val="auto"/>
              </w:rPr>
              <w:t>4.27%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58,747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55,177</w:t>
            </w:r>
          </w:p>
        </w:tc>
        <w:tc>
          <w:tcPr>
            <w:tcW w:w="560" w:type="dxa"/>
            <w:vAlign w:val="bottom"/>
          </w:tcPr>
          <w:p>
            <w:pPr>
              <w:jc w:val="right"/>
              <w:spacing w:after="0"/>
              <w:rPr>
                <w:sz w:val="20"/>
                <w:szCs w:val="20"/>
                <w:color w:val="auto"/>
              </w:rPr>
            </w:pPr>
            <w:r>
              <w:rPr>
                <w:rFonts w:ascii="Arial" w:cs="Arial" w:eastAsia="Arial" w:hAnsi="Arial"/>
                <w:sz w:val="15"/>
                <w:szCs w:val="15"/>
                <w:color w:val="auto"/>
              </w:rPr>
              <w:t>4.58%</w:t>
            </w:r>
          </w:p>
        </w:tc>
      </w:tr>
      <w:tr>
        <w:trPr>
          <w:trHeight w:val="40"/>
        </w:trPr>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12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Mortgage-backed</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35"/>
        </w:trPr>
        <w:tc>
          <w:tcPr>
            <w:tcW w:w="1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securities:</w:t>
            </w:r>
          </w:p>
        </w:tc>
        <w:tc>
          <w:tcPr>
            <w:tcW w:w="2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5"/>
                <w:szCs w:val="15"/>
                <w:color w:val="auto"/>
              </w:rPr>
              <w:t>Residential</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5"/>
        </w:trPr>
        <w:tc>
          <w:tcPr>
            <w:tcW w:w="1280" w:type="dxa"/>
            <w:vAlign w:val="bottom"/>
          </w:tcPr>
          <w:p>
            <w:pPr>
              <w:spacing w:after="0"/>
              <w:rPr>
                <w:sz w:val="20"/>
                <w:szCs w:val="20"/>
                <w:color w:val="auto"/>
              </w:rPr>
            </w:pPr>
            <w:r>
              <w:rPr>
                <w:rFonts w:ascii="Arial" w:cs="Arial" w:eastAsia="Arial" w:hAnsi="Arial"/>
                <w:sz w:val="15"/>
                <w:szCs w:val="15"/>
                <w:color w:val="auto"/>
              </w:rPr>
              <w:t>mortgage-backed -</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1280" w:type="dxa"/>
            <w:vAlign w:val="bottom"/>
          </w:tcPr>
          <w:p>
            <w:pPr>
              <w:spacing w:after="0"/>
              <w:rPr>
                <w:sz w:val="20"/>
                <w:szCs w:val="20"/>
                <w:color w:val="auto"/>
              </w:rPr>
            </w:pPr>
            <w:r>
              <w:rPr>
                <w:rFonts w:ascii="Arial" w:cs="Arial" w:eastAsia="Arial" w:hAnsi="Arial"/>
                <w:sz w:val="15"/>
                <w:szCs w:val="15"/>
                <w:color w:val="auto"/>
              </w:rPr>
              <w:t>US agency</w:t>
            </w:r>
          </w:p>
        </w:tc>
        <w:tc>
          <w:tcPr>
            <w:tcW w:w="2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9</w:t>
            </w:r>
          </w:p>
        </w:tc>
        <w:tc>
          <w:tcPr>
            <w:tcW w:w="620" w:type="dxa"/>
            <w:vAlign w:val="bottom"/>
          </w:tcPr>
          <w:p>
            <w:pPr>
              <w:jc w:val="right"/>
              <w:spacing w:after="0"/>
              <w:rPr>
                <w:sz w:val="20"/>
                <w:szCs w:val="20"/>
                <w:color w:val="auto"/>
              </w:rPr>
            </w:pPr>
            <w:r>
              <w:rPr>
                <w:rFonts w:ascii="Arial" w:cs="Arial" w:eastAsia="Arial" w:hAnsi="Arial"/>
                <w:sz w:val="15"/>
                <w:szCs w:val="15"/>
                <w:color w:val="auto"/>
              </w:rPr>
              <w:t>6.62%</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6,526</w:t>
            </w:r>
          </w:p>
        </w:tc>
        <w:tc>
          <w:tcPr>
            <w:tcW w:w="620" w:type="dxa"/>
            <w:vAlign w:val="bottom"/>
          </w:tcPr>
          <w:p>
            <w:pPr>
              <w:jc w:val="right"/>
              <w:spacing w:after="0"/>
              <w:rPr>
                <w:sz w:val="20"/>
                <w:szCs w:val="20"/>
                <w:color w:val="auto"/>
              </w:rPr>
            </w:pPr>
            <w:r>
              <w:rPr>
                <w:rFonts w:ascii="Arial" w:cs="Arial" w:eastAsia="Arial" w:hAnsi="Arial"/>
                <w:sz w:val="15"/>
                <w:szCs w:val="15"/>
                <w:color w:val="auto"/>
              </w:rPr>
              <w:t>3.46%</w:t>
            </w:r>
          </w:p>
        </w:tc>
        <w:tc>
          <w:tcPr>
            <w:tcW w:w="2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85"/>
              <w:spacing w:after="0"/>
              <w:rPr>
                <w:sz w:val="20"/>
                <w:szCs w:val="20"/>
                <w:color w:val="auto"/>
              </w:rPr>
            </w:pPr>
            <w:r>
              <w:rPr>
                <w:rFonts w:ascii="Arial" w:cs="Arial" w:eastAsia="Arial" w:hAnsi="Arial"/>
                <w:sz w:val="15"/>
                <w:szCs w:val="15"/>
                <w:color w:val="auto"/>
              </w:rPr>
              <w:t>1,105</w:t>
            </w:r>
          </w:p>
        </w:tc>
        <w:tc>
          <w:tcPr>
            <w:tcW w:w="600" w:type="dxa"/>
            <w:vAlign w:val="bottom"/>
          </w:tcPr>
          <w:p>
            <w:pPr>
              <w:jc w:val="right"/>
              <w:spacing w:after="0"/>
              <w:rPr>
                <w:sz w:val="20"/>
                <w:szCs w:val="20"/>
                <w:color w:val="auto"/>
              </w:rPr>
            </w:pPr>
            <w:r>
              <w:rPr>
                <w:rFonts w:ascii="Arial" w:cs="Arial" w:eastAsia="Arial" w:hAnsi="Arial"/>
                <w:sz w:val="15"/>
                <w:szCs w:val="15"/>
                <w:color w:val="auto"/>
              </w:rPr>
              <w:t>6.04%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7,640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7,311</w:t>
            </w:r>
          </w:p>
        </w:tc>
        <w:tc>
          <w:tcPr>
            <w:tcW w:w="560" w:type="dxa"/>
            <w:vAlign w:val="bottom"/>
          </w:tcPr>
          <w:p>
            <w:pPr>
              <w:jc w:val="right"/>
              <w:spacing w:after="0"/>
              <w:rPr>
                <w:sz w:val="20"/>
                <w:szCs w:val="20"/>
                <w:color w:val="auto"/>
              </w:rPr>
            </w:pPr>
            <w:r>
              <w:rPr>
                <w:rFonts w:ascii="Arial" w:cs="Arial" w:eastAsia="Arial" w:hAnsi="Arial"/>
                <w:sz w:val="15"/>
                <w:szCs w:val="15"/>
                <w:color w:val="auto"/>
              </w:rPr>
              <w:t>3.84%</w:t>
            </w:r>
          </w:p>
        </w:tc>
      </w:tr>
      <w:tr>
        <w:trPr>
          <w:trHeight w:val="30"/>
        </w:trPr>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0"/>
        </w:trPr>
        <w:tc>
          <w:tcPr>
            <w:tcW w:w="1280" w:type="dxa"/>
            <w:vAlign w:val="bottom"/>
            <w:shd w:val="clear" w:color="auto" w:fill="CFF0FC"/>
          </w:tcPr>
          <w:p>
            <w:pPr>
              <w:spacing w:after="0"/>
              <w:rPr>
                <w:sz w:val="20"/>
                <w:szCs w:val="20"/>
                <w:color w:val="auto"/>
              </w:rPr>
            </w:pPr>
            <w:r>
              <w:rPr>
                <w:rFonts w:ascii="Arial" w:cs="Arial" w:eastAsia="Arial" w:hAnsi="Arial"/>
                <w:sz w:val="15"/>
                <w:szCs w:val="15"/>
                <w:color w:val="auto"/>
              </w:rPr>
              <w:t>Collateralized</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25"/>
        </w:trPr>
        <w:tc>
          <w:tcPr>
            <w:tcW w:w="1280" w:type="dxa"/>
            <w:vAlign w:val="bottom"/>
            <w:shd w:val="clear" w:color="auto" w:fill="CFF0FC"/>
          </w:tcPr>
          <w:p>
            <w:pPr>
              <w:spacing w:after="0"/>
              <w:rPr>
                <w:sz w:val="20"/>
                <w:szCs w:val="20"/>
                <w:color w:val="auto"/>
              </w:rPr>
            </w:pPr>
            <w:r>
              <w:rPr>
                <w:rFonts w:ascii="Arial" w:cs="Arial" w:eastAsia="Arial" w:hAnsi="Arial"/>
                <w:sz w:val="15"/>
                <w:szCs w:val="15"/>
                <w:color w:val="auto"/>
              </w:rPr>
              <w:t>mortgage</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25"/>
        </w:trPr>
        <w:tc>
          <w:tcPr>
            <w:tcW w:w="1280" w:type="dxa"/>
            <w:vAlign w:val="bottom"/>
            <w:shd w:val="clear" w:color="auto" w:fill="CFF0FC"/>
          </w:tcPr>
          <w:p>
            <w:pPr>
              <w:spacing w:after="0"/>
              <w:rPr>
                <w:sz w:val="20"/>
                <w:szCs w:val="20"/>
                <w:color w:val="auto"/>
              </w:rPr>
            </w:pPr>
            <w:r>
              <w:rPr>
                <w:rFonts w:ascii="Arial" w:cs="Arial" w:eastAsia="Arial" w:hAnsi="Arial"/>
                <w:sz w:val="15"/>
                <w:szCs w:val="15"/>
                <w:color w:val="auto"/>
              </w:rPr>
              <w:t>obligations - US</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35"/>
        </w:trPr>
        <w:tc>
          <w:tcPr>
            <w:tcW w:w="1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agency</w:t>
            </w:r>
          </w:p>
        </w:tc>
        <w:tc>
          <w:tcPr>
            <w:tcW w:w="2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w:t>
            </w: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4,463</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2.74%</w:t>
            </w: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0.00%</w:t>
            </w: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5,572</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2.62%</w:t>
            </w: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10,035</w:t>
            </w: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9,124</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2.67%</w:t>
            </w:r>
          </w:p>
        </w:tc>
      </w:tr>
      <w:tr>
        <w:trPr>
          <w:trHeight w:val="210"/>
        </w:trPr>
        <w:tc>
          <w:tcPr>
            <w:tcW w:w="1280" w:type="dxa"/>
            <w:vAlign w:val="bottom"/>
          </w:tcPr>
          <w:p>
            <w:pPr>
              <w:spacing w:after="0"/>
              <w:rPr>
                <w:sz w:val="20"/>
                <w:szCs w:val="20"/>
                <w:color w:val="auto"/>
              </w:rPr>
            </w:pPr>
            <w:r>
              <w:rPr>
                <w:rFonts w:ascii="Arial" w:cs="Arial" w:eastAsia="Arial" w:hAnsi="Arial"/>
                <w:sz w:val="15"/>
                <w:szCs w:val="15"/>
                <w:color w:val="auto"/>
              </w:rPr>
              <w:t>Collateralized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5"/>
        </w:trPr>
        <w:tc>
          <w:tcPr>
            <w:tcW w:w="1280" w:type="dxa"/>
            <w:vAlign w:val="bottom"/>
          </w:tcPr>
          <w:p>
            <w:pPr>
              <w:spacing w:after="0"/>
              <w:rPr>
                <w:sz w:val="20"/>
                <w:szCs w:val="20"/>
                <w:color w:val="auto"/>
              </w:rPr>
            </w:pPr>
            <w:r>
              <w:rPr>
                <w:rFonts w:ascii="Arial" w:cs="Arial" w:eastAsia="Arial" w:hAnsi="Arial"/>
                <w:sz w:val="15"/>
                <w:szCs w:val="15"/>
                <w:color w:val="auto"/>
              </w:rPr>
              <w:t>mortgage</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1280" w:type="dxa"/>
            <w:vAlign w:val="bottom"/>
          </w:tcPr>
          <w:p>
            <w:pPr>
              <w:spacing w:after="0"/>
              <w:rPr>
                <w:sz w:val="20"/>
                <w:szCs w:val="20"/>
                <w:color w:val="auto"/>
              </w:rPr>
            </w:pPr>
            <w:r>
              <w:rPr>
                <w:rFonts w:ascii="Arial" w:cs="Arial" w:eastAsia="Arial" w:hAnsi="Arial"/>
                <w:sz w:val="15"/>
                <w:szCs w:val="15"/>
                <w:color w:val="auto"/>
                <w:w w:val="95"/>
              </w:rPr>
              <w:t>obligations - Private</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1280" w:type="dxa"/>
            <w:vAlign w:val="bottom"/>
          </w:tcPr>
          <w:p>
            <w:pPr>
              <w:spacing w:after="0"/>
              <w:rPr>
                <w:sz w:val="20"/>
                <w:szCs w:val="20"/>
                <w:color w:val="auto"/>
              </w:rPr>
            </w:pPr>
            <w:r>
              <w:rPr>
                <w:rFonts w:ascii="Arial" w:cs="Arial" w:eastAsia="Arial" w:hAnsi="Arial"/>
                <w:sz w:val="15"/>
                <w:szCs w:val="15"/>
                <w:color w:val="auto"/>
              </w:rPr>
              <w:t>label</w:t>
            </w:r>
          </w:p>
        </w:tc>
        <w:tc>
          <w:tcPr>
            <w:tcW w:w="260" w:type="dxa"/>
            <w:vAlign w:val="bottom"/>
          </w:tcPr>
          <w:p>
            <w:pPr>
              <w:spacing w:after="0"/>
              <w:rPr>
                <w:sz w:val="19"/>
                <w:szCs w:val="19"/>
                <w:color w:val="auto"/>
              </w:rPr>
            </w:pP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9,559</w:t>
            </w:r>
          </w:p>
        </w:tc>
        <w:tc>
          <w:tcPr>
            <w:tcW w:w="620" w:type="dxa"/>
            <w:vAlign w:val="bottom"/>
          </w:tcPr>
          <w:p>
            <w:pPr>
              <w:jc w:val="right"/>
              <w:spacing w:after="0"/>
              <w:rPr>
                <w:sz w:val="20"/>
                <w:szCs w:val="20"/>
                <w:color w:val="auto"/>
              </w:rPr>
            </w:pPr>
            <w:r>
              <w:rPr>
                <w:rFonts w:ascii="Arial" w:cs="Arial" w:eastAsia="Arial" w:hAnsi="Arial"/>
                <w:sz w:val="15"/>
                <w:szCs w:val="15"/>
                <w:color w:val="auto"/>
              </w:rPr>
              <w:t>3.18%</w:t>
            </w:r>
          </w:p>
        </w:tc>
        <w:tc>
          <w:tcPr>
            <w:tcW w:w="220" w:type="dxa"/>
            <w:vAlign w:val="bottom"/>
          </w:tcPr>
          <w:p>
            <w:pPr>
              <w:spacing w:after="0"/>
              <w:rPr>
                <w:sz w:val="19"/>
                <w:szCs w:val="19"/>
                <w:color w:val="auto"/>
              </w:rPr>
            </w:pPr>
          </w:p>
        </w:tc>
        <w:tc>
          <w:tcPr>
            <w:tcW w:w="660" w:type="dxa"/>
            <w:vAlign w:val="bottom"/>
          </w:tcPr>
          <w:p>
            <w:pPr>
              <w:jc w:val="right"/>
              <w:ind w:right="85"/>
              <w:spacing w:after="0"/>
              <w:rPr>
                <w:sz w:val="20"/>
                <w:szCs w:val="20"/>
                <w:color w:val="auto"/>
              </w:rPr>
            </w:pPr>
            <w:r>
              <w:rPr>
                <w:rFonts w:ascii="Arial" w:cs="Arial" w:eastAsia="Arial" w:hAnsi="Arial"/>
                <w:sz w:val="15"/>
                <w:szCs w:val="15"/>
                <w:color w:val="auto"/>
              </w:rPr>
              <w:t>12,994</w:t>
            </w:r>
          </w:p>
        </w:tc>
        <w:tc>
          <w:tcPr>
            <w:tcW w:w="600" w:type="dxa"/>
            <w:vAlign w:val="bottom"/>
          </w:tcPr>
          <w:p>
            <w:pPr>
              <w:jc w:val="right"/>
              <w:spacing w:after="0"/>
              <w:rPr>
                <w:sz w:val="20"/>
                <w:szCs w:val="20"/>
                <w:color w:val="auto"/>
              </w:rPr>
            </w:pPr>
            <w:r>
              <w:rPr>
                <w:rFonts w:ascii="Arial" w:cs="Arial" w:eastAsia="Arial" w:hAnsi="Arial"/>
                <w:sz w:val="15"/>
                <w:szCs w:val="15"/>
                <w:color w:val="auto"/>
              </w:rPr>
              <w:t>6.65%</w:t>
            </w:r>
          </w:p>
        </w:tc>
        <w:tc>
          <w:tcPr>
            <w:tcW w:w="220" w:type="dxa"/>
            <w:vAlign w:val="bottom"/>
          </w:tcPr>
          <w:p>
            <w:pPr>
              <w:spacing w:after="0"/>
              <w:rPr>
                <w:sz w:val="19"/>
                <w:szCs w:val="19"/>
                <w:color w:val="auto"/>
              </w:rPr>
            </w:pP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2,106</w:t>
            </w:r>
          </w:p>
        </w:tc>
        <w:tc>
          <w:tcPr>
            <w:tcW w:w="620" w:type="dxa"/>
            <w:vAlign w:val="bottom"/>
          </w:tcPr>
          <w:p>
            <w:pPr>
              <w:jc w:val="right"/>
              <w:spacing w:after="0"/>
              <w:rPr>
                <w:sz w:val="20"/>
                <w:szCs w:val="20"/>
                <w:color w:val="auto"/>
              </w:rPr>
            </w:pPr>
            <w:r>
              <w:rPr>
                <w:rFonts w:ascii="Arial" w:cs="Arial" w:eastAsia="Arial" w:hAnsi="Arial"/>
                <w:sz w:val="15"/>
                <w:szCs w:val="15"/>
                <w:color w:val="auto"/>
              </w:rPr>
              <w:t>5.85%</w:t>
            </w:r>
          </w:p>
        </w:tc>
        <w:tc>
          <w:tcPr>
            <w:tcW w:w="200" w:type="dxa"/>
            <w:vAlign w:val="bottom"/>
          </w:tcPr>
          <w:p>
            <w:pPr>
              <w:spacing w:after="0"/>
              <w:rPr>
                <w:sz w:val="19"/>
                <w:szCs w:val="19"/>
                <w:color w:val="auto"/>
              </w:rPr>
            </w:pPr>
          </w:p>
        </w:tc>
        <w:tc>
          <w:tcPr>
            <w:tcW w:w="680" w:type="dxa"/>
            <w:vAlign w:val="bottom"/>
          </w:tcPr>
          <w:p>
            <w:pPr>
              <w:jc w:val="right"/>
              <w:ind w:right="85"/>
              <w:spacing w:after="0"/>
              <w:rPr>
                <w:sz w:val="20"/>
                <w:szCs w:val="20"/>
                <w:color w:val="auto"/>
              </w:rPr>
            </w:pPr>
            <w:r>
              <w:rPr>
                <w:rFonts w:ascii="Arial" w:cs="Arial" w:eastAsia="Arial" w:hAnsi="Arial"/>
                <w:sz w:val="15"/>
                <w:szCs w:val="15"/>
                <w:color w:val="auto"/>
              </w:rPr>
              <w:t>29,419</w:t>
            </w:r>
          </w:p>
        </w:tc>
        <w:tc>
          <w:tcPr>
            <w:tcW w:w="600" w:type="dxa"/>
            <w:vAlign w:val="bottom"/>
          </w:tcPr>
          <w:p>
            <w:pPr>
              <w:jc w:val="right"/>
              <w:spacing w:after="0"/>
              <w:rPr>
                <w:sz w:val="20"/>
                <w:szCs w:val="20"/>
                <w:color w:val="auto"/>
              </w:rPr>
            </w:pPr>
            <w:r>
              <w:rPr>
                <w:rFonts w:ascii="Arial" w:cs="Arial" w:eastAsia="Arial" w:hAnsi="Arial"/>
                <w:sz w:val="15"/>
                <w:szCs w:val="15"/>
                <w:color w:val="auto"/>
              </w:rPr>
              <w:t>3.99%</w:t>
            </w:r>
          </w:p>
        </w:tc>
        <w:tc>
          <w:tcPr>
            <w:tcW w:w="180" w:type="dxa"/>
            <w:vAlign w:val="bottom"/>
          </w:tcPr>
          <w:p>
            <w:pPr>
              <w:spacing w:after="0"/>
              <w:rPr>
                <w:sz w:val="19"/>
                <w:szCs w:val="19"/>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54,078</w:t>
            </w:r>
          </w:p>
        </w:tc>
        <w:tc>
          <w:tcPr>
            <w:tcW w:w="180" w:type="dxa"/>
            <w:vAlign w:val="bottom"/>
          </w:tcPr>
          <w:p>
            <w:pPr>
              <w:spacing w:after="0"/>
              <w:rPr>
                <w:sz w:val="19"/>
                <w:szCs w:val="19"/>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53,586</w:t>
            </w:r>
          </w:p>
        </w:tc>
        <w:tc>
          <w:tcPr>
            <w:tcW w:w="560" w:type="dxa"/>
            <w:vAlign w:val="bottom"/>
          </w:tcPr>
          <w:p>
            <w:pPr>
              <w:jc w:val="right"/>
              <w:spacing w:after="0"/>
              <w:rPr>
                <w:sz w:val="20"/>
                <w:szCs w:val="20"/>
                <w:color w:val="auto"/>
              </w:rPr>
            </w:pPr>
            <w:r>
              <w:rPr>
                <w:rFonts w:ascii="Arial" w:cs="Arial" w:eastAsia="Arial" w:hAnsi="Arial"/>
                <w:sz w:val="15"/>
                <w:szCs w:val="15"/>
                <w:color w:val="auto"/>
              </w:rPr>
              <w:t>4.56%</w:t>
            </w:r>
          </w:p>
        </w:tc>
      </w:tr>
      <w:tr>
        <w:trPr>
          <w:trHeight w:val="40"/>
        </w:trPr>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9"/>
        </w:trPr>
        <w:tc>
          <w:tcPr>
            <w:tcW w:w="1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9,568</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3.18%</w:t>
            </w:r>
          </w:p>
        </w:tc>
        <w:tc>
          <w:tcPr>
            <w:tcW w:w="2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17,457</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5.65%</w:t>
            </w:r>
          </w:p>
        </w:tc>
        <w:tc>
          <w:tcPr>
            <w:tcW w:w="2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8,632</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4.04%</w:t>
            </w:r>
          </w:p>
        </w:tc>
        <w:tc>
          <w:tcPr>
            <w:tcW w:w="2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rPr>
              <w:t>36,096</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3.84%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71,753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70,021</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4.24%</w:t>
            </w:r>
          </w:p>
        </w:tc>
      </w:tr>
      <w:tr>
        <w:trPr>
          <w:trHeight w:val="210"/>
        </w:trPr>
        <w:tc>
          <w:tcPr>
            <w:tcW w:w="1280" w:type="dxa"/>
            <w:vAlign w:val="bottom"/>
          </w:tcPr>
          <w:p>
            <w:pPr>
              <w:ind w:left="60"/>
              <w:spacing w:after="0"/>
              <w:rPr>
                <w:sz w:val="20"/>
                <w:szCs w:val="20"/>
                <w:color w:val="auto"/>
              </w:rPr>
            </w:pPr>
            <w:r>
              <w:rPr>
                <w:rFonts w:ascii="Arial" w:cs="Arial" w:eastAsia="Arial" w:hAnsi="Arial"/>
                <w:sz w:val="15"/>
                <w:szCs w:val="15"/>
                <w:color w:val="auto"/>
              </w:rPr>
              <w:t>Total investment</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5"/>
        </w:trPr>
        <w:tc>
          <w:tcPr>
            <w:tcW w:w="1280" w:type="dxa"/>
            <w:vAlign w:val="bottom"/>
          </w:tcPr>
          <w:p>
            <w:pPr>
              <w:ind w:left="60"/>
              <w:spacing w:after="0"/>
              <w:rPr>
                <w:sz w:val="20"/>
                <w:szCs w:val="20"/>
                <w:color w:val="auto"/>
              </w:rPr>
            </w:pPr>
            <w:r>
              <w:rPr>
                <w:rFonts w:ascii="Arial" w:cs="Arial" w:eastAsia="Arial" w:hAnsi="Arial"/>
                <w:sz w:val="15"/>
                <w:szCs w:val="15"/>
                <w:color w:val="auto"/>
              </w:rPr>
              <w:t>securities</w:t>
            </w:r>
          </w:p>
        </w:tc>
        <w:tc>
          <w:tcPr>
            <w:tcW w:w="2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9,995</w:t>
            </w:r>
          </w:p>
        </w:tc>
        <w:tc>
          <w:tcPr>
            <w:tcW w:w="620" w:type="dxa"/>
            <w:vAlign w:val="bottom"/>
          </w:tcPr>
          <w:p>
            <w:pPr>
              <w:jc w:val="right"/>
              <w:spacing w:after="0"/>
              <w:rPr>
                <w:sz w:val="20"/>
                <w:szCs w:val="20"/>
                <w:color w:val="auto"/>
              </w:rPr>
            </w:pPr>
            <w:r>
              <w:rPr>
                <w:rFonts w:ascii="Arial" w:cs="Arial" w:eastAsia="Arial" w:hAnsi="Arial"/>
                <w:sz w:val="15"/>
                <w:szCs w:val="15"/>
                <w:color w:val="auto"/>
              </w:rPr>
              <w:t>3.19%</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85"/>
              <w:spacing w:after="0"/>
              <w:rPr>
                <w:sz w:val="20"/>
                <w:szCs w:val="20"/>
                <w:color w:val="auto"/>
              </w:rPr>
            </w:pPr>
            <w:r>
              <w:rPr>
                <w:rFonts w:ascii="Arial" w:cs="Arial" w:eastAsia="Arial" w:hAnsi="Arial"/>
                <w:sz w:val="15"/>
                <w:szCs w:val="15"/>
                <w:color w:val="auto"/>
              </w:rPr>
              <w:t>45,756</w:t>
            </w:r>
          </w:p>
        </w:tc>
        <w:tc>
          <w:tcPr>
            <w:tcW w:w="600" w:type="dxa"/>
            <w:vAlign w:val="bottom"/>
          </w:tcPr>
          <w:p>
            <w:pPr>
              <w:jc w:val="right"/>
              <w:spacing w:after="0"/>
              <w:rPr>
                <w:sz w:val="20"/>
                <w:szCs w:val="20"/>
                <w:color w:val="auto"/>
              </w:rPr>
            </w:pPr>
            <w:r>
              <w:rPr>
                <w:rFonts w:ascii="Arial" w:cs="Arial" w:eastAsia="Arial" w:hAnsi="Arial"/>
                <w:sz w:val="15"/>
                <w:szCs w:val="15"/>
                <w:color w:val="auto"/>
              </w:rPr>
              <w:t>5.08%</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22,368</w:t>
            </w:r>
          </w:p>
        </w:tc>
        <w:tc>
          <w:tcPr>
            <w:tcW w:w="620" w:type="dxa"/>
            <w:vAlign w:val="bottom"/>
          </w:tcPr>
          <w:p>
            <w:pPr>
              <w:jc w:val="right"/>
              <w:spacing w:after="0"/>
              <w:rPr>
                <w:sz w:val="20"/>
                <w:szCs w:val="20"/>
                <w:color w:val="auto"/>
              </w:rPr>
            </w:pPr>
            <w:r>
              <w:rPr>
                <w:rFonts w:ascii="Arial" w:cs="Arial" w:eastAsia="Arial" w:hAnsi="Arial"/>
                <w:sz w:val="15"/>
                <w:szCs w:val="15"/>
                <w:color w:val="auto"/>
              </w:rPr>
              <w:t>4.39%</w:t>
            </w:r>
          </w:p>
        </w:tc>
        <w:tc>
          <w:tcPr>
            <w:tcW w:w="2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85"/>
              <w:spacing w:after="0"/>
              <w:rPr>
                <w:sz w:val="20"/>
                <w:szCs w:val="20"/>
                <w:color w:val="auto"/>
              </w:rPr>
            </w:pPr>
            <w:r>
              <w:rPr>
                <w:rFonts w:ascii="Arial" w:cs="Arial" w:eastAsia="Arial" w:hAnsi="Arial"/>
                <w:sz w:val="15"/>
                <w:szCs w:val="15"/>
                <w:color w:val="auto"/>
              </w:rPr>
              <w:t>52,381</w:t>
            </w:r>
          </w:p>
        </w:tc>
        <w:tc>
          <w:tcPr>
            <w:tcW w:w="600" w:type="dxa"/>
            <w:vAlign w:val="bottom"/>
          </w:tcPr>
          <w:p>
            <w:pPr>
              <w:jc w:val="right"/>
              <w:spacing w:after="0"/>
              <w:rPr>
                <w:sz w:val="20"/>
                <w:szCs w:val="20"/>
                <w:color w:val="auto"/>
              </w:rPr>
            </w:pPr>
            <w:r>
              <w:rPr>
                <w:rFonts w:ascii="Arial" w:cs="Arial" w:eastAsia="Arial" w:hAnsi="Arial"/>
                <w:sz w:val="15"/>
                <w:szCs w:val="15"/>
                <w:color w:val="auto"/>
              </w:rPr>
              <w:t>3.97%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5"/>
              <w:spacing w:after="0"/>
              <w:rPr>
                <w:sz w:val="20"/>
                <w:szCs w:val="20"/>
                <w:color w:val="auto"/>
              </w:rPr>
            </w:pPr>
            <w:r>
              <w:rPr>
                <w:rFonts w:ascii="Arial" w:cs="Arial" w:eastAsia="Arial" w:hAnsi="Arial"/>
                <w:sz w:val="15"/>
                <w:szCs w:val="15"/>
                <w:color w:val="auto"/>
                <w:w w:val="95"/>
              </w:rPr>
              <w:t>130,500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45"/>
              <w:spacing w:after="0"/>
              <w:rPr>
                <w:sz w:val="20"/>
                <w:szCs w:val="20"/>
                <w:color w:val="auto"/>
              </w:rPr>
            </w:pPr>
            <w:r>
              <w:rPr>
                <w:rFonts w:ascii="Arial" w:cs="Arial" w:eastAsia="Arial" w:hAnsi="Arial"/>
                <w:sz w:val="15"/>
                <w:szCs w:val="15"/>
                <w:color w:val="auto"/>
                <w:w w:val="88"/>
              </w:rPr>
              <w:t>125,198</w:t>
            </w:r>
          </w:p>
        </w:tc>
        <w:tc>
          <w:tcPr>
            <w:tcW w:w="560" w:type="dxa"/>
            <w:vAlign w:val="bottom"/>
          </w:tcPr>
          <w:p>
            <w:pPr>
              <w:jc w:val="right"/>
              <w:spacing w:after="0"/>
              <w:rPr>
                <w:sz w:val="20"/>
                <w:szCs w:val="20"/>
                <w:color w:val="auto"/>
              </w:rPr>
            </w:pPr>
            <w:r>
              <w:rPr>
                <w:rFonts w:ascii="Arial" w:cs="Arial" w:eastAsia="Arial" w:hAnsi="Arial"/>
                <w:sz w:val="15"/>
                <w:szCs w:val="15"/>
                <w:color w:val="auto"/>
              </w:rPr>
              <w:t>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-2498725</wp:posOffset>
            </wp:positionV>
            <wp:extent cx="596773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-2340610</wp:posOffset>
            </wp:positionV>
            <wp:extent cx="596773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596773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-281940</wp:posOffset>
            </wp:positionV>
            <wp:extent cx="596773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wp:posOffset>
            </wp:positionV>
            <wp:extent cx="5967730" cy="28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34"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yield information disclosed above does not give effect to changes in fair value that are reflected in accumulated other comprehensive loss in consolidated shareholders’ equity.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18</w:t>
      </w:r>
    </w:p>
    <w:p>
      <w:pPr>
        <w:sectPr>
          <w:pgSz w:w="11900" w:h="16838" w:orient="portrait"/>
          <w:cols w:equalWidth="0" w:num="1">
            <w:col w:w="9400"/>
          </w:cols>
          <w:pgMar w:left="1260" w:top="1133" w:right="1246" w:bottom="0"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Loans Receivable</w:t>
      </w:r>
    </w:p>
    <w:p>
      <w:pPr>
        <w:spacing w:after="0" w:line="200"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Average loans receivable represented 65.9% of the Company’s average interest earning assets in 2025 and accounted for the greatest portion of total interest income.</w:t>
      </w:r>
    </w:p>
    <w:p>
      <w:pPr>
        <w:spacing w:after="0" w:line="141"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The following table sets forth the composition of our loan portfolio, including net deferred costs, in dollar amount and as a percentage of loans.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December 31,</w:t>
            </w: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4"/>
        </w:trPr>
        <w:tc>
          <w:tcPr>
            <w:tcW w:w="304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1140" w:type="dxa"/>
            <w:vAlign w:val="bottom"/>
          </w:tcPr>
          <w:p>
            <w:pPr>
              <w:spacing w:after="0"/>
              <w:rPr>
                <w:sz w:val="22"/>
                <w:szCs w:val="22"/>
                <w:color w:val="auto"/>
              </w:rPr>
            </w:pPr>
          </w:p>
        </w:tc>
        <w:tc>
          <w:tcPr>
            <w:tcW w:w="1460" w:type="dxa"/>
            <w:vAlign w:val="bottom"/>
          </w:tcPr>
          <w:p>
            <w:pPr>
              <w:jc w:val="right"/>
              <w:ind w:right="300"/>
              <w:spacing w:after="0"/>
              <w:rPr>
                <w:sz w:val="20"/>
                <w:szCs w:val="20"/>
                <w:color w:val="auto"/>
              </w:rPr>
            </w:pPr>
            <w:r>
              <w:rPr>
                <w:rFonts w:ascii="Arial" w:cs="Arial" w:eastAsia="Arial" w:hAnsi="Arial"/>
                <w:sz w:val="16"/>
                <w:szCs w:val="16"/>
                <w:color w:val="auto"/>
              </w:rPr>
              <w:t>2025</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tcPr>
          <w:p>
            <w:pPr>
              <w:jc w:val="right"/>
              <w:ind w:right="300"/>
              <w:spacing w:after="0"/>
              <w:rPr>
                <w:sz w:val="20"/>
                <w:szCs w:val="20"/>
                <w:color w:val="auto"/>
              </w:rPr>
            </w:pPr>
            <w:r>
              <w:rPr>
                <w:rFonts w:ascii="Arial" w:cs="Arial" w:eastAsia="Arial" w:hAnsi="Arial"/>
                <w:sz w:val="16"/>
                <w:szCs w:val="16"/>
                <w:color w:val="auto"/>
              </w:rPr>
              <w:t>2024</w:t>
            </w:r>
          </w:p>
        </w:tc>
        <w:tc>
          <w:tcPr>
            <w:tcW w:w="900" w:type="dxa"/>
            <w:vAlign w:val="bottom"/>
          </w:tcPr>
          <w:p>
            <w:pPr>
              <w:spacing w:after="0"/>
              <w:rPr>
                <w:sz w:val="22"/>
                <w:szCs w:val="22"/>
                <w:color w:val="auto"/>
              </w:rPr>
            </w:pPr>
          </w:p>
        </w:tc>
      </w:tr>
      <w:tr>
        <w:trPr>
          <w:trHeight w:val="42"/>
        </w:trPr>
        <w:tc>
          <w:tcPr>
            <w:tcW w:w="3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4"/>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Residential real estate</w:t>
            </w:r>
          </w:p>
        </w:tc>
        <w:tc>
          <w:tcPr>
            <w:tcW w:w="11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16"/>
                <w:szCs w:val="16"/>
                <w:color w:val="auto"/>
              </w:rPr>
              <w:t>240,599</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540" w:type="dxa"/>
            <w:vAlign w:val="bottom"/>
            <w:tcBorders>
              <w:bottom w:val="single" w:sz="8" w:color="CFF0FC"/>
            </w:tcBorders>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16"/>
                <w:szCs w:val="16"/>
                <w:color w:val="auto"/>
              </w:rPr>
              <w:t>255,302</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27.8%</w:t>
            </w:r>
          </w:p>
        </w:tc>
      </w:tr>
      <w:tr>
        <w:trPr>
          <w:trHeight w:val="222"/>
        </w:trPr>
        <w:tc>
          <w:tcPr>
            <w:tcW w:w="3040" w:type="dxa"/>
            <w:vAlign w:val="bottom"/>
          </w:tcPr>
          <w:p>
            <w:pPr>
              <w:spacing w:after="0"/>
              <w:rPr>
                <w:sz w:val="20"/>
                <w:szCs w:val="20"/>
                <w:color w:val="auto"/>
              </w:rPr>
            </w:pPr>
            <w:r>
              <w:rPr>
                <w:rFonts w:ascii="Arial" w:cs="Arial" w:eastAsia="Arial" w:hAnsi="Arial"/>
                <w:sz w:val="16"/>
                <w:szCs w:val="16"/>
                <w:color w:val="auto"/>
              </w:rPr>
              <w:t>Residential real estate held-for-sale</w:t>
            </w:r>
          </w:p>
        </w:tc>
        <w:tc>
          <w:tcPr>
            <w:tcW w:w="1140" w:type="dxa"/>
            <w:vAlign w:val="bottom"/>
          </w:tcPr>
          <w:p>
            <w:pPr>
              <w:spacing w:after="0"/>
              <w:rPr>
                <w:sz w:val="19"/>
                <w:szCs w:val="19"/>
                <w:color w:val="auto"/>
              </w:rPr>
            </w:pPr>
          </w:p>
        </w:tc>
        <w:tc>
          <w:tcPr>
            <w:tcW w:w="1460" w:type="dxa"/>
            <w:vAlign w:val="bottom"/>
          </w:tcPr>
          <w:p>
            <w:pPr>
              <w:jc w:val="right"/>
              <w:ind w:right="5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w:t>
            </w:r>
          </w:p>
        </w:tc>
        <w:tc>
          <w:tcPr>
            <w:tcW w:w="540" w:type="dxa"/>
            <w:vAlign w:val="bottom"/>
          </w:tcPr>
          <w:p>
            <w:pPr>
              <w:spacing w:after="0"/>
              <w:rPr>
                <w:sz w:val="19"/>
                <w:szCs w:val="19"/>
                <w:color w:val="auto"/>
              </w:rPr>
            </w:pPr>
          </w:p>
        </w:tc>
        <w:tc>
          <w:tcPr>
            <w:tcW w:w="1360" w:type="dxa"/>
            <w:vAlign w:val="bottom"/>
          </w:tcPr>
          <w:p>
            <w:pPr>
              <w:jc w:val="right"/>
              <w:ind w:right="5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32"/>
        </w:trPr>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Commercial real estate</w:t>
            </w:r>
          </w:p>
        </w:tc>
        <w:tc>
          <w:tcPr>
            <w:tcW w:w="114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16"/>
                <w:szCs w:val="16"/>
                <w:color w:val="auto"/>
              </w:rPr>
              <w:t>380,124</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42.4%</w:t>
            </w:r>
          </w:p>
        </w:tc>
        <w:tc>
          <w:tcPr>
            <w:tcW w:w="5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16"/>
                <w:szCs w:val="16"/>
                <w:color w:val="auto"/>
              </w:rPr>
              <w:t>377,577</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41.1%</w:t>
            </w:r>
          </w:p>
        </w:tc>
      </w:tr>
      <w:tr>
        <w:trPr>
          <w:trHeight w:val="222"/>
        </w:trPr>
        <w:tc>
          <w:tcPr>
            <w:tcW w:w="3040" w:type="dxa"/>
            <w:vAlign w:val="bottom"/>
          </w:tcPr>
          <w:p>
            <w:pPr>
              <w:spacing w:after="0"/>
              <w:rPr>
                <w:sz w:val="20"/>
                <w:szCs w:val="20"/>
                <w:color w:val="auto"/>
              </w:rPr>
            </w:pPr>
            <w:r>
              <w:rPr>
                <w:rFonts w:ascii="Arial" w:cs="Arial" w:eastAsia="Arial" w:hAnsi="Arial"/>
                <w:sz w:val="16"/>
                <w:szCs w:val="16"/>
                <w:color w:val="auto"/>
              </w:rPr>
              <w:t>Commercial and tax exempt</w:t>
            </w:r>
          </w:p>
        </w:tc>
        <w:tc>
          <w:tcPr>
            <w:tcW w:w="1140" w:type="dxa"/>
            <w:vAlign w:val="bottom"/>
          </w:tcPr>
          <w:p>
            <w:pPr>
              <w:spacing w:after="0"/>
              <w:rPr>
                <w:sz w:val="19"/>
                <w:szCs w:val="19"/>
                <w:color w:val="auto"/>
              </w:rPr>
            </w:pPr>
          </w:p>
        </w:tc>
        <w:tc>
          <w:tcPr>
            <w:tcW w:w="1460" w:type="dxa"/>
            <w:vAlign w:val="bottom"/>
          </w:tcPr>
          <w:p>
            <w:pPr>
              <w:jc w:val="right"/>
              <w:ind w:right="580"/>
              <w:spacing w:after="0"/>
              <w:rPr>
                <w:sz w:val="20"/>
                <w:szCs w:val="20"/>
                <w:color w:val="auto"/>
              </w:rPr>
            </w:pPr>
            <w:r>
              <w:rPr>
                <w:rFonts w:ascii="Arial" w:cs="Arial" w:eastAsia="Arial" w:hAnsi="Arial"/>
                <w:sz w:val="16"/>
                <w:szCs w:val="16"/>
                <w:color w:val="auto"/>
              </w:rPr>
              <w:t>163,360</w:t>
            </w:r>
          </w:p>
        </w:tc>
        <w:tc>
          <w:tcPr>
            <w:tcW w:w="960" w:type="dxa"/>
            <w:vAlign w:val="bottom"/>
          </w:tcPr>
          <w:p>
            <w:pPr>
              <w:jc w:val="right"/>
              <w:spacing w:after="0"/>
              <w:rPr>
                <w:sz w:val="20"/>
                <w:szCs w:val="20"/>
                <w:color w:val="auto"/>
              </w:rPr>
            </w:pPr>
            <w:r>
              <w:rPr>
                <w:rFonts w:ascii="Arial" w:cs="Arial" w:eastAsia="Arial" w:hAnsi="Arial"/>
                <w:sz w:val="16"/>
                <w:szCs w:val="16"/>
                <w:color w:val="auto"/>
              </w:rPr>
              <w:t>18.2%</w:t>
            </w:r>
          </w:p>
        </w:tc>
        <w:tc>
          <w:tcPr>
            <w:tcW w:w="540" w:type="dxa"/>
            <w:vAlign w:val="bottom"/>
          </w:tcPr>
          <w:p>
            <w:pPr>
              <w:spacing w:after="0"/>
              <w:rPr>
                <w:sz w:val="19"/>
                <w:szCs w:val="19"/>
                <w:color w:val="auto"/>
              </w:rPr>
            </w:pPr>
          </w:p>
        </w:tc>
        <w:tc>
          <w:tcPr>
            <w:tcW w:w="1360" w:type="dxa"/>
            <w:vAlign w:val="bottom"/>
          </w:tcPr>
          <w:p>
            <w:pPr>
              <w:jc w:val="right"/>
              <w:ind w:right="580"/>
              <w:spacing w:after="0"/>
              <w:rPr>
                <w:sz w:val="20"/>
                <w:szCs w:val="20"/>
                <w:color w:val="auto"/>
              </w:rPr>
            </w:pPr>
            <w:r>
              <w:rPr>
                <w:rFonts w:ascii="Arial" w:cs="Arial" w:eastAsia="Arial" w:hAnsi="Arial"/>
                <w:sz w:val="16"/>
                <w:szCs w:val="16"/>
                <w:color w:val="auto"/>
              </w:rPr>
              <w:t>162,059</w:t>
            </w:r>
          </w:p>
        </w:tc>
        <w:tc>
          <w:tcPr>
            <w:tcW w:w="9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32"/>
        </w:trPr>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Home equity and junior liens</w:t>
            </w:r>
          </w:p>
        </w:tc>
        <w:tc>
          <w:tcPr>
            <w:tcW w:w="114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16"/>
                <w:szCs w:val="16"/>
                <w:color w:val="auto"/>
              </w:rPr>
              <w:t>49,762</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5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16"/>
                <w:szCs w:val="16"/>
                <w:color w:val="auto"/>
              </w:rPr>
              <w:t>51,338</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w:t>
            </w:r>
          </w:p>
        </w:tc>
      </w:tr>
      <w:tr>
        <w:trPr>
          <w:trHeight w:val="222"/>
        </w:trPr>
        <w:tc>
          <w:tcPr>
            <w:tcW w:w="3040" w:type="dxa"/>
            <w:vAlign w:val="bottom"/>
          </w:tcPr>
          <w:p>
            <w:pPr>
              <w:spacing w:after="0"/>
              <w:rPr>
                <w:sz w:val="20"/>
                <w:szCs w:val="20"/>
                <w:color w:val="auto"/>
              </w:rPr>
            </w:pPr>
            <w:r>
              <w:rPr>
                <w:rFonts w:ascii="Arial" w:cs="Arial" w:eastAsia="Arial" w:hAnsi="Arial"/>
                <w:sz w:val="16"/>
                <w:szCs w:val="16"/>
                <w:color w:val="auto"/>
              </w:rPr>
              <w:t>Consumer loans</w:t>
            </w:r>
          </w:p>
        </w:tc>
        <w:tc>
          <w:tcPr>
            <w:tcW w:w="1140" w:type="dxa"/>
            <w:vAlign w:val="bottom"/>
          </w:tcPr>
          <w:p>
            <w:pPr>
              <w:spacing w:after="0"/>
              <w:rPr>
                <w:sz w:val="19"/>
                <w:szCs w:val="19"/>
                <w:color w:val="auto"/>
              </w:rPr>
            </w:pPr>
          </w:p>
        </w:tc>
        <w:tc>
          <w:tcPr>
            <w:tcW w:w="1460" w:type="dxa"/>
            <w:vAlign w:val="bottom"/>
          </w:tcPr>
          <w:p>
            <w:pPr>
              <w:jc w:val="right"/>
              <w:ind w:right="580"/>
              <w:spacing w:after="0"/>
              <w:rPr>
                <w:sz w:val="20"/>
                <w:szCs w:val="20"/>
                <w:color w:val="auto"/>
              </w:rPr>
            </w:pPr>
            <w:r>
              <w:rPr>
                <w:rFonts w:ascii="Arial" w:cs="Arial" w:eastAsia="Arial" w:hAnsi="Arial"/>
                <w:sz w:val="16"/>
                <w:szCs w:val="16"/>
                <w:color w:val="auto"/>
              </w:rPr>
              <w:t>62,825</w:t>
            </w: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c>
          <w:tcPr>
            <w:tcW w:w="540" w:type="dxa"/>
            <w:vAlign w:val="bottom"/>
          </w:tcPr>
          <w:p>
            <w:pPr>
              <w:spacing w:after="0"/>
              <w:rPr>
                <w:sz w:val="19"/>
                <w:szCs w:val="19"/>
                <w:color w:val="auto"/>
              </w:rPr>
            </w:pPr>
          </w:p>
        </w:tc>
        <w:tc>
          <w:tcPr>
            <w:tcW w:w="1360" w:type="dxa"/>
            <w:vAlign w:val="bottom"/>
          </w:tcPr>
          <w:p>
            <w:pPr>
              <w:jc w:val="right"/>
              <w:ind w:right="580"/>
              <w:spacing w:after="0"/>
              <w:rPr>
                <w:sz w:val="20"/>
                <w:szCs w:val="20"/>
                <w:color w:val="auto"/>
              </w:rPr>
            </w:pPr>
            <w:r>
              <w:rPr>
                <w:rFonts w:ascii="Arial" w:cs="Arial" w:eastAsia="Arial" w:hAnsi="Arial"/>
                <w:sz w:val="16"/>
                <w:szCs w:val="16"/>
                <w:color w:val="auto"/>
              </w:rPr>
              <w:t>72,710</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42"/>
        </w:trPr>
        <w:tc>
          <w:tcPr>
            <w:tcW w:w="3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2"/>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loans receivable</w:t>
            </w:r>
          </w:p>
        </w:tc>
        <w:tc>
          <w:tcPr>
            <w:tcW w:w="114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580"/>
              <w:spacing w:after="0"/>
              <w:rPr>
                <w:sz w:val="20"/>
                <w:szCs w:val="20"/>
                <w:color w:val="auto"/>
              </w:rPr>
            </w:pPr>
            <w:r>
              <w:rPr>
                <w:rFonts w:ascii="Arial" w:cs="Arial" w:eastAsia="Arial" w:hAnsi="Arial"/>
                <w:sz w:val="16"/>
                <w:szCs w:val="16"/>
                <w:color w:val="auto"/>
              </w:rPr>
              <w:t>896,670</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540" w:type="dxa"/>
            <w:vAlign w:val="bottom"/>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80"/>
              <w:spacing w:after="0"/>
              <w:rPr>
                <w:sz w:val="20"/>
                <w:szCs w:val="20"/>
                <w:color w:val="auto"/>
              </w:rPr>
            </w:pPr>
            <w:r>
              <w:rPr>
                <w:rFonts w:ascii="Arial" w:cs="Arial" w:eastAsia="Arial" w:hAnsi="Arial"/>
                <w:sz w:val="16"/>
                <w:szCs w:val="16"/>
                <w:color w:val="auto"/>
              </w:rPr>
              <w:t>918,986</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r>
      <w:tr>
        <w:trPr>
          <w:trHeight w:val="77"/>
        </w:trPr>
        <w:tc>
          <w:tcPr>
            <w:tcW w:w="3040" w:type="dxa"/>
            <w:vAlign w:val="bottom"/>
            <w:shd w:val="clear" w:color="auto" w:fill="CFF0FC"/>
          </w:tcPr>
          <w:p>
            <w:pPr>
              <w:spacing w:after="0"/>
              <w:rPr>
                <w:sz w:val="6"/>
                <w:szCs w:val="6"/>
                <w:color w:val="auto"/>
              </w:rPr>
            </w:pPr>
          </w:p>
        </w:tc>
        <w:tc>
          <w:tcPr>
            <w:tcW w:w="1140" w:type="dxa"/>
            <w:vAlign w:val="bottom"/>
            <w:shd w:val="clear" w:color="auto" w:fill="CFF0FC"/>
          </w:tcPr>
          <w:p>
            <w:pPr>
              <w:spacing w:after="0"/>
              <w:rPr>
                <w:sz w:val="6"/>
                <w:szCs w:val="6"/>
                <w:color w:val="auto"/>
              </w:rPr>
            </w:pPr>
          </w:p>
        </w:tc>
        <w:tc>
          <w:tcPr>
            <w:tcW w:w="146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36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-1339215</wp:posOffset>
            </wp:positionV>
            <wp:extent cx="353123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3123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-1171575</wp:posOffset>
            </wp:positionV>
            <wp:extent cx="596773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-195580</wp:posOffset>
            </wp:positionV>
            <wp:extent cx="596773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ind w:right="80"/>
        <w:spacing w:after="0" w:line="311" w:lineRule="auto"/>
        <w:rPr>
          <w:sz w:val="20"/>
          <w:szCs w:val="20"/>
          <w:color w:val="auto"/>
        </w:rPr>
      </w:pPr>
      <w:r>
        <w:rPr>
          <w:rFonts w:ascii="Arial" w:cs="Arial" w:eastAsia="Arial" w:hAnsi="Arial"/>
          <w:sz w:val="20"/>
          <w:szCs w:val="20"/>
          <w:color w:val="auto"/>
        </w:rPr>
        <w:t>The following table shows the amount of loans outstanding, including net deferred costs, as of December 31, 2025 which, based on remaining scheduled repayments of principal, are due in the periods indicated. Demand loans having no stated schedule of repayments, no stated maturity, and overdrafts are reported as one year or less. Adjustable and floating rate loans are included in the period on which interest rates are next scheduled to adjust, rather than the period in which they contractually mature. Fixed rate loans are included in the period in which the final contractual repayment is due.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6"/>
              </w:rPr>
              <w:t>Five to</w:t>
            </w:r>
          </w:p>
        </w:tc>
        <w:tc>
          <w:tcPr>
            <w:tcW w:w="22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Over</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0"/>
        </w:trPr>
        <w:tc>
          <w:tcPr>
            <w:tcW w:w="3180" w:type="dxa"/>
            <w:vAlign w:val="bottom"/>
          </w:tcPr>
          <w:p>
            <w:pPr>
              <w:spacing w:after="0"/>
              <w:rPr>
                <w:sz w:val="23"/>
                <w:szCs w:val="23"/>
                <w:color w:val="auto"/>
              </w:rPr>
            </w:pPr>
          </w:p>
        </w:tc>
        <w:tc>
          <w:tcPr>
            <w:tcW w:w="1900" w:type="dxa"/>
            <w:vAlign w:val="bottom"/>
            <w:gridSpan w:val="2"/>
          </w:tcPr>
          <w:p>
            <w:pPr>
              <w:ind w:left="1060"/>
              <w:spacing w:after="0"/>
              <w:rPr>
                <w:sz w:val="20"/>
                <w:szCs w:val="20"/>
                <w:color w:val="auto"/>
              </w:rPr>
            </w:pPr>
            <w:r>
              <w:rPr>
                <w:rFonts w:ascii="Arial" w:cs="Arial" w:eastAsia="Arial" w:hAnsi="Arial"/>
                <w:sz w:val="18"/>
                <w:szCs w:val="18"/>
                <w:color w:val="auto"/>
              </w:rPr>
              <w:t>One Year</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One to Five</w:t>
            </w:r>
          </w:p>
        </w:tc>
        <w:tc>
          <w:tcPr>
            <w:tcW w:w="240" w:type="dxa"/>
            <w:vAlign w:val="bottom"/>
          </w:tcPr>
          <w:p>
            <w:pPr>
              <w:spacing w:after="0"/>
              <w:rPr>
                <w:sz w:val="23"/>
                <w:szCs w:val="23"/>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4"/>
              </w:rPr>
              <w:t>Fifteen</w:t>
            </w:r>
          </w:p>
        </w:tc>
        <w:tc>
          <w:tcPr>
            <w:tcW w:w="220" w:type="dxa"/>
            <w:vAlign w:val="bottom"/>
          </w:tcPr>
          <w:p>
            <w:pPr>
              <w:spacing w:after="0"/>
              <w:rPr>
                <w:sz w:val="23"/>
                <w:szCs w:val="23"/>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4"/>
              </w:rPr>
              <w:t>Fifteen</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23"/>
                <w:szCs w:val="23"/>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88"/>
              </w:rPr>
              <w:t>or Less</w:t>
            </w:r>
          </w:p>
        </w:tc>
        <w:tc>
          <w:tcPr>
            <w:tcW w:w="240" w:type="dxa"/>
            <w:vAlign w:val="bottom"/>
          </w:tcPr>
          <w:p>
            <w:pPr>
              <w:spacing w:after="0"/>
              <w:rPr>
                <w:sz w:val="23"/>
                <w:szCs w:val="23"/>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Years</w:t>
            </w:r>
          </w:p>
        </w:tc>
        <w:tc>
          <w:tcPr>
            <w:tcW w:w="240" w:type="dxa"/>
            <w:vAlign w:val="bottom"/>
          </w:tcPr>
          <w:p>
            <w:pPr>
              <w:spacing w:after="0"/>
              <w:rPr>
                <w:sz w:val="23"/>
                <w:szCs w:val="23"/>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Years</w:t>
            </w:r>
          </w:p>
        </w:tc>
        <w:tc>
          <w:tcPr>
            <w:tcW w:w="220" w:type="dxa"/>
            <w:vAlign w:val="bottom"/>
          </w:tcPr>
          <w:p>
            <w:pPr>
              <w:spacing w:after="0"/>
              <w:rPr>
                <w:sz w:val="23"/>
                <w:szCs w:val="23"/>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Years</w:t>
            </w:r>
          </w:p>
        </w:tc>
        <w:tc>
          <w:tcPr>
            <w:tcW w:w="260" w:type="dxa"/>
            <w:vAlign w:val="bottom"/>
          </w:tcPr>
          <w:p>
            <w:pPr>
              <w:spacing w:after="0"/>
              <w:rPr>
                <w:sz w:val="23"/>
                <w:szCs w:val="23"/>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46"/>
        </w:trPr>
        <w:tc>
          <w:tcPr>
            <w:tcW w:w="3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64"/>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16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r>
      <w:tr>
        <w:trPr>
          <w:trHeight w:val="248"/>
        </w:trPr>
        <w:tc>
          <w:tcPr>
            <w:tcW w:w="3180" w:type="dxa"/>
            <w:vAlign w:val="bottom"/>
          </w:tcPr>
          <w:p>
            <w:pPr>
              <w:ind w:left="40"/>
              <w:spacing w:after="0"/>
              <w:rPr>
                <w:sz w:val="20"/>
                <w:szCs w:val="20"/>
                <w:color w:val="auto"/>
              </w:rPr>
            </w:pPr>
            <w:r>
              <w:rPr>
                <w:rFonts w:ascii="Arial" w:cs="Arial" w:eastAsia="Arial" w:hAnsi="Arial"/>
                <w:sz w:val="18"/>
                <w:szCs w:val="18"/>
                <w:color w:val="auto"/>
              </w:rPr>
              <w:t>Commercial real estate</w:t>
            </w:r>
          </w:p>
        </w:tc>
        <w:tc>
          <w:tcPr>
            <w:tcW w:w="1160" w:type="dxa"/>
            <w:vAlign w:val="bottom"/>
          </w:tcPr>
          <w:p>
            <w:pPr>
              <w:ind w:left="10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22,055</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19,070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103,004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235,995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380,124</w:t>
            </w:r>
          </w:p>
        </w:tc>
      </w:tr>
      <w:tr>
        <w:trPr>
          <w:trHeight w:val="36"/>
        </w:trPr>
        <w:tc>
          <w:tcPr>
            <w:tcW w:w="3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74"/>
        </w:trPr>
        <w:tc>
          <w:tcPr>
            <w:tcW w:w="3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Residential real estate</w:t>
            </w:r>
          </w:p>
        </w:tc>
        <w:tc>
          <w:tcPr>
            <w:tcW w:w="116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829</w:t>
            </w:r>
          </w:p>
        </w:tc>
        <w:tc>
          <w:tcPr>
            <w:tcW w:w="2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3,046</w:t>
            </w:r>
          </w:p>
        </w:tc>
        <w:tc>
          <w:tcPr>
            <w:tcW w:w="2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50,217</w:t>
            </w:r>
          </w:p>
        </w:tc>
        <w:tc>
          <w:tcPr>
            <w:tcW w:w="2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186,507</w:t>
            </w:r>
          </w:p>
        </w:tc>
        <w:tc>
          <w:tcPr>
            <w:tcW w:w="26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240,599</w:t>
            </w:r>
          </w:p>
        </w:tc>
      </w:tr>
      <w:tr>
        <w:trPr>
          <w:trHeight w:val="248"/>
        </w:trPr>
        <w:tc>
          <w:tcPr>
            <w:tcW w:w="3180" w:type="dxa"/>
            <w:vAlign w:val="bottom"/>
          </w:tcPr>
          <w:p>
            <w:pPr>
              <w:spacing w:after="0"/>
              <w:rPr>
                <w:sz w:val="20"/>
                <w:szCs w:val="20"/>
                <w:color w:val="auto"/>
              </w:rPr>
            </w:pPr>
            <w:r>
              <w:rPr>
                <w:rFonts w:ascii="Arial" w:cs="Arial" w:eastAsia="Arial" w:hAnsi="Arial"/>
                <w:sz w:val="18"/>
                <w:szCs w:val="18"/>
                <w:color w:val="auto"/>
              </w:rPr>
              <w:t>Total real estate loans</w:t>
            </w:r>
          </w:p>
        </w:tc>
        <w:tc>
          <w:tcPr>
            <w:tcW w:w="1160" w:type="dxa"/>
            <w:vAlign w:val="bottom"/>
          </w:tcPr>
          <w:p>
            <w:pPr>
              <w:ind w:left="10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22,884</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22,116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153,221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422,502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620,723</w:t>
            </w:r>
          </w:p>
        </w:tc>
      </w:tr>
      <w:tr>
        <w:trPr>
          <w:trHeight w:val="46"/>
        </w:trPr>
        <w:tc>
          <w:tcPr>
            <w:tcW w:w="3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64"/>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tax exempt</w:t>
            </w:r>
          </w:p>
        </w:tc>
        <w:tc>
          <w:tcPr>
            <w:tcW w:w="1160" w:type="dxa"/>
            <w:vAlign w:val="bottom"/>
            <w:tcBorders>
              <w:bottom w:val="single" w:sz="8" w:color="CFF0FC"/>
            </w:tcBorders>
            <w:shd w:val="clear" w:color="auto" w:fill="CFF0FC"/>
          </w:tcPr>
          <w:p>
            <w:pPr>
              <w:ind w:left="106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80,959</w:t>
            </w:r>
          </w:p>
        </w:tc>
        <w:tc>
          <w:tcPr>
            <w:tcW w:w="2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39,164</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40,417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2,820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163,360</w:t>
            </w:r>
          </w:p>
        </w:tc>
      </w:tr>
      <w:tr>
        <w:trPr>
          <w:trHeight w:val="248"/>
        </w:trPr>
        <w:tc>
          <w:tcPr>
            <w:tcW w:w="3180" w:type="dxa"/>
            <w:vAlign w:val="bottom"/>
          </w:tcPr>
          <w:p>
            <w:pPr>
              <w:spacing w:after="0"/>
              <w:rPr>
                <w:sz w:val="20"/>
                <w:szCs w:val="20"/>
                <w:color w:val="auto"/>
              </w:rPr>
            </w:pPr>
            <w:r>
              <w:rPr>
                <w:rFonts w:ascii="Arial" w:cs="Arial" w:eastAsia="Arial" w:hAnsi="Arial"/>
                <w:sz w:val="18"/>
                <w:szCs w:val="18"/>
                <w:color w:val="auto"/>
              </w:rPr>
              <w:t>Home Equity and junior liens</w:t>
            </w:r>
          </w:p>
        </w:tc>
        <w:tc>
          <w:tcPr>
            <w:tcW w:w="1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30,712</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2,345</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14,616</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2,089</w:t>
            </w: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49,762</w:t>
            </w:r>
          </w:p>
        </w:tc>
      </w:tr>
      <w:tr>
        <w:trPr>
          <w:trHeight w:val="36"/>
        </w:trPr>
        <w:tc>
          <w:tcPr>
            <w:tcW w:w="3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74"/>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w:t>
            </w:r>
          </w:p>
        </w:tc>
        <w:tc>
          <w:tcPr>
            <w:tcW w:w="116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1,265</w:t>
            </w:r>
          </w:p>
        </w:tc>
        <w:tc>
          <w:tcPr>
            <w:tcW w:w="2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7,583</w:t>
            </w:r>
          </w:p>
        </w:tc>
        <w:tc>
          <w:tcPr>
            <w:tcW w:w="2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17,622</w:t>
            </w:r>
          </w:p>
        </w:tc>
        <w:tc>
          <w:tcPr>
            <w:tcW w:w="2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36,355</w:t>
            </w:r>
          </w:p>
        </w:tc>
        <w:tc>
          <w:tcPr>
            <w:tcW w:w="26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62,825</w:t>
            </w:r>
          </w:p>
        </w:tc>
      </w:tr>
      <w:tr>
        <w:trPr>
          <w:trHeight w:val="248"/>
        </w:trPr>
        <w:tc>
          <w:tcPr>
            <w:tcW w:w="3180" w:type="dxa"/>
            <w:vAlign w:val="bottom"/>
          </w:tcPr>
          <w:p>
            <w:pPr>
              <w:spacing w:after="0"/>
              <w:rPr>
                <w:sz w:val="20"/>
                <w:szCs w:val="20"/>
                <w:color w:val="auto"/>
              </w:rPr>
            </w:pPr>
            <w:r>
              <w:rPr>
                <w:rFonts w:ascii="Arial" w:cs="Arial" w:eastAsia="Arial" w:hAnsi="Arial"/>
                <w:sz w:val="18"/>
                <w:szCs w:val="18"/>
                <w:color w:val="auto"/>
              </w:rPr>
              <w:t>Total loans</w:t>
            </w:r>
          </w:p>
        </w:tc>
        <w:tc>
          <w:tcPr>
            <w:tcW w:w="1160" w:type="dxa"/>
            <w:vAlign w:val="bottom"/>
          </w:tcPr>
          <w:p>
            <w:pPr>
              <w:ind w:left="10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135,820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71,208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225,876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463,766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896,670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-1446530</wp:posOffset>
            </wp:positionV>
            <wp:extent cx="596773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-898525</wp:posOffset>
            </wp:positionV>
            <wp:extent cx="596773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-711200</wp:posOffset>
            </wp:positionV>
            <wp:extent cx="596773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596773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fixed- and adjustable-rate loans at December 31, 2025 that are contractually due after</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w w:val="90"/>
              </w:rPr>
              <w:t>Due After One</w:t>
            </w:r>
          </w:p>
        </w:tc>
      </w:tr>
      <w:tr>
        <w:trPr>
          <w:trHeight w:val="270"/>
        </w:trPr>
        <w:tc>
          <w:tcPr>
            <w:tcW w:w="4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580" w:type="dxa"/>
            <w:vAlign w:val="bottom"/>
          </w:tcPr>
          <w:p>
            <w:pPr>
              <w:spacing w:after="0"/>
              <w:rPr>
                <w:sz w:val="23"/>
                <w:szCs w:val="23"/>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Year</w:t>
            </w:r>
          </w:p>
        </w:tc>
      </w:tr>
      <w:tr>
        <w:trPr>
          <w:trHeight w:val="46"/>
        </w:trPr>
        <w:tc>
          <w:tcPr>
            <w:tcW w:w="45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rates:</w:t>
            </w:r>
          </w:p>
        </w:tc>
        <w:tc>
          <w:tcPr>
            <w:tcW w:w="35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r>
      <w:tr>
        <w:trPr>
          <w:trHeight w:val="234"/>
        </w:trPr>
        <w:tc>
          <w:tcPr>
            <w:tcW w:w="4500" w:type="dxa"/>
            <w:vAlign w:val="bottom"/>
          </w:tcPr>
          <w:p>
            <w:pPr>
              <w:ind w:left="60"/>
              <w:spacing w:after="0"/>
              <w:rPr>
                <w:sz w:val="20"/>
                <w:szCs w:val="20"/>
                <w:color w:val="auto"/>
              </w:rPr>
            </w:pPr>
            <w:r>
              <w:rPr>
                <w:rFonts w:ascii="Arial" w:cs="Arial" w:eastAsia="Arial" w:hAnsi="Arial"/>
                <w:sz w:val="18"/>
                <w:szCs w:val="18"/>
                <w:color w:val="auto"/>
              </w:rPr>
              <w:t>Fixed</w:t>
            </w:r>
          </w:p>
        </w:tc>
        <w:tc>
          <w:tcPr>
            <w:tcW w:w="35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379,655</w:t>
            </w:r>
          </w:p>
        </w:tc>
      </w:tr>
      <w:tr>
        <w:trPr>
          <w:trHeight w:val="36"/>
        </w:trPr>
        <w:tc>
          <w:tcPr>
            <w:tcW w:w="450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0"/>
        </w:trPr>
        <w:tc>
          <w:tcPr>
            <w:tcW w:w="45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Variable</w:t>
            </w:r>
          </w:p>
        </w:tc>
        <w:tc>
          <w:tcPr>
            <w:tcW w:w="358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381,195</w:t>
            </w:r>
          </w:p>
        </w:tc>
      </w:tr>
      <w:tr>
        <w:trPr>
          <w:trHeight w:val="234"/>
        </w:trPr>
        <w:tc>
          <w:tcPr>
            <w:tcW w:w="4500" w:type="dxa"/>
            <w:vAlign w:val="bottom"/>
          </w:tcPr>
          <w:p>
            <w:pPr>
              <w:spacing w:after="0"/>
              <w:rPr>
                <w:sz w:val="20"/>
                <w:szCs w:val="20"/>
                <w:color w:val="auto"/>
              </w:rPr>
            </w:pPr>
            <w:r>
              <w:rPr>
                <w:rFonts w:ascii="Arial" w:cs="Arial" w:eastAsia="Arial" w:hAnsi="Arial"/>
                <w:sz w:val="18"/>
                <w:szCs w:val="18"/>
                <w:color w:val="auto"/>
              </w:rPr>
              <w:t>Total loans</w:t>
            </w:r>
          </w:p>
        </w:tc>
        <w:tc>
          <w:tcPr>
            <w:tcW w:w="35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760,850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-675005</wp:posOffset>
            </wp:positionV>
            <wp:extent cx="596773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-154305</wp:posOffset>
            </wp:positionV>
            <wp:extent cx="596773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18</w:t>
      </w:r>
    </w:p>
    <w:p>
      <w:pPr>
        <w:sectPr>
          <w:pgSz w:w="11900" w:h="16838" w:orient="portrait"/>
          <w:cols w:equalWidth="0" w:num="1">
            <w:col w:w="9400"/>
          </w:cols>
          <w:pgMar w:left="1260" w:top="1440" w:right="1246" w:bottom="0" w:gutter="0" w:footer="0" w:header="0"/>
          <w:type w:val="continuous"/>
        </w:sectPr>
      </w:pPr>
    </w:p>
    <w:bookmarkStart w:id="87" w:name="page88"/>
    <w:bookmarkEnd w:id="87"/>
    <w:p>
      <w:pPr>
        <w:jc w:val="both"/>
        <w:spacing w:after="0" w:line="330" w:lineRule="auto"/>
        <w:rPr>
          <w:sz w:val="20"/>
          <w:szCs w:val="20"/>
          <w:color w:val="auto"/>
        </w:rPr>
      </w:pPr>
      <w:r>
        <w:rPr>
          <w:rFonts w:ascii="Arial" w:cs="Arial" w:eastAsia="Arial" w:hAnsi="Arial"/>
          <w:sz w:val="19"/>
          <w:szCs w:val="19"/>
          <w:color w:val="auto"/>
        </w:rPr>
        <w:t>Total loans receivable, including net deferred costs, decreased $22.3 million to $896.7 million at December 31, 2025 when compared to $919.0 million at December 31, 2024, due to decreases in residential mortgages of $14.7 million, consumer loans of $9.9 million, offset by an increase in commercial loans of $3.8 million.</w:t>
      </w:r>
    </w:p>
    <w:p>
      <w:pPr>
        <w:spacing w:after="0" w:line="119"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In 2025, the outstanding balance of commercial real estate loans increased as the Bank continued to benefit from the expanding relationship-derived business activity within the markets that the Bank serves. The decrease in residential real estate and consumer loans was primarily the result of decreases in newly originated loans.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 / 18</w:t>
      </w:r>
    </w:p>
    <w:p>
      <w:pPr>
        <w:sectPr>
          <w:pgSz w:w="11900" w:h="16838" w:orient="portrait"/>
          <w:cols w:equalWidth="0" w:num="1">
            <w:col w:w="9340"/>
          </w:cols>
          <w:pgMar w:left="1260" w:top="1173" w:right="1306" w:bottom="0"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Nonperforming Loans and Assets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represents information concerning the aggregate amount of nonperforming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20" w:type="dxa"/>
            <w:vAlign w:val="bottom"/>
            <w:gridSpan w:val="2"/>
          </w:tcPr>
          <w:p>
            <w:pPr>
              <w:jc w:val="right"/>
              <w:ind w:right="390"/>
              <w:spacing w:after="0"/>
              <w:rPr>
                <w:sz w:val="20"/>
                <w:szCs w:val="20"/>
                <w:color w:val="auto"/>
              </w:rPr>
            </w:pPr>
            <w:r>
              <w:rPr>
                <w:rFonts w:ascii="Arial" w:cs="Arial" w:eastAsia="Arial" w:hAnsi="Arial"/>
                <w:sz w:val="18"/>
                <w:szCs w:val="18"/>
                <w:color w:val="auto"/>
              </w:rPr>
              <w:t>December 31</w:t>
            </w:r>
          </w:p>
        </w:tc>
        <w:tc>
          <w:tcPr>
            <w:tcW w:w="1160" w:type="dxa"/>
            <w:vAlign w:val="bottom"/>
          </w:tcPr>
          <w:p>
            <w:pPr>
              <w:spacing w:after="0"/>
              <w:rPr>
                <w:sz w:val="17"/>
                <w:szCs w:val="17"/>
                <w:color w:val="auto"/>
              </w:rPr>
            </w:pPr>
          </w:p>
        </w:tc>
      </w:tr>
      <w:tr>
        <w:trPr>
          <w:trHeight w:val="294"/>
        </w:trPr>
        <w:tc>
          <w:tcPr>
            <w:tcW w:w="43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68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2025</w:t>
            </w:r>
          </w:p>
        </w:tc>
        <w:tc>
          <w:tcPr>
            <w:tcW w:w="88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2024</w:t>
            </w:r>
          </w:p>
        </w:tc>
      </w:tr>
      <w:tr>
        <w:trPr>
          <w:trHeight w:val="46"/>
        </w:trPr>
        <w:tc>
          <w:tcPr>
            <w:tcW w:w="43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64"/>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Nonaccrual loans:</w:t>
            </w:r>
          </w:p>
        </w:tc>
        <w:tc>
          <w:tcPr>
            <w:tcW w:w="16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Commercial and commercial real estate loans</w:t>
            </w:r>
          </w:p>
        </w:tc>
        <w:tc>
          <w:tcPr>
            <w:tcW w:w="16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24,616</w:t>
            </w:r>
          </w:p>
        </w:tc>
        <w:tc>
          <w:tcPr>
            <w:tcW w:w="8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18,212</w:t>
            </w:r>
          </w:p>
        </w:tc>
      </w:tr>
      <w:tr>
        <w:trPr>
          <w:trHeight w:val="36"/>
        </w:trPr>
        <w:tc>
          <w:tcPr>
            <w:tcW w:w="4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Consumer</w:t>
            </w:r>
          </w:p>
        </w:tc>
        <w:tc>
          <w:tcPr>
            <w:tcW w:w="16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968</w:t>
            </w:r>
          </w:p>
        </w:tc>
        <w:tc>
          <w:tcPr>
            <w:tcW w:w="8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710</w:t>
            </w: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Residential mortgage loans</w:t>
            </w:r>
          </w:p>
        </w:tc>
        <w:tc>
          <w:tcPr>
            <w:tcW w:w="168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1,977</w:t>
            </w:r>
          </w:p>
        </w:tc>
        <w:tc>
          <w:tcPr>
            <w:tcW w:w="8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3,162</w:t>
            </w:r>
          </w:p>
        </w:tc>
      </w:tr>
      <w:tr>
        <w:trPr>
          <w:trHeight w:val="46"/>
        </w:trPr>
        <w:tc>
          <w:tcPr>
            <w:tcW w:w="43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74"/>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168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27,561</w:t>
            </w:r>
          </w:p>
        </w:tc>
        <w:tc>
          <w:tcPr>
            <w:tcW w:w="88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22,084</w:t>
            </w:r>
          </w:p>
        </w:tc>
      </w:tr>
      <w:tr>
        <w:trPr>
          <w:trHeight w:val="248"/>
        </w:trPr>
        <w:tc>
          <w:tcPr>
            <w:tcW w:w="4340" w:type="dxa"/>
            <w:vAlign w:val="bottom"/>
          </w:tcPr>
          <w:p>
            <w:pPr>
              <w:ind w:left="40"/>
              <w:spacing w:after="0"/>
              <w:rPr>
                <w:sz w:val="20"/>
                <w:szCs w:val="20"/>
                <w:color w:val="auto"/>
              </w:rPr>
            </w:pPr>
            <w:r>
              <w:rPr>
                <w:rFonts w:ascii="Arial" w:cs="Arial" w:eastAsia="Arial" w:hAnsi="Arial"/>
                <w:sz w:val="18"/>
                <w:szCs w:val="18"/>
                <w:color w:val="auto"/>
              </w:rPr>
              <w:t>Total nonperforming loans</w:t>
            </w:r>
          </w:p>
        </w:tc>
        <w:tc>
          <w:tcPr>
            <w:tcW w:w="168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27,561</w:t>
            </w:r>
          </w:p>
        </w:tc>
        <w:tc>
          <w:tcPr>
            <w:tcW w:w="8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22,084</w:t>
            </w:r>
          </w:p>
        </w:tc>
      </w:tr>
      <w:tr>
        <w:trPr>
          <w:trHeight w:val="36"/>
        </w:trPr>
        <w:tc>
          <w:tcPr>
            <w:tcW w:w="4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4"/>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Foreclosed real estate</w:t>
            </w:r>
          </w:p>
        </w:tc>
        <w:tc>
          <w:tcPr>
            <w:tcW w:w="168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137</w:t>
            </w:r>
          </w:p>
        </w:tc>
        <w:tc>
          <w:tcPr>
            <w:tcW w:w="88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48"/>
        </w:trPr>
        <w:tc>
          <w:tcPr>
            <w:tcW w:w="4340" w:type="dxa"/>
            <w:vAlign w:val="bottom"/>
          </w:tcPr>
          <w:p>
            <w:pPr>
              <w:ind w:left="80"/>
              <w:spacing w:after="0"/>
              <w:rPr>
                <w:sz w:val="20"/>
                <w:szCs w:val="20"/>
                <w:color w:val="auto"/>
              </w:rPr>
            </w:pPr>
            <w:r>
              <w:rPr>
                <w:rFonts w:ascii="Arial" w:cs="Arial" w:eastAsia="Arial" w:hAnsi="Arial"/>
                <w:sz w:val="18"/>
                <w:szCs w:val="18"/>
                <w:color w:val="auto"/>
              </w:rPr>
              <w:t>Total nonperforming assets</w:t>
            </w:r>
          </w:p>
        </w:tc>
        <w:tc>
          <w:tcPr>
            <w:tcW w:w="16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27,698</w:t>
            </w:r>
          </w:p>
        </w:tc>
        <w:tc>
          <w:tcPr>
            <w:tcW w:w="8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22,084</w:t>
            </w:r>
          </w:p>
        </w:tc>
      </w:tr>
      <w:tr>
        <w:trPr>
          <w:trHeight w:val="81"/>
        </w:trPr>
        <w:tc>
          <w:tcPr>
            <w:tcW w:w="4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84"/>
        </w:trPr>
        <w:tc>
          <w:tcPr>
            <w:tcW w:w="4340" w:type="dxa"/>
            <w:vAlign w:val="bottom"/>
            <w:shd w:val="clear" w:color="auto" w:fill="CFF0FC"/>
          </w:tcPr>
          <w:p>
            <w:pPr>
              <w:spacing w:after="0"/>
              <w:rPr>
                <w:sz w:val="24"/>
                <w:szCs w:val="24"/>
                <w:color w:val="auto"/>
              </w:rPr>
            </w:pPr>
          </w:p>
        </w:tc>
        <w:tc>
          <w:tcPr>
            <w:tcW w:w="168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r>
      <w:tr>
        <w:trPr>
          <w:trHeight w:val="248"/>
        </w:trPr>
        <w:tc>
          <w:tcPr>
            <w:tcW w:w="4340" w:type="dxa"/>
            <w:vAlign w:val="bottom"/>
          </w:tcPr>
          <w:p>
            <w:pPr>
              <w:spacing w:after="0"/>
              <w:rPr>
                <w:sz w:val="20"/>
                <w:szCs w:val="20"/>
                <w:color w:val="auto"/>
              </w:rPr>
            </w:pPr>
            <w:r>
              <w:rPr>
                <w:rFonts w:ascii="Arial" w:cs="Arial" w:eastAsia="Arial" w:hAnsi="Arial"/>
                <w:sz w:val="18"/>
                <w:szCs w:val="18"/>
                <w:color w:val="auto"/>
              </w:rPr>
              <w:t>Nonperforming loans to total loans</w:t>
            </w:r>
          </w:p>
        </w:tc>
        <w:tc>
          <w:tcPr>
            <w:tcW w:w="16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8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36"/>
        </w:trPr>
        <w:tc>
          <w:tcPr>
            <w:tcW w:w="4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8"/>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Nonperforming assets to total assets</w:t>
            </w:r>
          </w:p>
        </w:tc>
        <w:tc>
          <w:tcPr>
            <w:tcW w:w="16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1.94%</w:t>
            </w:r>
          </w:p>
        </w:tc>
        <w:tc>
          <w:tcPr>
            <w:tcW w:w="8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r>
      <w:tr>
        <w:trPr>
          <w:trHeight w:val="46"/>
        </w:trPr>
        <w:tc>
          <w:tcPr>
            <w:tcW w:w="4340" w:type="dxa"/>
            <w:vAlign w:val="bottom"/>
            <w:shd w:val="clear" w:color="auto" w:fill="CFF0FC"/>
          </w:tcPr>
          <w:p>
            <w:pPr>
              <w:spacing w:after="0"/>
              <w:rPr>
                <w:sz w:val="4"/>
                <w:szCs w:val="4"/>
                <w:color w:val="auto"/>
              </w:rPr>
            </w:pPr>
          </w:p>
        </w:tc>
        <w:tc>
          <w:tcPr>
            <w:tcW w:w="1680" w:type="dxa"/>
            <w:vAlign w:val="bottom"/>
            <w:shd w:val="clear" w:color="auto" w:fill="CFF0FC"/>
          </w:tcPr>
          <w:p>
            <w:pPr>
              <w:spacing w:after="0"/>
              <w:rPr>
                <w:sz w:val="4"/>
                <w:szCs w:val="4"/>
                <w:color w:val="auto"/>
              </w:rPr>
            </w:pPr>
          </w:p>
        </w:tc>
        <w:tc>
          <w:tcPr>
            <w:tcW w:w="1340" w:type="dxa"/>
            <w:vAlign w:val="bottom"/>
            <w:shd w:val="clear" w:color="auto" w:fill="CFF0FC"/>
          </w:tcPr>
          <w:p>
            <w:pPr>
              <w:spacing w:after="0"/>
              <w:rPr>
                <w:sz w:val="4"/>
                <w:szCs w:val="4"/>
                <w:color w:val="auto"/>
              </w:rPr>
            </w:pPr>
          </w:p>
        </w:tc>
        <w:tc>
          <w:tcPr>
            <w:tcW w:w="880" w:type="dxa"/>
            <w:vAlign w:val="bottom"/>
            <w:shd w:val="clear" w:color="auto" w:fill="CFF0FC"/>
          </w:tcPr>
          <w:p>
            <w:pPr>
              <w:spacing w:after="0"/>
              <w:rPr>
                <w:sz w:val="4"/>
                <w:szCs w:val="4"/>
                <w:color w:val="auto"/>
              </w:rPr>
            </w:pPr>
          </w:p>
        </w:tc>
        <w:tc>
          <w:tcPr>
            <w:tcW w:w="1160" w:type="dxa"/>
            <w:vAlign w:val="bottom"/>
            <w:shd w:val="clear" w:color="auto" w:fill="CFF0F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-2233295</wp:posOffset>
            </wp:positionV>
            <wp:extent cx="256286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-2045970</wp:posOffset>
            </wp:positionV>
            <wp:extent cx="596773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-1317625</wp:posOffset>
            </wp:positionV>
            <wp:extent cx="596773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-1130300</wp:posOffset>
            </wp:positionV>
            <wp:extent cx="596773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-763270</wp:posOffset>
            </wp:positionV>
            <wp:extent cx="596773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-575945</wp:posOffset>
            </wp:positionV>
            <wp:extent cx="5967730" cy="28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596773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Nonperforming assets include nonaccrual loans and foreclosed real estate (“FRE”).</w:t>
      </w:r>
    </w:p>
    <w:p>
      <w:pPr>
        <w:spacing w:after="0" w:line="200"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Management monitors its loan portfolios closely and has incorporated our current estimate of the ultimate collectability of all loans into the reported allowance for credit losses at December 31, 2025. The ratio of the allowance for credit losses to year end loans was 3.28% and 1.88% at December 31, 2025 and December 31, 2024, respectively.</w:t>
      </w:r>
    </w:p>
    <w:p>
      <w:pPr>
        <w:spacing w:after="0" w:line="136"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Total nonperforming assets increased $5.6 million, or 25.4%, between December 31, 2024 and December 31, 2025, driven by an increase of $6.4 million in nonperforming commercial and commercial real estate loans, and an increase of $258,000 in nonperforming consumer loans offset by a decrease of $1.2 million in nonperforming residential real estate loans. The increase in nonperforming loans primarily reflected certain legacy commercial loans moving to nonperforming status, including loans that may have been less than 90 days delinquent but were identified as having unique risk characteristics through the Company’s 2025 portfolio review.</w:t>
      </w:r>
    </w:p>
    <w:p>
      <w:pPr>
        <w:spacing w:after="0" w:line="123"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Management believes that the value of the collateral properties underlying the loans is sufficient to preclude any significant losses related to these loans. Management continues to monitor and react to national and local economic trends, as well as general portfolio conditions which may impact the quality of the portfolio, and considers these environmental factors in support of the allowance for credit loss reserve. Management believes that the current level of the allowance for credit losses, at $29.4 million at December 31, 2025, adequately addresses the current level of risk within the loan portfolio, particularly considering the types and levels of collateralization supporting the substantial majority of the portfolio. The Company maintains strict loan underwriting standards and carefully monitors the performance of the loan portfolio. See Note 1: Summary of Significant Accounting Policies contained in the financial statements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FRE balances totaled $137,000 at December 31, 2025. There were no FRE balances reported at December 31, 2024.</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18</w:t>
      </w:r>
    </w:p>
    <w:p>
      <w:pPr>
        <w:sectPr>
          <w:pgSz w:w="11900" w:h="16838" w:orient="portrait"/>
          <w:cols w:equalWidth="0" w:num="1">
            <w:col w:w="9400"/>
          </w:cols>
          <w:pgMar w:left="1260" w:top="1440" w:right="1246" w:bottom="0" w:gutter="0" w:footer="0" w:header="0"/>
          <w:type w:val="continuous"/>
        </w:sectPr>
      </w:pPr>
    </w:p>
    <w:bookmarkStart w:id="89" w:name="page90"/>
    <w:bookmarkEnd w:id="89"/>
    <w:p>
      <w:pPr>
        <w:jc w:val="both"/>
        <w:ind w:right="60"/>
        <w:spacing w:after="0" w:line="351" w:lineRule="auto"/>
        <w:rPr>
          <w:sz w:val="20"/>
          <w:szCs w:val="20"/>
          <w:color w:val="auto"/>
        </w:rPr>
      </w:pPr>
      <w:r>
        <w:rPr>
          <w:rFonts w:ascii="Arial" w:cs="Arial" w:eastAsia="Arial" w:hAnsi="Arial"/>
          <w:sz w:val="18"/>
          <w:szCs w:val="18"/>
          <w:color w:val="auto"/>
        </w:rPr>
        <w:t>The Company generally places a loan on nonaccrual status and ceases accruing interest when loan payment performance is deemed unsatisfactory and the loan is past due 90 days or more. There are no loans that are past due 90 days or more and still accruing interest as set forth in the table above. Had the loans in nonaccrual status performed in accordance with their original terms, additional interest income of $1.8 million and $2.4 million would have been recorded for the years ended December 31, 2025 and December 31, 2024, respectively.</w:t>
      </w:r>
    </w:p>
    <w:p>
      <w:pPr>
        <w:spacing w:after="0" w:line="106"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Individually evaluated loans are considered to have unique risk characteristics when their risk profile, repayment characteristics, or loss exposure are sufficiently distinct such that inclusion in a pooled evaluation would not appropriately reflect its expected credit loss. Individually evaluated loans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 At December 31, 2025 and December 31, 2024, the Company had $89.4 million and $20.0 million in loans, which were deemed to be individually evaluated, having specific reserves of $18.1 million and $2.5 million, respectively. The $69.4 million year-over-year increase in individually evaluated loans reflects management's proactive decision to initiate a comprehensive review of every performing and nonperforming commercial loan with exposures of $500,000 or more, representing approximately 90% of the commercial loan portfolio, which was announced in October 2025 and completed in December 2025.</w:t>
      </w:r>
    </w:p>
    <w:p>
      <w:pPr>
        <w:spacing w:after="0" w:line="108"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Appraisals are obtained at the time a real estate secured loan is originated. For commercial real estate held as collateral, the property is inspected every two years.</w:t>
      </w:r>
    </w:p>
    <w:p>
      <w:pPr>
        <w:spacing w:after="0" w:line="141"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increased $19.5 million to $75.9 million at December 31, 2025, compared to $56.4 million at December 31, 2024. These loans have been internally classified as special mention, substandard, or doubtful, yet are not currently considered individually evaluated. The $19.5 million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18</w:t>
      </w:r>
    </w:p>
    <w:p>
      <w:pPr>
        <w:sectPr>
          <w:pgSz w:w="11900" w:h="16838" w:orient="portrait"/>
          <w:cols w:equalWidth="0" w:num="1">
            <w:col w:w="9400"/>
          </w:cols>
          <w:pgMar w:left="1260" w:top="1173" w:right="1246" w:bottom="0" w:gutter="0" w:footer="0" w:header="0"/>
          <w:type w:val="continuous"/>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increase in potential problem loans included increases of $15.2 million in commercial real estate loans, $1.8 million in residential mortgage loans, $928,000 in commercial and industrial loans, $772,000 in commercial lines of credit, $395,000 in home equity loans, and $121,000 in consumer loans.</w:t>
      </w:r>
    </w:p>
    <w:p>
      <w:pPr>
        <w:spacing w:after="0" w:line="137"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Total potential problem loans, including individually evaluated loans, were $77.2 million at December 31, 2025, and were comprised of special mention, substandard and doubtful loans of $45.4 million, $28.7 million and $3.1 million, respectively. Total potential problem loans, including individually evaluated loans, were $58.0 million at December 31, 2024, and were comprised of special mention, substandard and doubtful loans of $32.8 million, $23.1 million and $2.1 million, respectively.</w:t>
      </w:r>
    </w:p>
    <w:p>
      <w:pPr>
        <w:spacing w:after="0" w:line="135"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The Company measures delinquency based on the amount of past due loans as a percentage of total loans. The ratio of delinquent loans to total loans increased to 5.91% at December 31, 2025 as compared to 3.81% at December 31, 2024. This increase was due to an increase of $16.6 million in past due commercial loans, and a $1.6 million increase in past due residential loans, partially offset by a $235,000 decrease in past due consumer loans. At December 31, 2025, there were $53.0 million in loans past due including $13.9 million, $11.5 million and $27.6 million in loans 30-59 days, 60-89 days, and 90 days and over past due, respectively. At December 31, 2024, there were $35.1 million in loans past due including $8.8 million, $4.2 million and $22.1 million in loans 30-59 days, 60-89 days, and 90 days and over past due, respectively.</w:t>
      </w:r>
    </w:p>
    <w:p>
      <w:pPr>
        <w:spacing w:after="0" w:line="118"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Loans purchased outside of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readily-verifiable historical performance of similar loans issued by the originators, as well as the overall experience and skill of the underwriters and servicing entities involved as counterparties to the Bank in these transactions. The performance of all purchased loan pools is monitored regularly from detailed reports and remittance reconciliations provided at least monthly by the external servicing entities.</w:t>
      </w:r>
    </w:p>
    <w:p>
      <w:pPr>
        <w:spacing w:after="0" w:line="109"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 See Note 5 for further detail of purchased loan pools.</w:t>
      </w:r>
    </w:p>
    <w:p>
      <w:pPr>
        <w:spacing w:after="0" w:line="134"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- 45 -</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18</w:t>
      </w:r>
    </w:p>
    <w:p>
      <w:pPr>
        <w:sectPr>
          <w:pgSz w:w="11900" w:h="16838" w:orient="portrait"/>
          <w:cols w:equalWidth="0" w:num="1">
            <w:col w:w="9400"/>
          </w:cols>
          <w:pgMar w:left="1260" w:top="1440" w:right="1246" w:bottom="0" w:gutter="0" w:footer="0" w:header="0"/>
          <w:type w:val="continuous"/>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18</w:t>
      </w:r>
    </w:p>
    <w:p>
      <w:pPr>
        <w:sectPr>
          <w:pgSz w:w="11900" w:h="16838" w:orient="portrait"/>
          <w:cols w:equalWidth="0" w:num="1">
            <w:col w:w="9026"/>
          </w:cols>
          <w:pgMar w:left="1440" w:top="1440" w:right="1440" w:bottom="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Credit Losses</w:t>
      </w:r>
    </w:p>
    <w:p>
      <w:pPr>
        <w:spacing w:after="0" w:line="20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ACL is established through provision for credit losses and reduced by loan charge-offs net of recoveries. The allowance for credit losses represents the amount available for lifetime credit losses in the Company’s loan portfolio as estimated by management.</w:t>
      </w:r>
    </w:p>
    <w:p>
      <w:pPr>
        <w:spacing w:after="0" w:line="137"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The Company establishes a specific allowance for all troubled credits identified through both normal and targeted credit review processes. Loans recognized within the internal review are identified as being individually evaluated and excluded from collective pools. Individually evaluated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 At December 31, 2025, the Bank’s position in individually evaluated loans consisted of 127 loans totaling $89.4 million. Of these loans, all were valued based on a collateral analysis. No loans were valued using the present value of future cash flows method. For all other loans, the Company uses the general allocation methodology that establishes an allowance to estimate the probable lifetime loss for each risk-rating category.</w:t>
      </w:r>
    </w:p>
    <w:p>
      <w:pPr>
        <w:spacing w:after="0" w:line="118"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The allowance for credit losses at December 31, 2025 and 2024 were $29.4 million and $17.2 million, respectively, or 3.28% and 1.88% of total year end loans on those dates, respectively. The increase in allowance for credit losses reflects a risk-based reserve build following the completion of the comprehensive loan portfolio review, which was proactively initiated by management, announced in October 2025, and completed in December 2025. The comprehensive loan portfolio review included all performing and nonperforming commercial loan relationships with exposures of $500,000 or more, representing approximately 90% of the commercial portfolio. The increase in allowance for credit losses in 2025 substantially addresses credit quality issues associated with legacy commercial loans.</w:t>
      </w:r>
    </w:p>
    <w:p>
      <w:pPr>
        <w:spacing w:after="0" w:line="136"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The Company recorded $4.2 million in net charge-offs in 2025, as compared to $9.8 million in net charge-offs in 2024. The ratio of net charge-offs to average loans decreased to 0.46% in 2025 from 1.09% in 2024. The decrease in charge-off activity in 2025, as compared to the previous year, was due to elevated loan charge-offs for 2024 that were related to the loan portfolio review conducted in the third quarter of 2024.</w:t>
      </w:r>
    </w:p>
    <w:p>
      <w:pPr>
        <w:spacing w:after="0" w:line="118" w:lineRule="exact"/>
        <w:rPr>
          <w:sz w:val="20"/>
          <w:szCs w:val="20"/>
          <w:color w:val="auto"/>
        </w:rPr>
      </w:pPr>
    </w:p>
    <w:p>
      <w:pPr>
        <w:ind w:right="80"/>
        <w:spacing w:after="0" w:line="363" w:lineRule="auto"/>
        <w:rPr>
          <w:sz w:val="20"/>
          <w:szCs w:val="20"/>
          <w:color w:val="auto"/>
        </w:rPr>
      </w:pPr>
      <w:r>
        <w:rPr>
          <w:rFonts w:ascii="Arial" w:cs="Arial" w:eastAsia="Arial" w:hAnsi="Arial"/>
          <w:sz w:val="18"/>
          <w:szCs w:val="18"/>
          <w:color w:val="auto"/>
        </w:rPr>
        <w:t>For further discussion of our allowance for credit losses procedures, please see “Business-Allowance for Credit Losses” and Note 6 to the consolidated financial statements contained in this Annual Report on Form 10-K.</w:t>
      </w:r>
    </w:p>
    <w:p>
      <w:pPr>
        <w:spacing w:after="0" w:line="94"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following table sets forth the allocation of allowance for credit losses by loan category for the years indicated. The allocation of the allowance by category is not necessarily indicative of future losses and does not restrict the use of the allowance to absorb losses in any category.</w:t>
      </w:r>
    </w:p>
    <w:p>
      <w:pPr>
        <w:spacing w:after="0" w:line="172" w:lineRule="exact"/>
        <w:rPr>
          <w:sz w:val="20"/>
          <w:szCs w:val="20"/>
          <w:color w:val="auto"/>
        </w:rPr>
      </w:pPr>
    </w:p>
    <w:p>
      <w:pPr>
        <w:ind w:left="4500"/>
        <w:spacing w:after="0"/>
        <w:tabs>
          <w:tab w:leader="none" w:pos="7580" w:val="left"/>
        </w:tabs>
        <w:rPr>
          <w:sz w:val="20"/>
          <w:szCs w:val="20"/>
          <w:color w:val="auto"/>
        </w:rPr>
      </w:pPr>
      <w:r>
        <w:rPr>
          <w:rFonts w:ascii="Arial" w:cs="Arial" w:eastAsia="Arial" w:hAnsi="Arial"/>
          <w:sz w:val="20"/>
          <w:szCs w:val="20"/>
          <w:color w:val="auto"/>
        </w:rPr>
        <w:t>2025</w:t>
      </w:r>
      <w:r>
        <w:rPr>
          <w:sz w:val="20"/>
          <w:szCs w:val="20"/>
          <w:color w:val="auto"/>
        </w:rPr>
        <w:tab/>
      </w:r>
      <w:r>
        <w:rPr>
          <w:rFonts w:ascii="Arial" w:cs="Arial" w:eastAsia="Arial" w:hAnsi="Arial"/>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26035</wp:posOffset>
            </wp:positionV>
            <wp:extent cx="386016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6016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18</w:t>
      </w:r>
    </w:p>
    <w:p>
      <w:pPr>
        <w:sectPr>
          <w:pgSz w:w="11900" w:h="16838" w:orient="portrait"/>
          <w:cols w:equalWidth="0" w:num="1">
            <w:col w:w="9400"/>
          </w:cols>
          <w:pgMar w:left="1260" w:top="1440" w:right="1246"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jc w:val="right"/>
              <w:ind w:right="200"/>
              <w:spacing w:after="0"/>
              <w:rPr>
                <w:sz w:val="20"/>
                <w:szCs w:val="20"/>
                <w:color w:val="auto"/>
              </w:rPr>
            </w:pPr>
            <w:r>
              <w:rPr>
                <w:rFonts w:ascii="Arial" w:cs="Arial" w:eastAsia="Arial" w:hAnsi="Arial"/>
                <w:sz w:val="20"/>
                <w:szCs w:val="20"/>
                <w:color w:val="auto"/>
              </w:rPr>
              <w:t>Percent of</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tcPr>
          <w:p>
            <w:pPr>
              <w:jc w:val="right"/>
              <w:ind w:right="160"/>
              <w:spacing w:after="0"/>
              <w:rPr>
                <w:sz w:val="20"/>
                <w:szCs w:val="20"/>
                <w:color w:val="auto"/>
              </w:rPr>
            </w:pPr>
            <w:r>
              <w:rPr>
                <w:rFonts w:ascii="Arial" w:cs="Arial" w:eastAsia="Arial" w:hAnsi="Arial"/>
                <w:sz w:val="20"/>
                <w:szCs w:val="20"/>
                <w:color w:val="auto"/>
              </w:rPr>
              <w:t>Percent of</w:t>
            </w:r>
          </w:p>
        </w:tc>
      </w:tr>
      <w:tr>
        <w:trPr>
          <w:trHeight w:val="300"/>
        </w:trPr>
        <w:tc>
          <w:tcPr>
            <w:tcW w:w="2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jc w:val="right"/>
              <w:ind w:right="100"/>
              <w:spacing w:after="0"/>
              <w:rPr>
                <w:sz w:val="20"/>
                <w:szCs w:val="20"/>
                <w:color w:val="auto"/>
              </w:rPr>
            </w:pPr>
            <w:r>
              <w:rPr>
                <w:rFonts w:ascii="Arial" w:cs="Arial" w:eastAsia="Arial" w:hAnsi="Arial"/>
                <w:sz w:val="20"/>
                <w:szCs w:val="20"/>
                <w:color w:val="auto"/>
              </w:rPr>
              <w:t>Allocation of</w:t>
            </w:r>
          </w:p>
        </w:tc>
        <w:tc>
          <w:tcPr>
            <w:tcW w:w="1600" w:type="dxa"/>
            <w:vAlign w:val="bottom"/>
          </w:tcPr>
          <w:p>
            <w:pPr>
              <w:jc w:val="right"/>
              <w:ind w:right="200"/>
              <w:spacing w:after="0"/>
              <w:rPr>
                <w:sz w:val="20"/>
                <w:szCs w:val="20"/>
                <w:color w:val="auto"/>
              </w:rPr>
            </w:pPr>
            <w:r>
              <w:rPr>
                <w:rFonts w:ascii="Arial" w:cs="Arial" w:eastAsia="Arial" w:hAnsi="Arial"/>
                <w:sz w:val="20"/>
                <w:szCs w:val="20"/>
                <w:color w:val="auto"/>
              </w:rPr>
              <w:t>Loans to Total</w:t>
            </w:r>
          </w:p>
        </w:tc>
        <w:tc>
          <w:tcPr>
            <w:tcW w:w="200" w:type="dxa"/>
            <w:vAlign w:val="bottom"/>
          </w:tcPr>
          <w:p>
            <w:pPr>
              <w:spacing w:after="0"/>
              <w:rPr>
                <w:sz w:val="24"/>
                <w:szCs w:val="24"/>
                <w:color w:val="auto"/>
              </w:rPr>
            </w:pPr>
          </w:p>
        </w:tc>
        <w:tc>
          <w:tcPr>
            <w:tcW w:w="1300" w:type="dxa"/>
            <w:vAlign w:val="bottom"/>
          </w:tcPr>
          <w:p>
            <w:pPr>
              <w:jc w:val="right"/>
              <w:ind w:right="80"/>
              <w:spacing w:after="0"/>
              <w:rPr>
                <w:sz w:val="20"/>
                <w:szCs w:val="20"/>
                <w:color w:val="auto"/>
              </w:rPr>
            </w:pPr>
            <w:r>
              <w:rPr>
                <w:rFonts w:ascii="Arial" w:cs="Arial" w:eastAsia="Arial" w:hAnsi="Arial"/>
                <w:sz w:val="20"/>
                <w:szCs w:val="20"/>
                <w:color w:val="auto"/>
              </w:rPr>
              <w:t>Allocation of</w:t>
            </w:r>
          </w:p>
        </w:tc>
        <w:tc>
          <w:tcPr>
            <w:tcW w:w="1560" w:type="dxa"/>
            <w:vAlign w:val="bottom"/>
          </w:tcPr>
          <w:p>
            <w:pPr>
              <w:jc w:val="right"/>
              <w:ind w:right="160"/>
              <w:spacing w:after="0"/>
              <w:rPr>
                <w:sz w:val="20"/>
                <w:szCs w:val="20"/>
                <w:color w:val="auto"/>
              </w:rPr>
            </w:pPr>
            <w:r>
              <w:rPr>
                <w:rFonts w:ascii="Arial" w:cs="Arial" w:eastAsia="Arial" w:hAnsi="Arial"/>
                <w:sz w:val="20"/>
                <w:szCs w:val="20"/>
                <w:color w:val="auto"/>
              </w:rPr>
              <w:t>Loans to Total</w:t>
            </w:r>
          </w:p>
        </w:tc>
      </w:tr>
      <w:tr>
        <w:trPr>
          <w:trHeight w:val="300"/>
        </w:trPr>
        <w:tc>
          <w:tcPr>
            <w:tcW w:w="2820" w:type="dxa"/>
            <w:vAlign w:val="bottom"/>
          </w:tcPr>
          <w:p>
            <w:pPr>
              <w:spacing w:after="0"/>
              <w:rPr>
                <w:sz w:val="20"/>
                <w:szCs w:val="20"/>
                <w:color w:val="auto"/>
              </w:rPr>
            </w:pPr>
            <w:r>
              <w:rPr>
                <w:rFonts w:ascii="Arial" w:cs="Arial" w:eastAsia="Arial" w:hAnsi="Arial"/>
                <w:sz w:val="20"/>
                <w:szCs w:val="20"/>
                <w:i w:val="1"/>
                <w:iCs w:val="1"/>
                <w:color w:val="auto"/>
              </w:rPr>
              <w:t>(Dollars in thousands)</w:t>
            </w:r>
          </w:p>
        </w:tc>
        <w:tc>
          <w:tcPr>
            <w:tcW w:w="600" w:type="dxa"/>
            <w:vAlign w:val="bottom"/>
          </w:tcPr>
          <w:p>
            <w:pPr>
              <w:spacing w:after="0"/>
              <w:rPr>
                <w:sz w:val="24"/>
                <w:szCs w:val="24"/>
                <w:color w:val="auto"/>
              </w:rPr>
            </w:pPr>
          </w:p>
        </w:tc>
        <w:tc>
          <w:tcPr>
            <w:tcW w:w="1320" w:type="dxa"/>
            <w:vAlign w:val="bottom"/>
          </w:tcPr>
          <w:p>
            <w:pPr>
              <w:jc w:val="right"/>
              <w:ind w:right="40"/>
              <w:spacing w:after="0"/>
              <w:rPr>
                <w:sz w:val="20"/>
                <w:szCs w:val="20"/>
                <w:color w:val="auto"/>
              </w:rPr>
            </w:pPr>
            <w:r>
              <w:rPr>
                <w:rFonts w:ascii="Arial" w:cs="Arial" w:eastAsia="Arial" w:hAnsi="Arial"/>
                <w:sz w:val="20"/>
                <w:szCs w:val="20"/>
                <w:color w:val="auto"/>
                <w:w w:val="93"/>
              </w:rPr>
              <w:t>the Allowance</w:t>
            </w:r>
          </w:p>
        </w:tc>
        <w:tc>
          <w:tcPr>
            <w:tcW w:w="1600" w:type="dxa"/>
            <w:vAlign w:val="bottom"/>
          </w:tcPr>
          <w:p>
            <w:pPr>
              <w:jc w:val="right"/>
              <w:ind w:right="160"/>
              <w:spacing w:after="0"/>
              <w:rPr>
                <w:sz w:val="20"/>
                <w:szCs w:val="20"/>
                <w:color w:val="auto"/>
              </w:rPr>
            </w:pPr>
            <w:r>
              <w:rPr>
                <w:rFonts w:ascii="Arial" w:cs="Arial" w:eastAsia="Arial" w:hAnsi="Arial"/>
                <w:sz w:val="20"/>
                <w:szCs w:val="20"/>
                <w:color w:val="auto"/>
              </w:rPr>
              <w:t>Loans</w:t>
            </w:r>
          </w:p>
        </w:tc>
        <w:tc>
          <w:tcPr>
            <w:tcW w:w="200" w:type="dxa"/>
            <w:vAlign w:val="bottom"/>
          </w:tcPr>
          <w:p>
            <w:pPr>
              <w:spacing w:after="0"/>
              <w:rPr>
                <w:sz w:val="24"/>
                <w:szCs w:val="24"/>
                <w:color w:val="auto"/>
              </w:rPr>
            </w:pPr>
          </w:p>
        </w:tc>
        <w:tc>
          <w:tcPr>
            <w:tcW w:w="1300" w:type="dxa"/>
            <w:vAlign w:val="bottom"/>
          </w:tcPr>
          <w:p>
            <w:pPr>
              <w:jc w:val="right"/>
              <w:ind w:right="40"/>
              <w:spacing w:after="0"/>
              <w:rPr>
                <w:sz w:val="20"/>
                <w:szCs w:val="20"/>
                <w:color w:val="auto"/>
              </w:rPr>
            </w:pPr>
            <w:r>
              <w:rPr>
                <w:rFonts w:ascii="Arial" w:cs="Arial" w:eastAsia="Arial" w:hAnsi="Arial"/>
                <w:sz w:val="20"/>
                <w:szCs w:val="20"/>
                <w:color w:val="auto"/>
                <w:w w:val="91"/>
              </w:rPr>
              <w:t>the Allowance</w:t>
            </w:r>
          </w:p>
        </w:tc>
        <w:tc>
          <w:tcPr>
            <w:tcW w:w="1560" w:type="dxa"/>
            <w:vAlign w:val="bottom"/>
          </w:tcPr>
          <w:p>
            <w:pPr>
              <w:jc w:val="right"/>
              <w:ind w:right="100"/>
              <w:spacing w:after="0"/>
              <w:rPr>
                <w:sz w:val="20"/>
                <w:szCs w:val="20"/>
                <w:color w:val="auto"/>
              </w:rPr>
            </w:pPr>
            <w:r>
              <w:rPr>
                <w:rFonts w:ascii="Arial" w:cs="Arial" w:eastAsia="Arial" w:hAnsi="Arial"/>
                <w:sz w:val="20"/>
                <w:szCs w:val="20"/>
                <w:color w:val="auto"/>
              </w:rPr>
              <w:t>Loans</w:t>
            </w:r>
          </w:p>
        </w:tc>
      </w:tr>
      <w:tr>
        <w:trPr>
          <w:trHeight w:val="51"/>
        </w:trPr>
        <w:tc>
          <w:tcPr>
            <w:tcW w:w="2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Residential real estate</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2,615</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2,059</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27.8%</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Commercial real estate</w:t>
            </w:r>
          </w:p>
        </w:tc>
        <w:tc>
          <w:tcPr>
            <w:tcW w:w="60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20"/>
                <w:szCs w:val="20"/>
                <w:color w:val="auto"/>
              </w:rPr>
              <w:t>10,580</w:t>
            </w:r>
          </w:p>
        </w:tc>
        <w:tc>
          <w:tcPr>
            <w:tcW w:w="1600" w:type="dxa"/>
            <w:vAlign w:val="bottom"/>
          </w:tcPr>
          <w:p>
            <w:pPr>
              <w:jc w:val="right"/>
              <w:spacing w:after="0"/>
              <w:rPr>
                <w:sz w:val="20"/>
                <w:szCs w:val="20"/>
                <w:color w:val="auto"/>
              </w:rPr>
            </w:pPr>
            <w:r>
              <w:rPr>
                <w:rFonts w:ascii="Arial" w:cs="Arial" w:eastAsia="Arial" w:hAnsi="Arial"/>
                <w:sz w:val="20"/>
                <w:szCs w:val="20"/>
                <w:color w:val="auto"/>
              </w:rPr>
              <w:t>42.4%</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6,746</w:t>
            </w:r>
          </w:p>
        </w:tc>
        <w:tc>
          <w:tcPr>
            <w:tcW w:w="1560" w:type="dxa"/>
            <w:vAlign w:val="bottom"/>
          </w:tcPr>
          <w:p>
            <w:pPr>
              <w:jc w:val="right"/>
              <w:spacing w:after="0"/>
              <w:rPr>
                <w:sz w:val="20"/>
                <w:szCs w:val="20"/>
                <w:color w:val="auto"/>
              </w:rPr>
            </w:pPr>
            <w:r>
              <w:rPr>
                <w:rFonts w:ascii="Arial" w:cs="Arial" w:eastAsia="Arial" w:hAnsi="Arial"/>
                <w:sz w:val="20"/>
                <w:szCs w:val="20"/>
                <w:color w:val="auto"/>
              </w:rPr>
              <w:t>41.1%</w:t>
            </w:r>
          </w:p>
        </w:tc>
      </w:tr>
      <w:tr>
        <w:trPr>
          <w:trHeight w:val="41"/>
        </w:trPr>
        <w:tc>
          <w:tcPr>
            <w:tcW w:w="2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and tax exempt</w:t>
            </w:r>
          </w:p>
        </w:tc>
        <w:tc>
          <w:tcPr>
            <w:tcW w:w="6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12,767</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18.2%</w:t>
            </w:r>
          </w:p>
        </w:tc>
        <w:tc>
          <w:tcPr>
            <w:tcW w:w="2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3,632</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17.6%</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Home equity and junior liens</w:t>
            </w:r>
          </w:p>
        </w:tc>
        <w:tc>
          <w:tcPr>
            <w:tcW w:w="60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20"/>
                <w:szCs w:val="20"/>
                <w:color w:val="auto"/>
              </w:rPr>
              <w:t>705</w:t>
            </w:r>
          </w:p>
        </w:tc>
        <w:tc>
          <w:tcPr>
            <w:tcW w:w="1600" w:type="dxa"/>
            <w:vAlign w:val="bottom"/>
          </w:tcPr>
          <w:p>
            <w:pPr>
              <w:jc w:val="right"/>
              <w:spacing w:after="0"/>
              <w:rPr>
                <w:sz w:val="20"/>
                <w:szCs w:val="20"/>
                <w:color w:val="auto"/>
              </w:rPr>
            </w:pPr>
            <w:r>
              <w:rPr>
                <w:rFonts w:ascii="Arial" w:cs="Arial" w:eastAsia="Arial" w:hAnsi="Arial"/>
                <w:sz w:val="20"/>
                <w:szCs w:val="20"/>
                <w:color w:val="auto"/>
              </w:rPr>
              <w:t>5.6%</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715</w:t>
            </w:r>
          </w:p>
        </w:tc>
        <w:tc>
          <w:tcPr>
            <w:tcW w:w="15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41"/>
        </w:trPr>
        <w:tc>
          <w:tcPr>
            <w:tcW w:w="2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30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loans</w:t>
            </w:r>
          </w:p>
        </w:tc>
        <w:tc>
          <w:tcPr>
            <w:tcW w:w="6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2,769</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7.0%</w:t>
            </w:r>
          </w:p>
        </w:tc>
        <w:tc>
          <w:tcPr>
            <w:tcW w:w="2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4,091</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w:t>
            </w:r>
          </w:p>
        </w:tc>
      </w:tr>
      <w:tr>
        <w:trPr>
          <w:trHeight w:val="274"/>
        </w:trPr>
        <w:tc>
          <w:tcPr>
            <w:tcW w:w="2820" w:type="dxa"/>
            <w:vAlign w:val="bottom"/>
          </w:tcPr>
          <w:p>
            <w:pPr>
              <w:ind w:left="20"/>
              <w:spacing w:after="0"/>
              <w:rPr>
                <w:sz w:val="20"/>
                <w:szCs w:val="20"/>
                <w:color w:val="auto"/>
              </w:rPr>
            </w:pPr>
            <w:r>
              <w:rPr>
                <w:rFonts w:ascii="Arial" w:cs="Arial" w:eastAsia="Arial" w:hAnsi="Arial"/>
                <w:sz w:val="20"/>
                <w:szCs w:val="20"/>
                <w:color w:val="auto"/>
              </w:rPr>
              <w:t>Total</w:t>
            </w: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40"/>
              <w:spacing w:after="0"/>
              <w:rPr>
                <w:sz w:val="20"/>
                <w:szCs w:val="20"/>
                <w:color w:val="auto"/>
              </w:rPr>
            </w:pPr>
            <w:r>
              <w:rPr>
                <w:rFonts w:ascii="Arial" w:cs="Arial" w:eastAsia="Arial" w:hAnsi="Arial"/>
                <w:sz w:val="20"/>
                <w:szCs w:val="20"/>
                <w:color w:val="auto"/>
              </w:rPr>
              <w:t>29,436</w:t>
            </w:r>
          </w:p>
        </w:tc>
        <w:tc>
          <w:tcPr>
            <w:tcW w:w="1600" w:type="dxa"/>
            <w:vAlign w:val="bottom"/>
          </w:tcPr>
          <w:p>
            <w:pPr>
              <w:jc w:val="right"/>
              <w:spacing w:after="0"/>
              <w:rPr>
                <w:sz w:val="20"/>
                <w:szCs w:val="20"/>
                <w:color w:val="auto"/>
              </w:rPr>
            </w:pPr>
            <w:r>
              <w:rPr>
                <w:rFonts w:ascii="Arial" w:cs="Arial" w:eastAsia="Arial" w:hAnsi="Arial"/>
                <w:sz w:val="20"/>
                <w:szCs w:val="20"/>
                <w:color w:val="auto"/>
              </w:rPr>
              <w:t>100.0%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17,243</w:t>
            </w:r>
          </w:p>
        </w:tc>
        <w:tc>
          <w:tcPr>
            <w:tcW w:w="1560" w:type="dxa"/>
            <w:vAlign w:val="bottom"/>
          </w:tcPr>
          <w:p>
            <w:pPr>
              <w:jc w:val="right"/>
              <w:spacing w:after="0"/>
              <w:rPr>
                <w:sz w:val="20"/>
                <w:szCs w:val="20"/>
                <w:color w:val="auto"/>
              </w:rPr>
            </w:pPr>
            <w:r>
              <w:rPr>
                <w:rFonts w:ascii="Arial" w:cs="Arial" w:eastAsia="Arial" w:hAnsi="Arial"/>
                <w:sz w:val="20"/>
                <w:szCs w:val="20"/>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-1184275</wp:posOffset>
            </wp:positionV>
            <wp:extent cx="596773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18</w:t>
      </w:r>
    </w:p>
    <w:p>
      <w:pPr>
        <w:sectPr>
          <w:pgSz w:w="11900" w:h="16838" w:orient="portrait"/>
          <w:cols w:equalWidth="0" w:num="1">
            <w:col w:w="9400"/>
          </w:cols>
          <w:pgMar w:left="1260" w:top="1177" w:right="1246" w:bottom="0" w:gutter="0" w:footer="0" w:header="0"/>
          <w:type w:val="continuous"/>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allowance for credit losses for the years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20"/>
                <w:szCs w:val="20"/>
                <w:i w:val="1"/>
                <w:iCs w:val="1"/>
                <w:color w:val="auto"/>
              </w:rPr>
              <w:t>(Dollars In thousands)</w:t>
            </w:r>
          </w:p>
        </w:tc>
        <w:tc>
          <w:tcPr>
            <w:tcW w:w="820" w:type="dxa"/>
            <w:vAlign w:val="bottom"/>
          </w:tcPr>
          <w:p>
            <w:pPr>
              <w:spacing w:after="0"/>
              <w:rPr>
                <w:sz w:val="19"/>
                <w:szCs w:val="19"/>
                <w:color w:val="auto"/>
              </w:rPr>
            </w:pPr>
          </w:p>
        </w:tc>
        <w:tc>
          <w:tcPr>
            <w:tcW w:w="940" w:type="dxa"/>
            <w:vAlign w:val="bottom"/>
          </w:tcPr>
          <w:p>
            <w:pPr>
              <w:jc w:val="right"/>
              <w:ind w:right="180"/>
              <w:spacing w:after="0"/>
              <w:rPr>
                <w:sz w:val="20"/>
                <w:szCs w:val="20"/>
                <w:color w:val="auto"/>
              </w:rPr>
            </w:pPr>
            <w:r>
              <w:rPr>
                <w:rFonts w:ascii="Arial" w:cs="Arial" w:eastAsia="Arial" w:hAnsi="Arial"/>
                <w:sz w:val="20"/>
                <w:szCs w:val="20"/>
                <w:color w:val="auto"/>
              </w:rPr>
              <w:t>2025</w:t>
            </w:r>
          </w:p>
        </w:tc>
        <w:tc>
          <w:tcPr>
            <w:tcW w:w="560" w:type="dxa"/>
            <w:vAlign w:val="bottom"/>
          </w:tcPr>
          <w:p>
            <w:pPr>
              <w:spacing w:after="0"/>
              <w:rPr>
                <w:sz w:val="19"/>
                <w:szCs w:val="19"/>
                <w:color w:val="auto"/>
              </w:rPr>
            </w:pPr>
          </w:p>
        </w:tc>
        <w:tc>
          <w:tcPr>
            <w:tcW w:w="1200" w:type="dxa"/>
            <w:vAlign w:val="bottom"/>
          </w:tcPr>
          <w:p>
            <w:pPr>
              <w:jc w:val="right"/>
              <w:ind w:right="100"/>
              <w:spacing w:after="0"/>
              <w:rPr>
                <w:sz w:val="20"/>
                <w:szCs w:val="20"/>
                <w:color w:val="auto"/>
              </w:rPr>
            </w:pPr>
            <w:r>
              <w:rPr>
                <w:rFonts w:ascii="Arial" w:cs="Arial" w:eastAsia="Arial" w:hAnsi="Arial"/>
                <w:sz w:val="20"/>
                <w:szCs w:val="20"/>
                <w:color w:val="auto"/>
              </w:rPr>
              <w:t>2024</w:t>
            </w:r>
          </w:p>
        </w:tc>
      </w:tr>
      <w:tr>
        <w:trPr>
          <w:trHeight w:val="51"/>
        </w:trPr>
        <w:tc>
          <w:tcPr>
            <w:tcW w:w="5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94"/>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Balance at beginning of year</w:t>
            </w:r>
          </w:p>
        </w:tc>
        <w:tc>
          <w:tcPr>
            <w:tcW w:w="820" w:type="dxa"/>
            <w:vAlign w:val="bottom"/>
            <w:tcBorders>
              <w:bottom w:val="single" w:sz="8" w:color="CFF0FC"/>
            </w:tcBorders>
            <w:shd w:val="clear" w:color="auto" w:fill="CFF0FC"/>
          </w:tcPr>
          <w:p>
            <w:pPr>
              <w:jc w:val="right"/>
              <w:ind w:right="600"/>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17,243</w:t>
            </w:r>
          </w:p>
        </w:tc>
        <w:tc>
          <w:tcPr>
            <w:tcW w:w="5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15,975</w:t>
            </w:r>
          </w:p>
        </w:tc>
      </w:tr>
      <w:tr>
        <w:trPr>
          <w:trHeight w:val="274"/>
        </w:trPr>
        <w:tc>
          <w:tcPr>
            <w:tcW w:w="5880" w:type="dxa"/>
            <w:vAlign w:val="bottom"/>
          </w:tcPr>
          <w:p>
            <w:pPr>
              <w:spacing w:after="0"/>
              <w:rPr>
                <w:sz w:val="20"/>
                <w:szCs w:val="20"/>
                <w:color w:val="auto"/>
              </w:rPr>
            </w:pPr>
            <w:r>
              <w:rPr>
                <w:rFonts w:ascii="Arial" w:cs="Arial" w:eastAsia="Arial" w:hAnsi="Arial"/>
                <w:sz w:val="20"/>
                <w:szCs w:val="20"/>
                <w:color w:val="auto"/>
              </w:rPr>
              <w:t>Adoption of New Accounting Standards</w:t>
            </w:r>
          </w:p>
        </w:tc>
        <w:tc>
          <w:tcPr>
            <w:tcW w:w="820" w:type="dxa"/>
            <w:vAlign w:val="bottom"/>
          </w:tcPr>
          <w:p>
            <w:pPr>
              <w:spacing w:after="0"/>
              <w:rPr>
                <w:sz w:val="23"/>
                <w:szCs w:val="23"/>
                <w:color w:val="auto"/>
              </w:rPr>
            </w:pPr>
          </w:p>
        </w:tc>
        <w:tc>
          <w:tcPr>
            <w:tcW w:w="94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3"/>
                <w:szCs w:val="23"/>
                <w:color w:val="auto"/>
              </w:rPr>
            </w:pPr>
          </w:p>
        </w:tc>
        <w:tc>
          <w:tcPr>
            <w:tcW w:w="1200" w:type="dxa"/>
            <w:vAlign w:val="bottom"/>
          </w:tcPr>
          <w:p>
            <w:pPr>
              <w:jc w:val="right"/>
              <w:ind w:right="100"/>
              <w:spacing w:after="0"/>
              <w:rPr>
                <w:sz w:val="20"/>
                <w:szCs w:val="20"/>
                <w:color w:val="auto"/>
              </w:rPr>
            </w:pPr>
            <w:r>
              <w:rPr>
                <w:rFonts w:ascii="Arial" w:cs="Arial" w:eastAsia="Arial" w:hAnsi="Arial"/>
                <w:sz w:val="20"/>
                <w:szCs w:val="20"/>
                <w:color w:val="auto"/>
              </w:rPr>
              <w:t>-</w:t>
            </w:r>
          </w:p>
        </w:tc>
      </w:tr>
      <w:tr>
        <w:trPr>
          <w:trHeight w:val="41"/>
        </w:trPr>
        <w:tc>
          <w:tcPr>
            <w:tcW w:w="5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04"/>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Provisions charged to operating expenses</w:t>
            </w:r>
          </w:p>
        </w:tc>
        <w:tc>
          <w:tcPr>
            <w:tcW w:w="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16,403</w:t>
            </w: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11,106</w:t>
            </w:r>
          </w:p>
        </w:tc>
      </w:tr>
      <w:tr>
        <w:trPr>
          <w:trHeight w:val="274"/>
        </w:trPr>
        <w:tc>
          <w:tcPr>
            <w:tcW w:w="5880" w:type="dxa"/>
            <w:vAlign w:val="bottom"/>
          </w:tcPr>
          <w:p>
            <w:pPr>
              <w:spacing w:after="0"/>
              <w:rPr>
                <w:sz w:val="20"/>
                <w:szCs w:val="20"/>
                <w:color w:val="auto"/>
              </w:rPr>
            </w:pPr>
            <w:r>
              <w:rPr>
                <w:rFonts w:ascii="Arial" w:cs="Arial" w:eastAsia="Arial" w:hAnsi="Arial"/>
                <w:sz w:val="20"/>
                <w:szCs w:val="20"/>
                <w:b w:val="1"/>
                <w:bCs w:val="1"/>
                <w:color w:val="auto"/>
              </w:rPr>
              <w:t>Recoveries of loans previously charged-off:</w:t>
            </w: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1"/>
        </w:trPr>
        <w:tc>
          <w:tcPr>
            <w:tcW w:w="5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4"/>
        </w:trPr>
        <w:tc>
          <w:tcPr>
            <w:tcW w:w="58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Commercial real estate and loans</w:t>
            </w:r>
          </w:p>
        </w:tc>
        <w:tc>
          <w:tcPr>
            <w:tcW w:w="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220</w:t>
            </w: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90</w:t>
            </w:r>
          </w:p>
        </w:tc>
      </w:tr>
      <w:tr>
        <w:trPr>
          <w:trHeight w:val="274"/>
        </w:trPr>
        <w:tc>
          <w:tcPr>
            <w:tcW w:w="5880" w:type="dxa"/>
            <w:vAlign w:val="bottom"/>
          </w:tcPr>
          <w:p>
            <w:pPr>
              <w:ind w:left="40"/>
              <w:spacing w:after="0"/>
              <w:rPr>
                <w:sz w:val="20"/>
                <w:szCs w:val="20"/>
                <w:color w:val="auto"/>
              </w:rPr>
            </w:pPr>
            <w:r>
              <w:rPr>
                <w:rFonts w:ascii="Arial" w:cs="Arial" w:eastAsia="Arial" w:hAnsi="Arial"/>
                <w:sz w:val="20"/>
                <w:szCs w:val="20"/>
                <w:color w:val="auto"/>
              </w:rPr>
              <w:t>Consumer and home equity</w:t>
            </w:r>
          </w:p>
        </w:tc>
        <w:tc>
          <w:tcPr>
            <w:tcW w:w="820" w:type="dxa"/>
            <w:vAlign w:val="bottom"/>
          </w:tcPr>
          <w:p>
            <w:pPr>
              <w:spacing w:after="0"/>
              <w:rPr>
                <w:sz w:val="23"/>
                <w:szCs w:val="23"/>
                <w:color w:val="auto"/>
              </w:rPr>
            </w:pPr>
          </w:p>
        </w:tc>
        <w:tc>
          <w:tcPr>
            <w:tcW w:w="940" w:type="dxa"/>
            <w:vAlign w:val="bottom"/>
          </w:tcPr>
          <w:p>
            <w:pPr>
              <w:jc w:val="right"/>
              <w:ind w:right="180"/>
              <w:spacing w:after="0"/>
              <w:rPr>
                <w:sz w:val="20"/>
                <w:szCs w:val="20"/>
                <w:color w:val="auto"/>
              </w:rPr>
            </w:pPr>
            <w:r>
              <w:rPr>
                <w:rFonts w:ascii="Arial" w:cs="Arial" w:eastAsia="Arial" w:hAnsi="Arial"/>
                <w:sz w:val="20"/>
                <w:szCs w:val="20"/>
                <w:color w:val="auto"/>
              </w:rPr>
              <w:t>605</w:t>
            </w:r>
          </w:p>
        </w:tc>
        <w:tc>
          <w:tcPr>
            <w:tcW w:w="560" w:type="dxa"/>
            <w:vAlign w:val="bottom"/>
          </w:tcPr>
          <w:p>
            <w:pPr>
              <w:spacing w:after="0"/>
              <w:rPr>
                <w:sz w:val="23"/>
                <w:szCs w:val="23"/>
                <w:color w:val="auto"/>
              </w:rPr>
            </w:pPr>
          </w:p>
        </w:tc>
        <w:tc>
          <w:tcPr>
            <w:tcW w:w="1200" w:type="dxa"/>
            <w:vAlign w:val="bottom"/>
          </w:tcPr>
          <w:p>
            <w:pPr>
              <w:jc w:val="right"/>
              <w:ind w:right="100"/>
              <w:spacing w:after="0"/>
              <w:rPr>
                <w:sz w:val="20"/>
                <w:szCs w:val="20"/>
                <w:color w:val="auto"/>
              </w:rPr>
            </w:pPr>
            <w:r>
              <w:rPr>
                <w:rFonts w:ascii="Arial" w:cs="Arial" w:eastAsia="Arial" w:hAnsi="Arial"/>
                <w:sz w:val="20"/>
                <w:szCs w:val="20"/>
                <w:color w:val="auto"/>
              </w:rPr>
              <w:t>221</w:t>
            </w:r>
          </w:p>
        </w:tc>
      </w:tr>
      <w:tr>
        <w:trPr>
          <w:trHeight w:val="41"/>
        </w:trPr>
        <w:tc>
          <w:tcPr>
            <w:tcW w:w="5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04"/>
        </w:trPr>
        <w:tc>
          <w:tcPr>
            <w:tcW w:w="58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Residential real estate</w:t>
            </w:r>
          </w:p>
        </w:tc>
        <w:tc>
          <w:tcPr>
            <w:tcW w:w="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5</w:t>
            </w: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34</w:t>
            </w:r>
          </w:p>
        </w:tc>
      </w:tr>
      <w:tr>
        <w:trPr>
          <w:trHeight w:val="274"/>
        </w:trPr>
        <w:tc>
          <w:tcPr>
            <w:tcW w:w="5880" w:type="dxa"/>
            <w:vAlign w:val="bottom"/>
          </w:tcPr>
          <w:p>
            <w:pPr>
              <w:ind w:left="100"/>
              <w:spacing w:after="0"/>
              <w:rPr>
                <w:sz w:val="20"/>
                <w:szCs w:val="20"/>
                <w:color w:val="auto"/>
              </w:rPr>
            </w:pPr>
            <w:r>
              <w:rPr>
                <w:rFonts w:ascii="Arial" w:cs="Arial" w:eastAsia="Arial" w:hAnsi="Arial"/>
                <w:sz w:val="20"/>
                <w:szCs w:val="20"/>
                <w:color w:val="auto"/>
              </w:rPr>
              <w:t>Total recoveries</w:t>
            </w:r>
          </w:p>
        </w:tc>
        <w:tc>
          <w:tcPr>
            <w:tcW w:w="820" w:type="dxa"/>
            <w:vAlign w:val="bottom"/>
          </w:tcPr>
          <w:p>
            <w:pPr>
              <w:spacing w:after="0"/>
              <w:rPr>
                <w:sz w:val="23"/>
                <w:szCs w:val="23"/>
                <w:color w:val="auto"/>
              </w:rPr>
            </w:pPr>
          </w:p>
        </w:tc>
        <w:tc>
          <w:tcPr>
            <w:tcW w:w="940" w:type="dxa"/>
            <w:vAlign w:val="bottom"/>
          </w:tcPr>
          <w:p>
            <w:pPr>
              <w:jc w:val="right"/>
              <w:ind w:right="180"/>
              <w:spacing w:after="0"/>
              <w:rPr>
                <w:sz w:val="20"/>
                <w:szCs w:val="20"/>
                <w:color w:val="auto"/>
              </w:rPr>
            </w:pPr>
            <w:r>
              <w:rPr>
                <w:rFonts w:ascii="Arial" w:cs="Arial" w:eastAsia="Arial" w:hAnsi="Arial"/>
                <w:sz w:val="20"/>
                <w:szCs w:val="20"/>
                <w:color w:val="auto"/>
              </w:rPr>
              <w:t>830</w:t>
            </w:r>
          </w:p>
        </w:tc>
        <w:tc>
          <w:tcPr>
            <w:tcW w:w="560" w:type="dxa"/>
            <w:vAlign w:val="bottom"/>
          </w:tcPr>
          <w:p>
            <w:pPr>
              <w:spacing w:after="0"/>
              <w:rPr>
                <w:sz w:val="23"/>
                <w:szCs w:val="23"/>
                <w:color w:val="auto"/>
              </w:rPr>
            </w:pPr>
          </w:p>
        </w:tc>
        <w:tc>
          <w:tcPr>
            <w:tcW w:w="1200" w:type="dxa"/>
            <w:vAlign w:val="bottom"/>
          </w:tcPr>
          <w:p>
            <w:pPr>
              <w:jc w:val="right"/>
              <w:ind w:right="100"/>
              <w:spacing w:after="0"/>
              <w:rPr>
                <w:sz w:val="20"/>
                <w:szCs w:val="20"/>
                <w:color w:val="auto"/>
              </w:rPr>
            </w:pPr>
            <w:r>
              <w:rPr>
                <w:rFonts w:ascii="Arial" w:cs="Arial" w:eastAsia="Arial" w:hAnsi="Arial"/>
                <w:sz w:val="20"/>
                <w:szCs w:val="20"/>
                <w:color w:val="auto"/>
              </w:rPr>
              <w:t>345</w:t>
            </w:r>
          </w:p>
        </w:tc>
      </w:tr>
      <w:tr>
        <w:trPr>
          <w:trHeight w:val="51"/>
        </w:trPr>
        <w:tc>
          <w:tcPr>
            <w:tcW w:w="5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94"/>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Loans charged off:</w:t>
            </w:r>
          </w:p>
        </w:tc>
        <w:tc>
          <w:tcPr>
            <w:tcW w:w="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r>
      <w:tr>
        <w:trPr>
          <w:trHeight w:val="274"/>
        </w:trPr>
        <w:tc>
          <w:tcPr>
            <w:tcW w:w="5880" w:type="dxa"/>
            <w:vAlign w:val="bottom"/>
          </w:tcPr>
          <w:p>
            <w:pPr>
              <w:ind w:left="40"/>
              <w:spacing w:after="0"/>
              <w:rPr>
                <w:sz w:val="20"/>
                <w:szCs w:val="20"/>
                <w:color w:val="auto"/>
              </w:rPr>
            </w:pPr>
            <w:r>
              <w:rPr>
                <w:rFonts w:ascii="Arial" w:cs="Arial" w:eastAsia="Arial" w:hAnsi="Arial"/>
                <w:sz w:val="20"/>
                <w:szCs w:val="20"/>
                <w:color w:val="auto"/>
              </w:rPr>
              <w:t>Commercial real estate and loans</w:t>
            </w:r>
          </w:p>
        </w:tc>
        <w:tc>
          <w:tcPr>
            <w:tcW w:w="820" w:type="dxa"/>
            <w:vAlign w:val="bottom"/>
          </w:tcPr>
          <w:p>
            <w:pPr>
              <w:spacing w:after="0"/>
              <w:rPr>
                <w:sz w:val="23"/>
                <w:szCs w:val="23"/>
                <w:color w:val="auto"/>
              </w:rPr>
            </w:pPr>
          </w:p>
        </w:tc>
        <w:tc>
          <w:tcPr>
            <w:tcW w:w="940" w:type="dxa"/>
            <w:vAlign w:val="bottom"/>
          </w:tcPr>
          <w:p>
            <w:pPr>
              <w:jc w:val="right"/>
              <w:ind w:right="100"/>
              <w:spacing w:after="0"/>
              <w:rPr>
                <w:sz w:val="20"/>
                <w:szCs w:val="20"/>
                <w:color w:val="auto"/>
              </w:rPr>
            </w:pPr>
            <w:r>
              <w:rPr>
                <w:rFonts w:ascii="Arial" w:cs="Arial" w:eastAsia="Arial" w:hAnsi="Arial"/>
                <w:sz w:val="20"/>
                <w:szCs w:val="20"/>
                <w:color w:val="auto"/>
              </w:rPr>
              <w:t>(2,740)</w:t>
            </w:r>
          </w:p>
        </w:tc>
        <w:tc>
          <w:tcPr>
            <w:tcW w:w="5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(6,473)</w:t>
            </w:r>
          </w:p>
        </w:tc>
      </w:tr>
      <w:tr>
        <w:trPr>
          <w:trHeight w:val="41"/>
        </w:trPr>
        <w:tc>
          <w:tcPr>
            <w:tcW w:w="5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4"/>
        </w:trPr>
        <w:tc>
          <w:tcPr>
            <w:tcW w:w="58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Consumer and home equity</w:t>
            </w:r>
          </w:p>
        </w:tc>
        <w:tc>
          <w:tcPr>
            <w:tcW w:w="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(2,154)</w:t>
            </w: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(3,663)</w:t>
            </w:r>
          </w:p>
        </w:tc>
      </w:tr>
      <w:tr>
        <w:trPr>
          <w:trHeight w:val="274"/>
        </w:trPr>
        <w:tc>
          <w:tcPr>
            <w:tcW w:w="5880" w:type="dxa"/>
            <w:vAlign w:val="bottom"/>
          </w:tcPr>
          <w:p>
            <w:pPr>
              <w:ind w:left="40"/>
              <w:spacing w:after="0"/>
              <w:rPr>
                <w:sz w:val="20"/>
                <w:szCs w:val="20"/>
                <w:color w:val="auto"/>
              </w:rPr>
            </w:pPr>
            <w:r>
              <w:rPr>
                <w:rFonts w:ascii="Arial" w:cs="Arial" w:eastAsia="Arial" w:hAnsi="Arial"/>
                <w:sz w:val="20"/>
                <w:szCs w:val="20"/>
                <w:color w:val="auto"/>
              </w:rPr>
              <w:t>Residential real estate</w:t>
            </w:r>
          </w:p>
        </w:tc>
        <w:tc>
          <w:tcPr>
            <w:tcW w:w="820" w:type="dxa"/>
            <w:vAlign w:val="bottom"/>
          </w:tcPr>
          <w:p>
            <w:pPr>
              <w:spacing w:after="0"/>
              <w:rPr>
                <w:sz w:val="23"/>
                <w:szCs w:val="23"/>
                <w:color w:val="auto"/>
              </w:rPr>
            </w:pPr>
          </w:p>
        </w:tc>
        <w:tc>
          <w:tcPr>
            <w:tcW w:w="940" w:type="dxa"/>
            <w:vAlign w:val="bottom"/>
          </w:tcPr>
          <w:p>
            <w:pPr>
              <w:jc w:val="right"/>
              <w:ind w:right="100"/>
              <w:spacing w:after="0"/>
              <w:rPr>
                <w:sz w:val="20"/>
                <w:szCs w:val="20"/>
                <w:color w:val="auto"/>
              </w:rPr>
            </w:pPr>
            <w:r>
              <w:rPr>
                <w:rFonts w:ascii="Arial" w:cs="Arial" w:eastAsia="Arial" w:hAnsi="Arial"/>
                <w:sz w:val="20"/>
                <w:szCs w:val="20"/>
                <w:color w:val="auto"/>
              </w:rPr>
              <w:t>(146)</w:t>
            </w:r>
          </w:p>
        </w:tc>
        <w:tc>
          <w:tcPr>
            <w:tcW w:w="5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(47)</w:t>
            </w:r>
          </w:p>
        </w:tc>
      </w:tr>
      <w:tr>
        <w:trPr>
          <w:trHeight w:val="51"/>
        </w:trPr>
        <w:tc>
          <w:tcPr>
            <w:tcW w:w="5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04"/>
        </w:trPr>
        <w:tc>
          <w:tcPr>
            <w:tcW w:w="5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Total charged-off</w:t>
            </w:r>
          </w:p>
        </w:tc>
        <w:tc>
          <w:tcPr>
            <w:tcW w:w="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(5,040)</w:t>
            </w: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(10,183)</w:t>
            </w:r>
          </w:p>
        </w:tc>
      </w:tr>
      <w:tr>
        <w:trPr>
          <w:trHeight w:val="274"/>
        </w:trPr>
        <w:tc>
          <w:tcPr>
            <w:tcW w:w="5880" w:type="dxa"/>
            <w:vAlign w:val="bottom"/>
          </w:tcPr>
          <w:p>
            <w:pPr>
              <w:spacing w:after="0"/>
              <w:rPr>
                <w:sz w:val="20"/>
                <w:szCs w:val="20"/>
                <w:color w:val="auto"/>
              </w:rPr>
            </w:pPr>
            <w:r>
              <w:rPr>
                <w:rFonts w:ascii="Arial" w:cs="Arial" w:eastAsia="Arial" w:hAnsi="Arial"/>
                <w:sz w:val="20"/>
                <w:szCs w:val="20"/>
                <w:color w:val="auto"/>
              </w:rPr>
              <w:t>Net charge-offs</w:t>
            </w:r>
          </w:p>
        </w:tc>
        <w:tc>
          <w:tcPr>
            <w:tcW w:w="820" w:type="dxa"/>
            <w:vAlign w:val="bottom"/>
          </w:tcPr>
          <w:p>
            <w:pPr>
              <w:spacing w:after="0"/>
              <w:rPr>
                <w:sz w:val="23"/>
                <w:szCs w:val="23"/>
                <w:color w:val="auto"/>
              </w:rPr>
            </w:pPr>
          </w:p>
        </w:tc>
        <w:tc>
          <w:tcPr>
            <w:tcW w:w="940" w:type="dxa"/>
            <w:vAlign w:val="bottom"/>
          </w:tcPr>
          <w:p>
            <w:pPr>
              <w:jc w:val="right"/>
              <w:ind w:right="100"/>
              <w:spacing w:after="0"/>
              <w:rPr>
                <w:sz w:val="20"/>
                <w:szCs w:val="20"/>
                <w:color w:val="auto"/>
              </w:rPr>
            </w:pPr>
            <w:r>
              <w:rPr>
                <w:rFonts w:ascii="Arial" w:cs="Arial" w:eastAsia="Arial" w:hAnsi="Arial"/>
                <w:sz w:val="20"/>
                <w:szCs w:val="20"/>
                <w:color w:val="auto"/>
              </w:rPr>
              <w:t>(4,210)</w:t>
            </w:r>
          </w:p>
        </w:tc>
        <w:tc>
          <w:tcPr>
            <w:tcW w:w="5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(9,838)</w:t>
            </w:r>
          </w:p>
        </w:tc>
      </w:tr>
      <w:tr>
        <w:trPr>
          <w:trHeight w:val="51"/>
        </w:trPr>
        <w:tc>
          <w:tcPr>
            <w:tcW w:w="5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4"/>
        </w:trPr>
        <w:tc>
          <w:tcPr>
            <w:tcW w:w="58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Balance at end of year</w:t>
            </w:r>
          </w:p>
        </w:tc>
        <w:tc>
          <w:tcPr>
            <w:tcW w:w="820" w:type="dxa"/>
            <w:vAlign w:val="bottom"/>
            <w:shd w:val="clear" w:color="auto" w:fill="CFF0FC"/>
          </w:tcPr>
          <w:p>
            <w:pPr>
              <w:jc w:val="right"/>
              <w:ind w:right="60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29,436</w:t>
            </w:r>
          </w:p>
        </w:tc>
        <w:tc>
          <w:tcPr>
            <w:tcW w:w="560" w:type="dxa"/>
            <w:vAlign w:val="bottom"/>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17,243</w:t>
            </w:r>
          </w:p>
        </w:tc>
      </w:tr>
      <w:tr>
        <w:trPr>
          <w:trHeight w:val="86"/>
        </w:trPr>
        <w:tc>
          <w:tcPr>
            <w:tcW w:w="588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r>
      <w:tr>
        <w:trPr>
          <w:trHeight w:val="274"/>
        </w:trPr>
        <w:tc>
          <w:tcPr>
            <w:tcW w:w="5880" w:type="dxa"/>
            <w:vAlign w:val="bottom"/>
          </w:tcPr>
          <w:p>
            <w:pPr>
              <w:spacing w:after="0"/>
              <w:rPr>
                <w:sz w:val="20"/>
                <w:szCs w:val="20"/>
                <w:color w:val="auto"/>
              </w:rPr>
            </w:pPr>
            <w:r>
              <w:rPr>
                <w:rFonts w:ascii="Arial" w:cs="Arial" w:eastAsia="Arial" w:hAnsi="Arial"/>
                <w:sz w:val="20"/>
                <w:szCs w:val="20"/>
                <w:color w:val="auto"/>
              </w:rPr>
              <w:t>Net charge-offs to average loans outstanding</w:t>
            </w:r>
          </w:p>
        </w:tc>
        <w:tc>
          <w:tcPr>
            <w:tcW w:w="8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0.47%</w:t>
            </w:r>
          </w:p>
        </w:tc>
        <w:tc>
          <w:tcPr>
            <w:tcW w:w="5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51"/>
        </w:trPr>
        <w:tc>
          <w:tcPr>
            <w:tcW w:w="5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04"/>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Allowance for credit losses to year-end loans</w:t>
            </w:r>
          </w:p>
        </w:tc>
        <w:tc>
          <w:tcPr>
            <w:tcW w:w="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3.28%</w:t>
            </w: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1.88%</w:t>
            </w:r>
          </w:p>
        </w:tc>
      </w:tr>
      <w:tr>
        <w:trPr>
          <w:trHeight w:val="499"/>
        </w:trPr>
        <w:tc>
          <w:tcPr>
            <w:tcW w:w="6700" w:type="dxa"/>
            <w:vAlign w:val="bottom"/>
            <w:gridSpan w:val="2"/>
          </w:tcPr>
          <w:p>
            <w:pPr>
              <w:spacing w:after="0"/>
              <w:rPr>
                <w:sz w:val="20"/>
                <w:szCs w:val="20"/>
                <w:color w:val="auto"/>
              </w:rPr>
            </w:pPr>
            <w:r>
              <w:rPr>
                <w:rFonts w:ascii="Arial" w:cs="Arial" w:eastAsia="Arial" w:hAnsi="Arial"/>
                <w:sz w:val="20"/>
                <w:szCs w:val="20"/>
                <w:color w:val="auto"/>
                <w:w w:val="92"/>
              </w:rPr>
              <w:t>The following table sets forth the loan net charge-off ratios for the years indicated:</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64"/>
        </w:trPr>
        <w:tc>
          <w:tcPr>
            <w:tcW w:w="5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jc w:val="right"/>
              <w:ind w:right="180"/>
              <w:spacing w:after="0"/>
              <w:rPr>
                <w:sz w:val="20"/>
                <w:szCs w:val="20"/>
                <w:color w:val="auto"/>
              </w:rPr>
            </w:pPr>
            <w:r>
              <w:rPr>
                <w:rFonts w:ascii="Arial" w:cs="Arial" w:eastAsia="Arial" w:hAnsi="Arial"/>
                <w:sz w:val="20"/>
                <w:szCs w:val="20"/>
                <w:color w:val="auto"/>
              </w:rPr>
              <w:t>2025</w:t>
            </w:r>
          </w:p>
        </w:tc>
        <w:tc>
          <w:tcPr>
            <w:tcW w:w="560" w:type="dxa"/>
            <w:vAlign w:val="bottom"/>
          </w:tcPr>
          <w:p>
            <w:pPr>
              <w:spacing w:after="0"/>
              <w:rPr>
                <w:sz w:val="24"/>
                <w:szCs w:val="24"/>
                <w:color w:val="auto"/>
              </w:rPr>
            </w:pPr>
          </w:p>
        </w:tc>
        <w:tc>
          <w:tcPr>
            <w:tcW w:w="1200" w:type="dxa"/>
            <w:vAlign w:val="bottom"/>
          </w:tcPr>
          <w:p>
            <w:pPr>
              <w:jc w:val="right"/>
              <w:ind w:right="100"/>
              <w:spacing w:after="0"/>
              <w:rPr>
                <w:sz w:val="20"/>
                <w:szCs w:val="20"/>
                <w:color w:val="auto"/>
              </w:rPr>
            </w:pPr>
            <w:r>
              <w:rPr>
                <w:rFonts w:ascii="Arial" w:cs="Arial" w:eastAsia="Arial" w:hAnsi="Arial"/>
                <w:sz w:val="20"/>
                <w:szCs w:val="20"/>
                <w:color w:val="auto"/>
              </w:rPr>
              <w:t>2024</w:t>
            </w:r>
          </w:p>
        </w:tc>
      </w:tr>
      <w:tr>
        <w:trPr>
          <w:trHeight w:val="324"/>
        </w:trPr>
        <w:tc>
          <w:tcPr>
            <w:tcW w:w="5880" w:type="dxa"/>
            <w:vAlign w:val="bottom"/>
          </w:tcPr>
          <w:p>
            <w:pPr>
              <w:ind w:left="40"/>
              <w:spacing w:after="0"/>
              <w:rPr>
                <w:sz w:val="20"/>
                <w:szCs w:val="20"/>
                <w:color w:val="auto"/>
              </w:rPr>
            </w:pPr>
            <w:r>
              <w:rPr>
                <w:rFonts w:ascii="Arial" w:cs="Arial" w:eastAsia="Arial" w:hAnsi="Arial"/>
                <w:sz w:val="20"/>
                <w:szCs w:val="20"/>
                <w:color w:val="auto"/>
              </w:rPr>
              <w:t>Allowance for credit losses to year-end loans</w:t>
            </w:r>
          </w:p>
        </w:tc>
        <w:tc>
          <w:tcPr>
            <w:tcW w:w="8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3.28%</w:t>
            </w:r>
          </w:p>
        </w:tc>
        <w:tc>
          <w:tcPr>
            <w:tcW w:w="5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1.88%</w:t>
            </w:r>
          </w:p>
        </w:tc>
      </w:tr>
      <w:tr>
        <w:trPr>
          <w:trHeight w:val="41"/>
        </w:trPr>
        <w:tc>
          <w:tcPr>
            <w:tcW w:w="5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4"/>
        </w:trPr>
        <w:tc>
          <w:tcPr>
            <w:tcW w:w="58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Allowance for credit losses to nonperforming loans</w:t>
            </w:r>
          </w:p>
        </w:tc>
        <w:tc>
          <w:tcPr>
            <w:tcW w:w="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106.80%</w:t>
            </w: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78.08%</w:t>
            </w:r>
          </w:p>
        </w:tc>
      </w:tr>
      <w:tr>
        <w:trPr>
          <w:trHeight w:val="274"/>
        </w:trPr>
        <w:tc>
          <w:tcPr>
            <w:tcW w:w="5880" w:type="dxa"/>
            <w:vAlign w:val="bottom"/>
          </w:tcPr>
          <w:p>
            <w:pPr>
              <w:ind w:left="40"/>
              <w:spacing w:after="0"/>
              <w:rPr>
                <w:sz w:val="20"/>
                <w:szCs w:val="20"/>
                <w:color w:val="auto"/>
              </w:rPr>
            </w:pPr>
            <w:r>
              <w:rPr>
                <w:rFonts w:ascii="Arial" w:cs="Arial" w:eastAsia="Arial" w:hAnsi="Arial"/>
                <w:sz w:val="20"/>
                <w:szCs w:val="20"/>
                <w:color w:val="auto"/>
              </w:rPr>
              <w:t>Nonaccrual loans to total loans</w:t>
            </w:r>
          </w:p>
        </w:tc>
        <w:tc>
          <w:tcPr>
            <w:tcW w:w="8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3.07%</w:t>
            </w:r>
          </w:p>
        </w:tc>
        <w:tc>
          <w:tcPr>
            <w:tcW w:w="5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2.40%</w:t>
            </w:r>
          </w:p>
        </w:tc>
      </w:tr>
      <w:tr>
        <w:trPr>
          <w:trHeight w:val="41"/>
        </w:trPr>
        <w:tc>
          <w:tcPr>
            <w:tcW w:w="5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4"/>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Net charge-offs to average loans outstanding</w:t>
            </w:r>
          </w:p>
        </w:tc>
        <w:tc>
          <w:tcPr>
            <w:tcW w:w="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r>
      <w:tr>
        <w:trPr>
          <w:trHeight w:val="274"/>
        </w:trPr>
        <w:tc>
          <w:tcPr>
            <w:tcW w:w="5880" w:type="dxa"/>
            <w:vAlign w:val="bottom"/>
          </w:tcPr>
          <w:p>
            <w:pPr>
              <w:ind w:left="40"/>
              <w:spacing w:after="0"/>
              <w:rPr>
                <w:sz w:val="20"/>
                <w:szCs w:val="20"/>
                <w:color w:val="auto"/>
              </w:rPr>
            </w:pPr>
            <w:r>
              <w:rPr>
                <w:rFonts w:ascii="Arial" w:cs="Arial" w:eastAsia="Arial" w:hAnsi="Arial"/>
                <w:sz w:val="20"/>
                <w:szCs w:val="20"/>
                <w:color w:val="auto"/>
              </w:rPr>
              <w:t>Commercial real estate and loans</w:t>
            </w:r>
          </w:p>
        </w:tc>
        <w:tc>
          <w:tcPr>
            <w:tcW w:w="8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0.28%</w:t>
            </w:r>
          </w:p>
        </w:tc>
        <w:tc>
          <w:tcPr>
            <w:tcW w:w="5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0.71%</w:t>
            </w:r>
          </w:p>
        </w:tc>
      </w:tr>
      <w:tr>
        <w:trPr>
          <w:trHeight w:val="41"/>
        </w:trPr>
        <w:tc>
          <w:tcPr>
            <w:tcW w:w="5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4"/>
        </w:trPr>
        <w:tc>
          <w:tcPr>
            <w:tcW w:w="5880" w:type="dxa"/>
            <w:vAlign w:val="bottom"/>
            <w:shd w:val="clear" w:color="auto" w:fill="CFF0FC"/>
          </w:tcPr>
          <w:p>
            <w:pPr>
              <w:ind w:left="40"/>
              <w:spacing w:after="0"/>
              <w:rPr>
                <w:sz w:val="20"/>
                <w:szCs w:val="20"/>
                <w:color w:val="auto"/>
              </w:rPr>
            </w:pPr>
            <w:r>
              <w:rPr>
                <w:rFonts w:ascii="Arial" w:cs="Arial" w:eastAsia="Arial" w:hAnsi="Arial"/>
                <w:sz w:val="20"/>
                <w:szCs w:val="20"/>
                <w:color w:val="auto"/>
              </w:rPr>
              <w:t>Consumer and home equity</w:t>
            </w: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1"/>
        </w:trPr>
        <w:tc>
          <w:tcPr>
            <w:tcW w:w="5880" w:type="dxa"/>
            <w:vAlign w:val="bottom"/>
            <w:shd w:val="clear" w:color="auto" w:fill="CFF0FC"/>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-5321300</wp:posOffset>
            </wp:positionV>
            <wp:extent cx="596773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-4715510</wp:posOffset>
            </wp:positionV>
            <wp:extent cx="596773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-3910965</wp:posOffset>
            </wp:positionV>
            <wp:extent cx="596773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-3704590</wp:posOffset>
            </wp:positionV>
            <wp:extent cx="596773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-2900045</wp:posOffset>
            </wp:positionV>
            <wp:extent cx="596773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-2693670</wp:posOffset>
            </wp:positionV>
            <wp:extent cx="596773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-2487930</wp:posOffset>
            </wp:positionV>
            <wp:extent cx="596773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-2282190</wp:posOffset>
            </wp:positionV>
            <wp:extent cx="5967730" cy="285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-2053590</wp:posOffset>
            </wp:positionV>
            <wp:extent cx="596773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-1847850</wp:posOffset>
            </wp:positionV>
            <wp:extent cx="596773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-1203325</wp:posOffset>
            </wp:positionV>
            <wp:extent cx="596773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18</w:t>
      </w:r>
    </w:p>
    <w:p>
      <w:pPr>
        <w:sectPr>
          <w:pgSz w:w="11900" w:h="16838" w:orient="portrait"/>
          <w:cols w:equalWidth="0" w:num="1">
            <w:col w:w="9400"/>
          </w:cols>
          <w:pgMar w:left="1260" w:top="1440" w:right="1246" w:bottom="0" w:gutter="0" w:footer="0" w:header="0"/>
          <w:type w:val="continuous"/>
        </w:sectPr>
      </w:pPr>
    </w:p>
    <w:bookmarkStart w:id="95" w:name="page96"/>
    <w:bookmarkEnd w:id="95"/>
    <w:p>
      <w:pPr>
        <w:ind w:left="9040"/>
        <w:spacing w:after="0"/>
        <w:rPr>
          <w:sz w:val="20"/>
          <w:szCs w:val="20"/>
          <w:color w:val="auto"/>
        </w:rPr>
      </w:pPr>
      <w:r>
        <w:rPr>
          <w:rFonts w:ascii="Arial" w:cs="Arial" w:eastAsia="Arial" w:hAnsi="Arial"/>
          <w:sz w:val="18"/>
          <w:szCs w:val="18"/>
          <w:color w:val="auto"/>
        </w:rPr>
        <w:t>0.17</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0.38</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20"/>
          <w:szCs w:val="20"/>
          <w:color w:val="auto"/>
        </w:rPr>
        <w:t>Residential real estate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0.02</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0.00</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Total charged-off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0.47</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1.09</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0"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The Company recorded $4.2 million in net charge-offs in 2025 as compared to $9.8 million in net charge-offs in 2024. Charge-offs for commercial real estate loans decreased $3.7 million or 57.7% and consumer and home equity charge-offs decreased $1.5 million or 41.2% offset by increases in residential real estate charge-offs of $99,000, at December 31, 2025, compared to December 31, 2024.</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Owned Life Insurance</w:t>
      </w:r>
    </w:p>
    <w:p>
      <w:pPr>
        <w:spacing w:after="0" w:line="200"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auto"/>
        </w:rPr>
        <w:t>The Company held $31.4 million and $24.7 million in bank owned life insurance ("BOLI") at December 31, 2025 and 2024, respectively. Bank owned life insurance increased $6.7 million, or 26.9%, to $31.4 million at December 31, 2025, as compared to December 31, 2024. The increase of $6.7 million was primarily attributable to the Company's $6.0 million purchase of new life insurance policies during the second quarter of 2025, in addition to earnings and gains on BOLI.</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Deposits</w:t>
      </w:r>
    </w:p>
    <w:p>
      <w:pPr>
        <w:spacing w:after="0" w:line="20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The Company’s deposit base is drawn from eleven full-service branches and one motor bank in its market area. The deposit base consists of demand deposits, money management and money market deposit accounts, savings, and time deposits. Average deposits increased by $56.7 million, or 4.9%, to $1.22 billion in 2025, as compared to $1.16 billion in 2024.</w:t>
      </w:r>
    </w:p>
    <w:p>
      <w:pPr>
        <w:spacing w:after="0" w:line="136"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auto"/>
        </w:rPr>
        <w:t>Total deposits declined by $20.7 million, or 1.7%, to $1.18 billion on December 31, 2025 as compared to $1.20 billion on December 31, 2024. In 2024, the Company assumed $186.0 million in deposits as a result of the East Syracuse branch acquisition completed July 19, 2024. As part of the purchase, the Company paid a deposit premium on acquired time deposits of $543,000, which is included in the balance of time deposits on the balance sheet and accreted on a straight-line basis over 10 years.</w:t>
      </w:r>
    </w:p>
    <w:p>
      <w:pPr>
        <w:sectPr>
          <w:pgSz w:w="11900" w:h="16838" w:orient="portrait"/>
          <w:cols w:equalWidth="0" w:num="1">
            <w:col w:w="9400"/>
          </w:cols>
          <w:pgMar w:left="1260" w:top="129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26</w:t>
      </w:r>
    </w:p>
    <w:p>
      <w:pPr>
        <w:sectPr>
          <w:pgSz w:w="11900" w:h="16838" w:orient="portrait"/>
          <w:cols w:equalWidth="0" w:num="1">
            <w:col w:w="9400"/>
          </w:cols>
          <w:pgMar w:left="1260" w:top="1293" w:right="1246" w:bottom="0" w:gutter="0" w:footer="0" w:header="0"/>
          <w:type w:val="continuous"/>
        </w:sectPr>
      </w:pPr>
    </w:p>
    <w:bookmarkStart w:id="96" w:name="page97"/>
    <w:bookmarkEnd w:id="96"/>
    <w:p>
      <w:pPr>
        <w:jc w:val="both"/>
        <w:spacing w:after="0" w:line="309" w:lineRule="auto"/>
        <w:rPr>
          <w:sz w:val="20"/>
          <w:szCs w:val="20"/>
          <w:color w:val="auto"/>
        </w:rPr>
      </w:pPr>
      <w:r>
        <w:rPr>
          <w:rFonts w:ascii="Arial" w:cs="Arial" w:eastAsia="Arial" w:hAnsi="Arial"/>
          <w:sz w:val="20"/>
          <w:szCs w:val="20"/>
          <w:color w:val="auto"/>
        </w:rPr>
        <w:t>Core deposits represented 79.8% of total deposits on December 31, 2025, compared to 76.9% on December 31, 2024. Core deposits, which exclude brokered deposits and certificates of deposit of $250,000 or more, are considered to be more stable and generally provide the Company with a lower cost of funds than brokered and time deposits. The Company will continue to emphasize retail and business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 26</w:t>
      </w:r>
    </w:p>
    <w:p>
      <w:pPr>
        <w:sectPr>
          <w:pgSz w:w="11900" w:h="16838" w:orient="portrait"/>
          <w:cols w:equalWidth="0" w:num="1">
            <w:col w:w="9380"/>
          </w:cols>
          <w:pgMar w:left="1260" w:top="1173" w:right="1266" w:bottom="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core deposits in the future by providing depositors with a full range of deposit product offerings and will maintain its recent focus on deposit gathering within the Syracuse market.</w:t>
      </w:r>
    </w:p>
    <w:p>
      <w:pPr>
        <w:spacing w:after="0" w:line="141"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Brokered deposits totaled $101.9 million and represented 8.6% of all deposits at December 31, 2025 and totaled $136.3 million and represented 11.3% of all deposits at December 31, 2024.</w:t>
      </w:r>
    </w:p>
    <w:p>
      <w:pPr>
        <w:spacing w:after="0" w:line="141" w:lineRule="exact"/>
        <w:rPr>
          <w:sz w:val="20"/>
          <w:szCs w:val="20"/>
          <w:color w:val="auto"/>
        </w:rPr>
      </w:pPr>
    </w:p>
    <w:p>
      <w:pPr>
        <w:jc w:val="both"/>
        <w:ind w:right="80"/>
        <w:spacing w:after="0" w:line="311" w:lineRule="auto"/>
        <w:rPr>
          <w:sz w:val="20"/>
          <w:szCs w:val="20"/>
          <w:color w:val="auto"/>
        </w:rPr>
      </w:pPr>
      <w:r>
        <w:rPr>
          <w:rFonts w:ascii="Arial" w:cs="Arial" w:eastAsia="Arial" w:hAnsi="Arial"/>
          <w:sz w:val="20"/>
          <w:szCs w:val="20"/>
          <w:color w:val="auto"/>
        </w:rPr>
        <w:t>At December 31, 2025, municipal deposits increased by $27.0 million compared to December 31, 2024, primarily reflecting increased utilization of the Company’s reciprocal deposit programs. Business and consumer deposits decreased by $11.1 million and $6.5 million, respectively, largely due to lower time deposit balances compared to the prior year. Noninterest-bearing deposits, which consist primarily of demand deposit accounts, totaled $196.4 million at December 31, 2025, compared to $213.7 million at December 31, 2024, reflecting a decline of $17.3 million year over year.</w:t>
      </w:r>
    </w:p>
    <w:p>
      <w:pPr>
        <w:spacing w:after="0" w:line="132"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The following table sets forth our deposit balances by category, and as a percentage of total deposits at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80" w:type="dxa"/>
            <w:vAlign w:val="bottom"/>
            <w:gridSpan w:val="3"/>
          </w:tcPr>
          <w:p>
            <w:pPr>
              <w:jc w:val="right"/>
              <w:ind w:right="1200"/>
              <w:spacing w:after="0"/>
              <w:rPr>
                <w:sz w:val="20"/>
                <w:szCs w:val="20"/>
                <w:color w:val="auto"/>
              </w:rPr>
            </w:pPr>
            <w:r>
              <w:rPr>
                <w:rFonts w:ascii="Arial" w:cs="Arial" w:eastAsia="Arial" w:hAnsi="Arial"/>
                <w:sz w:val="20"/>
                <w:szCs w:val="20"/>
                <w:color w:val="auto"/>
              </w:rPr>
              <w:t>December 31,</w:t>
            </w:r>
          </w:p>
        </w:tc>
        <w:tc>
          <w:tcPr>
            <w:tcW w:w="940" w:type="dxa"/>
            <w:vAlign w:val="bottom"/>
          </w:tcPr>
          <w:p>
            <w:pPr>
              <w:spacing w:after="0"/>
              <w:rPr>
                <w:sz w:val="19"/>
                <w:szCs w:val="19"/>
                <w:color w:val="auto"/>
              </w:rPr>
            </w:pPr>
          </w:p>
        </w:tc>
      </w:tr>
      <w:tr>
        <w:trPr>
          <w:trHeight w:val="324"/>
        </w:trPr>
        <w:tc>
          <w:tcPr>
            <w:tcW w:w="3480" w:type="dxa"/>
            <w:vAlign w:val="bottom"/>
          </w:tcPr>
          <w:p>
            <w:pPr>
              <w:spacing w:after="0"/>
              <w:rPr>
                <w:sz w:val="20"/>
                <w:szCs w:val="20"/>
                <w:color w:val="auto"/>
              </w:rPr>
            </w:pPr>
            <w:r>
              <w:rPr>
                <w:rFonts w:ascii="Arial" w:cs="Arial" w:eastAsia="Arial" w:hAnsi="Arial"/>
                <w:sz w:val="20"/>
                <w:szCs w:val="20"/>
                <w:i w:val="1"/>
                <w:iCs w:val="1"/>
                <w:color w:val="auto"/>
              </w:rPr>
              <w:t>(Dollars in thousands)</w:t>
            </w:r>
          </w:p>
        </w:tc>
        <w:tc>
          <w:tcPr>
            <w:tcW w:w="720" w:type="dxa"/>
            <w:vAlign w:val="bottom"/>
          </w:tcPr>
          <w:p>
            <w:pPr>
              <w:spacing w:after="0"/>
              <w:rPr>
                <w:sz w:val="24"/>
                <w:szCs w:val="24"/>
                <w:color w:val="auto"/>
              </w:rPr>
            </w:pPr>
          </w:p>
        </w:tc>
        <w:tc>
          <w:tcPr>
            <w:tcW w:w="1480" w:type="dxa"/>
            <w:vAlign w:val="bottom"/>
          </w:tcPr>
          <w:p>
            <w:pPr>
              <w:jc w:val="right"/>
              <w:ind w:right="180"/>
              <w:spacing w:after="0"/>
              <w:rPr>
                <w:sz w:val="20"/>
                <w:szCs w:val="20"/>
                <w:color w:val="auto"/>
              </w:rPr>
            </w:pPr>
            <w:r>
              <w:rPr>
                <w:rFonts w:ascii="Arial" w:cs="Arial" w:eastAsia="Arial" w:hAnsi="Arial"/>
                <w:sz w:val="20"/>
                <w:szCs w:val="20"/>
                <w:color w:val="auto"/>
              </w:rPr>
              <w:t>2025</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ind w:right="180"/>
              <w:spacing w:after="0"/>
              <w:rPr>
                <w:sz w:val="20"/>
                <w:szCs w:val="20"/>
                <w:color w:val="auto"/>
              </w:rPr>
            </w:pPr>
            <w:r>
              <w:rPr>
                <w:rFonts w:ascii="Arial" w:cs="Arial" w:eastAsia="Arial" w:hAnsi="Arial"/>
                <w:sz w:val="20"/>
                <w:szCs w:val="20"/>
                <w:color w:val="auto"/>
              </w:rPr>
              <w:t>2024</w:t>
            </w:r>
          </w:p>
        </w:tc>
        <w:tc>
          <w:tcPr>
            <w:tcW w:w="940" w:type="dxa"/>
            <w:vAlign w:val="bottom"/>
          </w:tcPr>
          <w:p>
            <w:pPr>
              <w:spacing w:after="0"/>
              <w:rPr>
                <w:sz w:val="24"/>
                <w:szCs w:val="24"/>
                <w:color w:val="auto"/>
              </w:rPr>
            </w:pPr>
          </w:p>
        </w:tc>
      </w:tr>
      <w:tr>
        <w:trPr>
          <w:trHeight w:val="51"/>
        </w:trPr>
        <w:tc>
          <w:tcPr>
            <w:tcW w:w="3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94"/>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Savings accounts</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FF0FC"/>
            </w:tcBorders>
            <w:shd w:val="clear" w:color="auto" w:fill="CFF0FC"/>
          </w:tcPr>
          <w:p>
            <w:pPr>
              <w:jc w:val="right"/>
              <w:ind w:right="480"/>
              <w:spacing w:after="0"/>
              <w:rPr>
                <w:sz w:val="20"/>
                <w:szCs w:val="20"/>
                <w:color w:val="auto"/>
              </w:rPr>
            </w:pPr>
            <w:r>
              <w:rPr>
                <w:rFonts w:ascii="Arial" w:cs="Arial" w:eastAsia="Arial" w:hAnsi="Arial"/>
                <w:sz w:val="20"/>
                <w:szCs w:val="20"/>
                <w:color w:val="auto"/>
              </w:rPr>
              <w:t>122,718</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10.4%</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FF0FC"/>
            </w:tcBorders>
            <w:shd w:val="clear" w:color="auto" w:fill="CFF0FC"/>
          </w:tcPr>
          <w:p>
            <w:pPr>
              <w:jc w:val="right"/>
              <w:ind w:right="480"/>
              <w:spacing w:after="0"/>
              <w:rPr>
                <w:sz w:val="20"/>
                <w:szCs w:val="20"/>
                <w:color w:val="auto"/>
              </w:rPr>
            </w:pPr>
            <w:r>
              <w:rPr>
                <w:rFonts w:ascii="Arial" w:cs="Arial" w:eastAsia="Arial" w:hAnsi="Arial"/>
                <w:sz w:val="20"/>
                <w:szCs w:val="20"/>
                <w:color w:val="auto"/>
              </w:rPr>
              <w:t>128,753</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10.8%</w:t>
            </w:r>
          </w:p>
        </w:tc>
      </w:tr>
      <w:tr>
        <w:trPr>
          <w:trHeight w:val="274"/>
        </w:trPr>
        <w:tc>
          <w:tcPr>
            <w:tcW w:w="3480" w:type="dxa"/>
            <w:vAlign w:val="bottom"/>
          </w:tcPr>
          <w:p>
            <w:pPr>
              <w:spacing w:after="0"/>
              <w:rPr>
                <w:sz w:val="20"/>
                <w:szCs w:val="20"/>
                <w:color w:val="auto"/>
              </w:rPr>
            </w:pPr>
            <w:r>
              <w:rPr>
                <w:rFonts w:ascii="Arial" w:cs="Arial" w:eastAsia="Arial" w:hAnsi="Arial"/>
                <w:sz w:val="20"/>
                <w:szCs w:val="20"/>
                <w:color w:val="auto"/>
              </w:rPr>
              <w:t>Time accounts</w:t>
            </w:r>
          </w:p>
        </w:tc>
        <w:tc>
          <w:tcPr>
            <w:tcW w:w="720" w:type="dxa"/>
            <w:vAlign w:val="bottom"/>
          </w:tcPr>
          <w:p>
            <w:pPr>
              <w:spacing w:after="0"/>
              <w:rPr>
                <w:sz w:val="23"/>
                <w:szCs w:val="23"/>
                <w:color w:val="auto"/>
              </w:rPr>
            </w:pPr>
          </w:p>
        </w:tc>
        <w:tc>
          <w:tcPr>
            <w:tcW w:w="1480" w:type="dxa"/>
            <w:vAlign w:val="bottom"/>
          </w:tcPr>
          <w:p>
            <w:pPr>
              <w:jc w:val="right"/>
              <w:ind w:right="480"/>
              <w:spacing w:after="0"/>
              <w:rPr>
                <w:sz w:val="20"/>
                <w:szCs w:val="20"/>
                <w:color w:val="auto"/>
              </w:rPr>
            </w:pPr>
            <w:r>
              <w:rPr>
                <w:rFonts w:ascii="Arial" w:cs="Arial" w:eastAsia="Arial" w:hAnsi="Arial"/>
                <w:sz w:val="20"/>
                <w:szCs w:val="20"/>
                <w:color w:val="auto"/>
              </w:rPr>
              <w:t>317,201</w:t>
            </w:r>
          </w:p>
        </w:tc>
        <w:tc>
          <w:tcPr>
            <w:tcW w:w="1000" w:type="dxa"/>
            <w:vAlign w:val="bottom"/>
          </w:tcPr>
          <w:p>
            <w:pPr>
              <w:jc w:val="right"/>
              <w:spacing w:after="0"/>
              <w:rPr>
                <w:sz w:val="20"/>
                <w:szCs w:val="20"/>
                <w:color w:val="auto"/>
              </w:rPr>
            </w:pPr>
            <w:r>
              <w:rPr>
                <w:rFonts w:ascii="Arial" w:cs="Arial" w:eastAsia="Arial" w:hAnsi="Arial"/>
                <w:sz w:val="20"/>
                <w:szCs w:val="20"/>
                <w:color w:val="auto"/>
              </w:rPr>
              <w:t>26.8%</w:t>
            </w:r>
          </w:p>
        </w:tc>
        <w:tc>
          <w:tcPr>
            <w:tcW w:w="300" w:type="dxa"/>
            <w:vAlign w:val="bottom"/>
          </w:tcPr>
          <w:p>
            <w:pPr>
              <w:spacing w:after="0"/>
              <w:rPr>
                <w:sz w:val="23"/>
                <w:szCs w:val="23"/>
                <w:color w:val="auto"/>
              </w:rPr>
            </w:pPr>
          </w:p>
        </w:tc>
        <w:tc>
          <w:tcPr>
            <w:tcW w:w="1480" w:type="dxa"/>
            <w:vAlign w:val="bottom"/>
          </w:tcPr>
          <w:p>
            <w:pPr>
              <w:jc w:val="right"/>
              <w:ind w:right="480"/>
              <w:spacing w:after="0"/>
              <w:rPr>
                <w:sz w:val="20"/>
                <w:szCs w:val="20"/>
                <w:color w:val="auto"/>
              </w:rPr>
            </w:pPr>
            <w:r>
              <w:rPr>
                <w:rFonts w:ascii="Arial" w:cs="Arial" w:eastAsia="Arial" w:hAnsi="Arial"/>
                <w:sz w:val="20"/>
                <w:szCs w:val="20"/>
                <w:color w:val="auto"/>
              </w:rPr>
              <w:t>360,716</w:t>
            </w:r>
          </w:p>
        </w:tc>
        <w:tc>
          <w:tcPr>
            <w:tcW w:w="940" w:type="dxa"/>
            <w:vAlign w:val="bottom"/>
          </w:tcPr>
          <w:p>
            <w:pPr>
              <w:jc w:val="right"/>
              <w:spacing w:after="0"/>
              <w:rPr>
                <w:sz w:val="20"/>
                <w:szCs w:val="20"/>
                <w:color w:val="auto"/>
              </w:rPr>
            </w:pPr>
            <w:r>
              <w:rPr>
                <w:rFonts w:ascii="Arial" w:cs="Arial" w:eastAsia="Arial" w:hAnsi="Arial"/>
                <w:sz w:val="20"/>
                <w:szCs w:val="20"/>
                <w:color w:val="auto"/>
              </w:rPr>
              <w:t>29.9%</w:t>
            </w:r>
          </w:p>
        </w:tc>
      </w:tr>
      <w:tr>
        <w:trPr>
          <w:trHeight w:val="41"/>
        </w:trPr>
        <w:tc>
          <w:tcPr>
            <w:tcW w:w="3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Time accounts in excess of $250,000</w:t>
            </w:r>
          </w:p>
        </w:tc>
        <w:tc>
          <w:tcPr>
            <w:tcW w:w="7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480"/>
              <w:spacing w:after="0"/>
              <w:rPr>
                <w:sz w:val="20"/>
                <w:szCs w:val="20"/>
                <w:color w:val="auto"/>
              </w:rPr>
            </w:pPr>
            <w:r>
              <w:rPr>
                <w:rFonts w:ascii="Arial" w:cs="Arial" w:eastAsia="Arial" w:hAnsi="Arial"/>
                <w:sz w:val="20"/>
                <w:szCs w:val="20"/>
                <w:color w:val="auto"/>
              </w:rPr>
              <w:t>134,779</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11.4%</w:t>
            </w:r>
          </w:p>
        </w:tc>
        <w:tc>
          <w:tcPr>
            <w:tcW w:w="3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480"/>
              <w:spacing w:after="0"/>
              <w:rPr>
                <w:sz w:val="20"/>
                <w:szCs w:val="20"/>
                <w:color w:val="auto"/>
              </w:rPr>
            </w:pPr>
            <w:r>
              <w:rPr>
                <w:rFonts w:ascii="Arial" w:cs="Arial" w:eastAsia="Arial" w:hAnsi="Arial"/>
                <w:sz w:val="20"/>
                <w:szCs w:val="20"/>
                <w:color w:val="auto"/>
              </w:rPr>
              <w:t>142,473</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11.8%</w:t>
            </w:r>
          </w:p>
        </w:tc>
      </w:tr>
      <w:tr>
        <w:trPr>
          <w:trHeight w:val="274"/>
        </w:trPr>
        <w:tc>
          <w:tcPr>
            <w:tcW w:w="3480" w:type="dxa"/>
            <w:vAlign w:val="bottom"/>
          </w:tcPr>
          <w:p>
            <w:pPr>
              <w:spacing w:after="0"/>
              <w:rPr>
                <w:sz w:val="20"/>
                <w:szCs w:val="20"/>
                <w:color w:val="auto"/>
              </w:rPr>
            </w:pPr>
            <w:r>
              <w:rPr>
                <w:rFonts w:ascii="Arial" w:cs="Arial" w:eastAsia="Arial" w:hAnsi="Arial"/>
                <w:sz w:val="20"/>
                <w:szCs w:val="20"/>
                <w:color w:val="auto"/>
              </w:rPr>
              <w:t>Money management accounts</w:t>
            </w:r>
          </w:p>
        </w:tc>
        <w:tc>
          <w:tcPr>
            <w:tcW w:w="720" w:type="dxa"/>
            <w:vAlign w:val="bottom"/>
          </w:tcPr>
          <w:p>
            <w:pPr>
              <w:spacing w:after="0"/>
              <w:rPr>
                <w:sz w:val="23"/>
                <w:szCs w:val="23"/>
                <w:color w:val="auto"/>
              </w:rPr>
            </w:pPr>
          </w:p>
        </w:tc>
        <w:tc>
          <w:tcPr>
            <w:tcW w:w="1480" w:type="dxa"/>
            <w:vAlign w:val="bottom"/>
          </w:tcPr>
          <w:p>
            <w:pPr>
              <w:jc w:val="right"/>
              <w:ind w:right="480"/>
              <w:spacing w:after="0"/>
              <w:rPr>
                <w:sz w:val="20"/>
                <w:szCs w:val="20"/>
                <w:color w:val="auto"/>
              </w:rPr>
            </w:pPr>
            <w:r>
              <w:rPr>
                <w:rFonts w:ascii="Arial" w:cs="Arial" w:eastAsia="Arial" w:hAnsi="Arial"/>
                <w:sz w:val="20"/>
                <w:szCs w:val="20"/>
                <w:color w:val="auto"/>
              </w:rPr>
              <w:t>9,539</w:t>
            </w:r>
          </w:p>
        </w:tc>
        <w:tc>
          <w:tcPr>
            <w:tcW w:w="1000" w:type="dxa"/>
            <w:vAlign w:val="bottom"/>
          </w:tcPr>
          <w:p>
            <w:pPr>
              <w:jc w:val="right"/>
              <w:spacing w:after="0"/>
              <w:rPr>
                <w:sz w:val="20"/>
                <w:szCs w:val="20"/>
                <w:color w:val="auto"/>
              </w:rPr>
            </w:pPr>
            <w:r>
              <w:rPr>
                <w:rFonts w:ascii="Arial" w:cs="Arial" w:eastAsia="Arial" w:hAnsi="Arial"/>
                <w:sz w:val="20"/>
                <w:szCs w:val="20"/>
                <w:color w:val="auto"/>
              </w:rPr>
              <w:t>0.8%</w:t>
            </w:r>
          </w:p>
        </w:tc>
        <w:tc>
          <w:tcPr>
            <w:tcW w:w="300" w:type="dxa"/>
            <w:vAlign w:val="bottom"/>
          </w:tcPr>
          <w:p>
            <w:pPr>
              <w:spacing w:after="0"/>
              <w:rPr>
                <w:sz w:val="23"/>
                <w:szCs w:val="23"/>
                <w:color w:val="auto"/>
              </w:rPr>
            </w:pPr>
          </w:p>
        </w:tc>
        <w:tc>
          <w:tcPr>
            <w:tcW w:w="1480" w:type="dxa"/>
            <w:vAlign w:val="bottom"/>
          </w:tcPr>
          <w:p>
            <w:pPr>
              <w:jc w:val="right"/>
              <w:ind w:right="480"/>
              <w:spacing w:after="0"/>
              <w:rPr>
                <w:sz w:val="20"/>
                <w:szCs w:val="20"/>
                <w:color w:val="auto"/>
              </w:rPr>
            </w:pPr>
            <w:r>
              <w:rPr>
                <w:rFonts w:ascii="Arial" w:cs="Arial" w:eastAsia="Arial" w:hAnsi="Arial"/>
                <w:sz w:val="20"/>
                <w:szCs w:val="20"/>
                <w:color w:val="auto"/>
              </w:rPr>
              <w:t>11,583</w:t>
            </w:r>
          </w:p>
        </w:tc>
        <w:tc>
          <w:tcPr>
            <w:tcW w:w="9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41"/>
        </w:trPr>
        <w:tc>
          <w:tcPr>
            <w:tcW w:w="3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MMDA accounts</w:t>
            </w:r>
          </w:p>
        </w:tc>
        <w:tc>
          <w:tcPr>
            <w:tcW w:w="7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480"/>
              <w:spacing w:after="0"/>
              <w:rPr>
                <w:sz w:val="20"/>
                <w:szCs w:val="20"/>
                <w:color w:val="auto"/>
              </w:rPr>
            </w:pPr>
            <w:r>
              <w:rPr>
                <w:rFonts w:ascii="Arial" w:cs="Arial" w:eastAsia="Arial" w:hAnsi="Arial"/>
                <w:sz w:val="20"/>
                <w:szCs w:val="20"/>
                <w:color w:val="auto"/>
              </w:rPr>
              <w:t>285,564</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24.1%</w:t>
            </w:r>
          </w:p>
        </w:tc>
        <w:tc>
          <w:tcPr>
            <w:tcW w:w="3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480"/>
              <w:spacing w:after="0"/>
              <w:rPr>
                <w:sz w:val="20"/>
                <w:szCs w:val="20"/>
                <w:color w:val="auto"/>
              </w:rPr>
            </w:pPr>
            <w:r>
              <w:rPr>
                <w:rFonts w:ascii="Arial" w:cs="Arial" w:eastAsia="Arial" w:hAnsi="Arial"/>
                <w:sz w:val="20"/>
                <w:szCs w:val="20"/>
                <w:color w:val="auto"/>
              </w:rPr>
              <w:t>239,016</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19.8%</w:t>
            </w:r>
          </w:p>
        </w:tc>
      </w:tr>
      <w:tr>
        <w:trPr>
          <w:trHeight w:val="274"/>
        </w:trPr>
        <w:tc>
          <w:tcPr>
            <w:tcW w:w="3480" w:type="dxa"/>
            <w:vAlign w:val="bottom"/>
          </w:tcPr>
          <w:p>
            <w:pPr>
              <w:spacing w:after="0"/>
              <w:rPr>
                <w:sz w:val="20"/>
                <w:szCs w:val="20"/>
                <w:color w:val="auto"/>
              </w:rPr>
            </w:pPr>
            <w:r>
              <w:rPr>
                <w:rFonts w:ascii="Arial" w:cs="Arial" w:eastAsia="Arial" w:hAnsi="Arial"/>
                <w:sz w:val="20"/>
                <w:szCs w:val="20"/>
                <w:color w:val="auto"/>
              </w:rPr>
              <w:t>Demand deposit interest-bearing</w:t>
            </w:r>
          </w:p>
        </w:tc>
        <w:tc>
          <w:tcPr>
            <w:tcW w:w="720" w:type="dxa"/>
            <w:vAlign w:val="bottom"/>
          </w:tcPr>
          <w:p>
            <w:pPr>
              <w:spacing w:after="0"/>
              <w:rPr>
                <w:sz w:val="23"/>
                <w:szCs w:val="23"/>
                <w:color w:val="auto"/>
              </w:rPr>
            </w:pPr>
          </w:p>
        </w:tc>
        <w:tc>
          <w:tcPr>
            <w:tcW w:w="1480" w:type="dxa"/>
            <w:vAlign w:val="bottom"/>
          </w:tcPr>
          <w:p>
            <w:pPr>
              <w:jc w:val="right"/>
              <w:ind w:right="480"/>
              <w:spacing w:after="0"/>
              <w:rPr>
                <w:sz w:val="20"/>
                <w:szCs w:val="20"/>
                <w:color w:val="auto"/>
              </w:rPr>
            </w:pPr>
            <w:r>
              <w:rPr>
                <w:rFonts w:ascii="Arial" w:cs="Arial" w:eastAsia="Arial" w:hAnsi="Arial"/>
                <w:sz w:val="20"/>
                <w:szCs w:val="20"/>
                <w:color w:val="auto"/>
              </w:rPr>
              <w:t>110,702</w:t>
            </w:r>
          </w:p>
        </w:tc>
        <w:tc>
          <w:tcPr>
            <w:tcW w:w="1000" w:type="dxa"/>
            <w:vAlign w:val="bottom"/>
          </w:tcPr>
          <w:p>
            <w:pPr>
              <w:jc w:val="right"/>
              <w:spacing w:after="0"/>
              <w:rPr>
                <w:sz w:val="20"/>
                <w:szCs w:val="20"/>
                <w:color w:val="auto"/>
              </w:rPr>
            </w:pPr>
            <w:r>
              <w:rPr>
                <w:rFonts w:ascii="Arial" w:cs="Arial" w:eastAsia="Arial" w:hAnsi="Arial"/>
                <w:sz w:val="20"/>
                <w:szCs w:val="20"/>
                <w:color w:val="auto"/>
              </w:rPr>
              <w:t>9.4%</w:t>
            </w:r>
          </w:p>
        </w:tc>
        <w:tc>
          <w:tcPr>
            <w:tcW w:w="300" w:type="dxa"/>
            <w:vAlign w:val="bottom"/>
          </w:tcPr>
          <w:p>
            <w:pPr>
              <w:spacing w:after="0"/>
              <w:rPr>
                <w:sz w:val="23"/>
                <w:szCs w:val="23"/>
                <w:color w:val="auto"/>
              </w:rPr>
            </w:pPr>
          </w:p>
        </w:tc>
        <w:tc>
          <w:tcPr>
            <w:tcW w:w="1480" w:type="dxa"/>
            <w:vAlign w:val="bottom"/>
          </w:tcPr>
          <w:p>
            <w:pPr>
              <w:jc w:val="right"/>
              <w:ind w:right="480"/>
              <w:spacing w:after="0"/>
              <w:rPr>
                <w:sz w:val="20"/>
                <w:szCs w:val="20"/>
                <w:color w:val="auto"/>
              </w:rPr>
            </w:pPr>
            <w:r>
              <w:rPr>
                <w:rFonts w:ascii="Arial" w:cs="Arial" w:eastAsia="Arial" w:hAnsi="Arial"/>
                <w:sz w:val="20"/>
                <w:szCs w:val="20"/>
                <w:color w:val="auto"/>
              </w:rPr>
              <w:t>101,080</w:t>
            </w:r>
          </w:p>
        </w:tc>
        <w:tc>
          <w:tcPr>
            <w:tcW w:w="94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41"/>
        </w:trPr>
        <w:tc>
          <w:tcPr>
            <w:tcW w:w="3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Demand deposit noninterest-bearing</w:t>
            </w:r>
          </w:p>
        </w:tc>
        <w:tc>
          <w:tcPr>
            <w:tcW w:w="7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480"/>
              <w:spacing w:after="0"/>
              <w:rPr>
                <w:sz w:val="20"/>
                <w:szCs w:val="20"/>
                <w:color w:val="auto"/>
              </w:rPr>
            </w:pPr>
            <w:r>
              <w:rPr>
                <w:rFonts w:ascii="Arial" w:cs="Arial" w:eastAsia="Arial" w:hAnsi="Arial"/>
                <w:sz w:val="20"/>
                <w:szCs w:val="20"/>
                <w:color w:val="auto"/>
              </w:rPr>
              <w:t>196,377</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16.5%</w:t>
            </w:r>
          </w:p>
        </w:tc>
        <w:tc>
          <w:tcPr>
            <w:tcW w:w="3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480"/>
              <w:spacing w:after="0"/>
              <w:rPr>
                <w:sz w:val="20"/>
                <w:szCs w:val="20"/>
                <w:color w:val="auto"/>
              </w:rPr>
            </w:pPr>
            <w:r>
              <w:rPr>
                <w:rFonts w:ascii="Arial" w:cs="Arial" w:eastAsia="Arial" w:hAnsi="Arial"/>
                <w:sz w:val="20"/>
                <w:szCs w:val="20"/>
                <w:color w:val="auto"/>
              </w:rPr>
              <w:t>213,719</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17.7%</w:t>
            </w:r>
          </w:p>
        </w:tc>
      </w:tr>
      <w:tr>
        <w:trPr>
          <w:trHeight w:val="274"/>
        </w:trPr>
        <w:tc>
          <w:tcPr>
            <w:tcW w:w="3480" w:type="dxa"/>
            <w:vAlign w:val="bottom"/>
          </w:tcPr>
          <w:p>
            <w:pPr>
              <w:spacing w:after="0"/>
              <w:rPr>
                <w:sz w:val="20"/>
                <w:szCs w:val="20"/>
                <w:color w:val="auto"/>
              </w:rPr>
            </w:pPr>
            <w:r>
              <w:rPr>
                <w:rFonts w:ascii="Arial" w:cs="Arial" w:eastAsia="Arial" w:hAnsi="Arial"/>
                <w:sz w:val="20"/>
                <w:szCs w:val="20"/>
                <w:color w:val="auto"/>
              </w:rPr>
              <w:t>Mortgage escrow funds</w:t>
            </w:r>
          </w:p>
        </w:tc>
        <w:tc>
          <w:tcPr>
            <w:tcW w:w="720" w:type="dxa"/>
            <w:vAlign w:val="bottom"/>
          </w:tcPr>
          <w:p>
            <w:pPr>
              <w:spacing w:after="0"/>
              <w:rPr>
                <w:sz w:val="23"/>
                <w:szCs w:val="23"/>
                <w:color w:val="auto"/>
              </w:rPr>
            </w:pPr>
          </w:p>
        </w:tc>
        <w:tc>
          <w:tcPr>
            <w:tcW w:w="1480" w:type="dxa"/>
            <w:vAlign w:val="bottom"/>
          </w:tcPr>
          <w:p>
            <w:pPr>
              <w:jc w:val="right"/>
              <w:ind w:right="480"/>
              <w:spacing w:after="0"/>
              <w:rPr>
                <w:sz w:val="20"/>
                <w:szCs w:val="20"/>
                <w:color w:val="auto"/>
              </w:rPr>
            </w:pPr>
            <w:r>
              <w:rPr>
                <w:rFonts w:ascii="Arial" w:cs="Arial" w:eastAsia="Arial" w:hAnsi="Arial"/>
                <w:sz w:val="20"/>
                <w:szCs w:val="20"/>
                <w:color w:val="auto"/>
              </w:rPr>
              <w:t>6,968</w:t>
            </w:r>
          </w:p>
        </w:tc>
        <w:tc>
          <w:tcPr>
            <w:tcW w:w="1000" w:type="dxa"/>
            <w:vAlign w:val="bottom"/>
          </w:tcPr>
          <w:p>
            <w:pPr>
              <w:jc w:val="right"/>
              <w:spacing w:after="0"/>
              <w:rPr>
                <w:sz w:val="20"/>
                <w:szCs w:val="20"/>
                <w:color w:val="auto"/>
              </w:rPr>
            </w:pPr>
            <w:r>
              <w:rPr>
                <w:rFonts w:ascii="Arial" w:cs="Arial" w:eastAsia="Arial" w:hAnsi="Arial"/>
                <w:sz w:val="20"/>
                <w:szCs w:val="20"/>
                <w:color w:val="auto"/>
              </w:rPr>
              <w:t>0.6%</w:t>
            </w:r>
          </w:p>
        </w:tc>
        <w:tc>
          <w:tcPr>
            <w:tcW w:w="300" w:type="dxa"/>
            <w:vAlign w:val="bottom"/>
          </w:tcPr>
          <w:p>
            <w:pPr>
              <w:spacing w:after="0"/>
              <w:rPr>
                <w:sz w:val="23"/>
                <w:szCs w:val="23"/>
                <w:color w:val="auto"/>
              </w:rPr>
            </w:pPr>
          </w:p>
        </w:tc>
        <w:tc>
          <w:tcPr>
            <w:tcW w:w="1480" w:type="dxa"/>
            <w:vAlign w:val="bottom"/>
          </w:tcPr>
          <w:p>
            <w:pPr>
              <w:jc w:val="right"/>
              <w:ind w:right="480"/>
              <w:spacing w:after="0"/>
              <w:rPr>
                <w:sz w:val="20"/>
                <w:szCs w:val="20"/>
                <w:color w:val="auto"/>
              </w:rPr>
            </w:pPr>
            <w:r>
              <w:rPr>
                <w:rFonts w:ascii="Arial" w:cs="Arial" w:eastAsia="Arial" w:hAnsi="Arial"/>
                <w:sz w:val="20"/>
                <w:szCs w:val="20"/>
                <w:color w:val="auto"/>
              </w:rPr>
              <w:t>7,184</w:t>
            </w:r>
          </w:p>
        </w:tc>
        <w:tc>
          <w:tcPr>
            <w:tcW w:w="940" w:type="dxa"/>
            <w:vAlign w:val="bottom"/>
          </w:tcPr>
          <w:p>
            <w:pPr>
              <w:jc w:val="right"/>
              <w:spacing w:after="0"/>
              <w:rPr>
                <w:sz w:val="20"/>
                <w:szCs w:val="20"/>
                <w:color w:val="auto"/>
              </w:rPr>
            </w:pPr>
            <w:r>
              <w:rPr>
                <w:rFonts w:ascii="Arial" w:cs="Arial" w:eastAsia="Arial" w:hAnsi="Arial"/>
                <w:sz w:val="20"/>
                <w:szCs w:val="20"/>
                <w:color w:val="auto"/>
              </w:rPr>
              <w:t>0.6%</w:t>
            </w:r>
          </w:p>
        </w:tc>
      </w:tr>
      <w:tr>
        <w:trPr>
          <w:trHeight w:val="51"/>
        </w:trPr>
        <w:tc>
          <w:tcPr>
            <w:tcW w:w="3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4"/>
        </w:trPr>
        <w:tc>
          <w:tcPr>
            <w:tcW w:w="348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Deposits</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jc w:val="right"/>
              <w:ind w:right="480"/>
              <w:spacing w:after="0"/>
              <w:rPr>
                <w:sz w:val="20"/>
                <w:szCs w:val="20"/>
                <w:color w:val="auto"/>
              </w:rPr>
            </w:pPr>
            <w:r>
              <w:rPr>
                <w:rFonts w:ascii="Arial" w:cs="Arial" w:eastAsia="Arial" w:hAnsi="Arial"/>
                <w:sz w:val="20"/>
                <w:szCs w:val="20"/>
                <w:color w:val="auto"/>
                <w:w w:val="98"/>
              </w:rPr>
              <w:t>1,183,848</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jc w:val="right"/>
              <w:ind w:right="480"/>
              <w:spacing w:after="0"/>
              <w:rPr>
                <w:sz w:val="20"/>
                <w:szCs w:val="20"/>
                <w:color w:val="auto"/>
              </w:rPr>
            </w:pPr>
            <w:r>
              <w:rPr>
                <w:rFonts w:ascii="Arial" w:cs="Arial" w:eastAsia="Arial" w:hAnsi="Arial"/>
                <w:sz w:val="20"/>
                <w:szCs w:val="20"/>
                <w:color w:val="auto"/>
                <w:w w:val="98"/>
              </w:rPr>
              <w:t>1,204,524</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r>
      <w:tr>
        <w:trPr>
          <w:trHeight w:val="86"/>
        </w:trPr>
        <w:tc>
          <w:tcPr>
            <w:tcW w:w="348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-2043430</wp:posOffset>
            </wp:positionV>
            <wp:extent cx="342582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582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-1837690</wp:posOffset>
            </wp:positionV>
            <wp:extent cx="596773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Uninsured deposit balances were $405.3 million and $417.8 million at December 31, 2025 and December 31, 2024, respectively. These balances are based on the determination of known deposit account balances of each depositor and the insurance guidelines provided by the FDIC. At December 31, 2025, time deposit accounts in excess of $250,000 totaled $134.8 million, or 29.8% of time deposits and 11.4% of total deposits. At December 31, 2024, these deposits totaled $142.5 million, or 28.3% of time deposits and 11.8% of total deposits.</w:t>
      </w:r>
    </w:p>
    <w:p>
      <w:pPr>
        <w:spacing w:after="0" w:line="118"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The following table indicates the amount of the Company’s time deposit accounts in excess of $250,000 by time remaining until maturity as of December 31, 2025:</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Remaining Maturity: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ind w:left="60"/>
              <w:spacing w:after="0"/>
              <w:rPr>
                <w:sz w:val="20"/>
                <w:szCs w:val="20"/>
                <w:color w:val="auto"/>
              </w:rPr>
            </w:pPr>
            <w:r>
              <w:rPr>
                <w:rFonts w:ascii="Arial" w:cs="Arial" w:eastAsia="Arial" w:hAnsi="Arial"/>
                <w:sz w:val="20"/>
                <w:szCs w:val="20"/>
                <w:color w:val="auto"/>
              </w:rPr>
              <w:t>Three months or less</w:t>
            </w:r>
          </w:p>
        </w:tc>
        <w:tc>
          <w:tcPr>
            <w:tcW w:w="3240" w:type="dxa"/>
            <w:vAlign w:val="bottom"/>
          </w:tcPr>
          <w:p>
            <w:pPr>
              <w:jc w:val="right"/>
              <w:ind w:right="400"/>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0"/>
              <w:spacing w:after="0"/>
              <w:rPr>
                <w:sz w:val="20"/>
                <w:szCs w:val="20"/>
                <w:color w:val="auto"/>
              </w:rPr>
            </w:pPr>
            <w:r>
              <w:rPr>
                <w:rFonts w:ascii="Arial" w:cs="Arial" w:eastAsia="Arial" w:hAnsi="Arial"/>
                <w:sz w:val="20"/>
                <w:szCs w:val="20"/>
                <w:color w:val="auto"/>
              </w:rPr>
              <w:t>52,136</w:t>
            </w:r>
          </w:p>
        </w:tc>
      </w:tr>
      <w:tr>
        <w:trPr>
          <w:trHeight w:val="41"/>
        </w:trPr>
        <w:tc>
          <w:tcPr>
            <w:tcW w:w="48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48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Three through six months</w:t>
            </w:r>
          </w:p>
        </w:tc>
        <w:tc>
          <w:tcPr>
            <w:tcW w:w="3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50,218</w:t>
            </w:r>
          </w:p>
        </w:tc>
      </w:tr>
      <w:tr>
        <w:trPr>
          <w:trHeight w:val="274"/>
        </w:trPr>
        <w:tc>
          <w:tcPr>
            <w:tcW w:w="4880" w:type="dxa"/>
            <w:vAlign w:val="bottom"/>
          </w:tcPr>
          <w:p>
            <w:pPr>
              <w:ind w:left="60"/>
              <w:spacing w:after="0"/>
              <w:rPr>
                <w:sz w:val="20"/>
                <w:szCs w:val="20"/>
                <w:color w:val="auto"/>
              </w:rPr>
            </w:pPr>
            <w:r>
              <w:rPr>
                <w:rFonts w:ascii="Arial" w:cs="Arial" w:eastAsia="Arial" w:hAnsi="Arial"/>
                <w:sz w:val="20"/>
                <w:szCs w:val="20"/>
                <w:color w:val="auto"/>
              </w:rPr>
              <w:t>Six through twelve months</w:t>
            </w:r>
          </w:p>
        </w:tc>
        <w:tc>
          <w:tcPr>
            <w:tcW w:w="324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20"/>
                <w:szCs w:val="20"/>
                <w:color w:val="auto"/>
              </w:rPr>
              <w:t>28,050</w:t>
            </w:r>
          </w:p>
        </w:tc>
      </w:tr>
      <w:tr>
        <w:trPr>
          <w:trHeight w:val="41"/>
        </w:trPr>
        <w:tc>
          <w:tcPr>
            <w:tcW w:w="48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304"/>
        </w:trPr>
        <w:tc>
          <w:tcPr>
            <w:tcW w:w="48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Over twelve months</w:t>
            </w:r>
          </w:p>
        </w:tc>
        <w:tc>
          <w:tcPr>
            <w:tcW w:w="3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4,375</w:t>
            </w:r>
          </w:p>
        </w:tc>
      </w:tr>
      <w:tr>
        <w:trPr>
          <w:trHeight w:val="274"/>
        </w:trPr>
        <w:tc>
          <w:tcPr>
            <w:tcW w:w="4880" w:type="dxa"/>
            <w:vAlign w:val="bottom"/>
          </w:tcPr>
          <w:p>
            <w:pPr>
              <w:spacing w:after="0"/>
              <w:rPr>
                <w:sz w:val="20"/>
                <w:szCs w:val="20"/>
                <w:color w:val="auto"/>
              </w:rPr>
            </w:pPr>
            <w:r>
              <w:rPr>
                <w:rFonts w:ascii="Arial" w:cs="Arial" w:eastAsia="Arial" w:hAnsi="Arial"/>
                <w:sz w:val="20"/>
                <w:szCs w:val="20"/>
                <w:color w:val="auto"/>
              </w:rPr>
              <w:t>Total</w:t>
            </w:r>
          </w:p>
        </w:tc>
        <w:tc>
          <w:tcPr>
            <w:tcW w:w="3240" w:type="dxa"/>
            <w:vAlign w:val="bottom"/>
          </w:tcPr>
          <w:p>
            <w:pPr>
              <w:jc w:val="right"/>
              <w:ind w:right="400"/>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0"/>
              <w:spacing w:after="0"/>
              <w:rPr>
                <w:sz w:val="20"/>
                <w:szCs w:val="20"/>
                <w:color w:val="auto"/>
              </w:rPr>
            </w:pPr>
            <w:r>
              <w:rPr>
                <w:rFonts w:ascii="Arial" w:cs="Arial" w:eastAsia="Arial" w:hAnsi="Arial"/>
                <w:sz w:val="20"/>
                <w:szCs w:val="20"/>
                <w:color w:val="auto"/>
              </w:rPr>
              <w:t>134,779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26</w:t>
      </w:r>
    </w:p>
    <w:p>
      <w:pPr>
        <w:sectPr>
          <w:pgSz w:w="11900" w:h="16838" w:orient="portrait"/>
          <w:cols w:equalWidth="0" w:num="1">
            <w:col w:w="9400"/>
          </w:cols>
          <w:pgMar w:left="1260" w:top="1440" w:right="1246" w:bottom="0" w:gutter="0" w:footer="0" w:header="0"/>
          <w:type w:val="continuous"/>
        </w:sectPr>
      </w:pPr>
    </w:p>
    <w:bookmarkStart w:id="98" w:name="page99"/>
    <w:bookmarkEnd w:id="98"/>
    <w:p>
      <w:pPr>
        <w:jc w:val="both"/>
        <w:spacing w:after="0" w:line="330" w:lineRule="auto"/>
        <w:rPr>
          <w:sz w:val="20"/>
          <w:szCs w:val="20"/>
          <w:color w:val="auto"/>
        </w:rPr>
      </w:pPr>
      <w:r>
        <w:rPr>
          <w:rFonts w:ascii="Arial" w:cs="Arial" w:eastAsia="Arial" w:hAnsi="Arial"/>
          <w:sz w:val="19"/>
          <w:szCs w:val="19"/>
          <w:color w:val="auto"/>
        </w:rPr>
        <w:t>All municipal deposits, regardless of amount, are effectively insured, either through specific collateralization with securities held in third-party escrow or reciprocal deposit programs, as required under New York State law. Therefore, municipal deposits are not considered to be subject to the same risks of large unannounced withdrawals as consumer and business accounts for the reason of FDIC insurance coverage limitations.</w:t>
      </w:r>
    </w:p>
    <w:p>
      <w:pPr>
        <w:spacing w:after="0" w:line="118"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We participate in reciprocal deposit programs, which enable depositors to receive FDIC insurance coverage for deposits otherwise exceeding the maximum insurable amount. Through these programs, deposits in excess of the maximum insurable amount are placed with multiple participating financial institutions. Reciprocal deposits totaled $88.1 million at December 31, 2025, compared to $63.5 million at December 31, 2024, and represented 8.1% and 5.9% of nonbrokered deposits as of the end of each year, respectively.</w:t>
      </w:r>
    </w:p>
    <w:p>
      <w:pPr>
        <w:spacing w:after="0" w:line="118"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The Company offers a variety of public deposit products to municipalities within its market area, including towns, villages, counties and school districts, which serve as an additional source of funding. Total public (municipal) deposits were $175.7 million and $148.8 million at December 31, 2025 and 2024, respectively, representing 16.2% and 13.9% of total deposits at the end of each year. The increase in public deposits during 2025 compared to the prior year was primarily attributable to an increase of approximately $20.0 million in balances from an existing municipal relationship.</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26</w:t>
      </w:r>
    </w:p>
    <w:p>
      <w:pPr>
        <w:sectPr>
          <w:pgSz w:w="11900" w:h="16838" w:orient="portrait"/>
          <w:cols w:equalWidth="0" w:num="1">
            <w:col w:w="9380"/>
          </w:cols>
          <w:pgMar w:left="1260" w:top="1173" w:right="1266" w:bottom="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Deposit Activity</w:t>
      </w:r>
    </w:p>
    <w:p>
      <w:pPr>
        <w:spacing w:after="0" w:line="20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During 2025, like many financial institutions, the Bank experienced significant decreases in its cost of deposits resulting from the lower interest rate environment.</w:t>
      </w:r>
    </w:p>
    <w:p>
      <w:pPr>
        <w:spacing w:after="0" w:line="141"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We offer deposit accounts to consumers, business and local municipalities having a wide range of interest rates and terms. Our deposits consist of various types of transactional accounts such as savings accounts, money market accounts, NOW, and demand accounts as well as time accounts in the form of certificates of deposits. We solicit deposits in our market areas as well as online through our website. We also participate in reciprocal deposit services for our customers through the Certificate of Deposit Account Registry Services (“CDARS”) and Insured Cash Sweep (“ICS”) networks. The Bank also has a substantial number of readily available sources for brokered term deposits that it uses regularly as a secondary funding source.</w:t>
      </w:r>
    </w:p>
    <w:p>
      <w:pPr>
        <w:spacing w:after="0" w:line="123"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The Bank primarily relies on competitive pricing policies, marketing and customer service to attract and retain these deposits. As noted above, the Bank also accepts deposits from deposit brokers.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brokered deposit balances and rates at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20"/>
                <w:szCs w:val="20"/>
                <w:i w:val="1"/>
                <w:iCs w:val="1"/>
                <w:color w:val="auto"/>
              </w:rPr>
              <w:t>(Dollars in thousands)</w:t>
            </w:r>
          </w:p>
        </w:tc>
        <w:tc>
          <w:tcPr>
            <w:tcW w:w="2640" w:type="dxa"/>
            <w:vAlign w:val="bottom"/>
          </w:tcPr>
          <w:p>
            <w:pPr>
              <w:spacing w:after="0"/>
              <w:rPr>
                <w:sz w:val="19"/>
                <w:szCs w:val="19"/>
                <w:color w:val="auto"/>
              </w:rPr>
            </w:pPr>
          </w:p>
        </w:tc>
        <w:tc>
          <w:tcPr>
            <w:tcW w:w="1320" w:type="dxa"/>
            <w:vAlign w:val="bottom"/>
          </w:tcPr>
          <w:p>
            <w:pPr>
              <w:jc w:val="right"/>
              <w:ind w:right="140"/>
              <w:spacing w:after="0"/>
              <w:rPr>
                <w:sz w:val="20"/>
                <w:szCs w:val="20"/>
                <w:color w:val="auto"/>
              </w:rPr>
            </w:pPr>
            <w:r>
              <w:rPr>
                <w:rFonts w:ascii="Arial" w:cs="Arial" w:eastAsia="Arial" w:hAnsi="Arial"/>
                <w:sz w:val="20"/>
                <w:szCs w:val="20"/>
                <w:color w:val="auto"/>
              </w:rPr>
              <w:t>Balance</w:t>
            </w:r>
          </w:p>
        </w:tc>
        <w:tc>
          <w:tcPr>
            <w:tcW w:w="1520" w:type="dxa"/>
            <w:vAlign w:val="bottom"/>
          </w:tcPr>
          <w:p>
            <w:pPr>
              <w:jc w:val="right"/>
              <w:ind w:right="80"/>
              <w:spacing w:after="0"/>
              <w:rPr>
                <w:sz w:val="20"/>
                <w:szCs w:val="20"/>
                <w:color w:val="auto"/>
              </w:rPr>
            </w:pPr>
            <w:r>
              <w:rPr>
                <w:rFonts w:ascii="Arial" w:cs="Arial" w:eastAsia="Arial" w:hAnsi="Arial"/>
                <w:sz w:val="20"/>
                <w:szCs w:val="20"/>
                <w:color w:val="auto"/>
              </w:rPr>
              <w:t>Average Rate</w:t>
            </w:r>
          </w:p>
        </w:tc>
      </w:tr>
      <w:tr>
        <w:trPr>
          <w:trHeight w:val="51"/>
        </w:trPr>
        <w:tc>
          <w:tcPr>
            <w:tcW w:w="3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8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Maturity Year:</w:t>
            </w:r>
          </w:p>
        </w:tc>
        <w:tc>
          <w:tcPr>
            <w:tcW w:w="26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spacing w:after="0"/>
              <w:rPr>
                <w:sz w:val="24"/>
                <w:szCs w:val="24"/>
                <w:color w:val="auto"/>
              </w:rPr>
            </w:pPr>
          </w:p>
        </w:tc>
      </w:tr>
      <w:tr>
        <w:trPr>
          <w:trHeight w:val="259"/>
        </w:trPr>
        <w:tc>
          <w:tcPr>
            <w:tcW w:w="3920" w:type="dxa"/>
            <w:vAlign w:val="bottom"/>
          </w:tcPr>
          <w:p>
            <w:pPr>
              <w:jc w:val="right"/>
              <w:ind w:right="3380"/>
              <w:spacing w:after="0"/>
              <w:rPr>
                <w:sz w:val="20"/>
                <w:szCs w:val="20"/>
                <w:color w:val="auto"/>
              </w:rPr>
            </w:pPr>
            <w:r>
              <w:rPr>
                <w:rFonts w:ascii="Arial" w:cs="Arial" w:eastAsia="Arial" w:hAnsi="Arial"/>
                <w:sz w:val="20"/>
                <w:szCs w:val="20"/>
                <w:color w:val="auto"/>
                <w:w w:val="94"/>
              </w:rPr>
              <w:t>2026</w:t>
            </w:r>
          </w:p>
        </w:tc>
        <w:tc>
          <w:tcPr>
            <w:tcW w:w="2640" w:type="dxa"/>
            <w:vAlign w:val="bottom"/>
          </w:tcPr>
          <w:p>
            <w:pPr>
              <w:jc w:val="right"/>
              <w:ind w:right="320"/>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40"/>
              <w:spacing w:after="0"/>
              <w:rPr>
                <w:sz w:val="20"/>
                <w:szCs w:val="20"/>
                <w:color w:val="auto"/>
              </w:rPr>
            </w:pPr>
            <w:r>
              <w:rPr>
                <w:rFonts w:ascii="Arial" w:cs="Arial" w:eastAsia="Arial" w:hAnsi="Arial"/>
                <w:sz w:val="20"/>
                <w:szCs w:val="20"/>
                <w:color w:val="auto"/>
              </w:rPr>
              <w:t>96,167</w:t>
            </w:r>
          </w:p>
        </w:tc>
        <w:tc>
          <w:tcPr>
            <w:tcW w:w="1520" w:type="dxa"/>
            <w:vAlign w:val="bottom"/>
          </w:tcPr>
          <w:p>
            <w:pPr>
              <w:jc w:val="right"/>
              <w:spacing w:after="0"/>
              <w:rPr>
                <w:sz w:val="20"/>
                <w:szCs w:val="20"/>
                <w:color w:val="auto"/>
              </w:rPr>
            </w:pPr>
            <w:r>
              <w:rPr>
                <w:rFonts w:ascii="Arial" w:cs="Arial" w:eastAsia="Arial" w:hAnsi="Arial"/>
                <w:sz w:val="20"/>
                <w:szCs w:val="20"/>
                <w:color w:val="auto"/>
              </w:rPr>
              <w:t>3.02%</w:t>
            </w:r>
          </w:p>
        </w:tc>
      </w:tr>
      <w:tr>
        <w:trPr>
          <w:trHeight w:val="41"/>
        </w:trPr>
        <w:tc>
          <w:tcPr>
            <w:tcW w:w="39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4"/>
        </w:trPr>
        <w:tc>
          <w:tcPr>
            <w:tcW w:w="3920" w:type="dxa"/>
            <w:vAlign w:val="bottom"/>
            <w:tcBorders>
              <w:bottom w:val="single" w:sz="8" w:color="CFF0FC"/>
            </w:tcBorders>
            <w:shd w:val="clear" w:color="auto" w:fill="CFF0FC"/>
          </w:tcPr>
          <w:p>
            <w:pPr>
              <w:jc w:val="right"/>
              <w:ind w:right="3380"/>
              <w:spacing w:after="0"/>
              <w:rPr>
                <w:sz w:val="20"/>
                <w:szCs w:val="20"/>
                <w:color w:val="auto"/>
              </w:rPr>
            </w:pPr>
            <w:r>
              <w:rPr>
                <w:rFonts w:ascii="Arial" w:cs="Arial" w:eastAsia="Arial" w:hAnsi="Arial"/>
                <w:sz w:val="20"/>
                <w:szCs w:val="20"/>
                <w:color w:val="auto"/>
                <w:w w:val="94"/>
              </w:rPr>
              <w:t>2027</w:t>
            </w:r>
          </w:p>
        </w:tc>
        <w:tc>
          <w:tcPr>
            <w:tcW w:w="26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5,746</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2.22%</w:t>
            </w:r>
          </w:p>
        </w:tc>
      </w:tr>
      <w:tr>
        <w:trPr>
          <w:trHeight w:val="259"/>
        </w:trPr>
        <w:tc>
          <w:tcPr>
            <w:tcW w:w="3920" w:type="dxa"/>
            <w:vAlign w:val="bottom"/>
          </w:tcPr>
          <w:p>
            <w:pPr>
              <w:jc w:val="right"/>
              <w:ind w:right="3380"/>
              <w:spacing w:after="0"/>
              <w:rPr>
                <w:sz w:val="20"/>
                <w:szCs w:val="20"/>
                <w:color w:val="auto"/>
              </w:rPr>
            </w:pPr>
            <w:r>
              <w:rPr>
                <w:rFonts w:ascii="Arial" w:cs="Arial" w:eastAsia="Arial" w:hAnsi="Arial"/>
                <w:sz w:val="20"/>
                <w:szCs w:val="20"/>
                <w:color w:val="auto"/>
                <w:w w:val="94"/>
              </w:rPr>
              <w:t>2028</w:t>
            </w:r>
          </w:p>
        </w:tc>
        <w:tc>
          <w:tcPr>
            <w:tcW w:w="2640" w:type="dxa"/>
            <w:vAlign w:val="bottom"/>
          </w:tcPr>
          <w:p>
            <w:pPr>
              <w:spacing w:after="0"/>
              <w:rPr>
                <w:sz w:val="22"/>
                <w:szCs w:val="22"/>
                <w:color w:val="auto"/>
              </w:rPr>
            </w:pPr>
          </w:p>
        </w:tc>
        <w:tc>
          <w:tcPr>
            <w:tcW w:w="132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0.00%</w:t>
            </w:r>
          </w:p>
        </w:tc>
      </w:tr>
      <w:tr>
        <w:trPr>
          <w:trHeight w:val="41"/>
        </w:trPr>
        <w:tc>
          <w:tcPr>
            <w:tcW w:w="39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80"/>
        </w:trPr>
        <w:tc>
          <w:tcPr>
            <w:tcW w:w="3920" w:type="dxa"/>
            <w:vAlign w:val="bottom"/>
            <w:tcBorders>
              <w:bottom w:val="single" w:sz="8" w:color="CFF0FC"/>
            </w:tcBorders>
            <w:shd w:val="clear" w:color="auto" w:fill="CFF0FC"/>
          </w:tcPr>
          <w:p>
            <w:pPr>
              <w:jc w:val="right"/>
              <w:ind w:right="3380"/>
              <w:spacing w:after="0"/>
              <w:rPr>
                <w:sz w:val="20"/>
                <w:szCs w:val="20"/>
                <w:color w:val="auto"/>
              </w:rPr>
            </w:pPr>
            <w:r>
              <w:rPr>
                <w:rFonts w:ascii="Arial" w:cs="Arial" w:eastAsia="Arial" w:hAnsi="Arial"/>
                <w:sz w:val="20"/>
                <w:szCs w:val="20"/>
                <w:color w:val="auto"/>
                <w:w w:val="94"/>
              </w:rPr>
              <w:t>2029</w:t>
            </w:r>
          </w:p>
        </w:tc>
        <w:tc>
          <w:tcPr>
            <w:tcW w:w="26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0.00%</w:t>
            </w:r>
          </w:p>
        </w:tc>
      </w:tr>
      <w:tr>
        <w:trPr>
          <w:trHeight w:val="259"/>
        </w:trPr>
        <w:tc>
          <w:tcPr>
            <w:tcW w:w="3920" w:type="dxa"/>
            <w:vAlign w:val="bottom"/>
          </w:tcPr>
          <w:p>
            <w:pPr>
              <w:jc w:val="right"/>
              <w:ind w:right="3380"/>
              <w:spacing w:after="0"/>
              <w:rPr>
                <w:sz w:val="20"/>
                <w:szCs w:val="20"/>
                <w:color w:val="auto"/>
              </w:rPr>
            </w:pPr>
            <w:r>
              <w:rPr>
                <w:rFonts w:ascii="Arial" w:cs="Arial" w:eastAsia="Arial" w:hAnsi="Arial"/>
                <w:sz w:val="20"/>
                <w:szCs w:val="20"/>
                <w:color w:val="auto"/>
                <w:w w:val="94"/>
              </w:rPr>
              <w:t>2030</w:t>
            </w:r>
          </w:p>
        </w:tc>
        <w:tc>
          <w:tcPr>
            <w:tcW w:w="2640" w:type="dxa"/>
            <w:vAlign w:val="bottom"/>
          </w:tcPr>
          <w:p>
            <w:pPr>
              <w:spacing w:after="0"/>
              <w:rPr>
                <w:sz w:val="22"/>
                <w:szCs w:val="22"/>
                <w:color w:val="auto"/>
              </w:rPr>
            </w:pPr>
          </w:p>
        </w:tc>
        <w:tc>
          <w:tcPr>
            <w:tcW w:w="132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0.00%</w:t>
            </w:r>
          </w:p>
        </w:tc>
      </w:tr>
      <w:tr>
        <w:trPr>
          <w:trHeight w:val="51"/>
        </w:trPr>
        <w:tc>
          <w:tcPr>
            <w:tcW w:w="3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9"/>
        </w:trPr>
        <w:tc>
          <w:tcPr>
            <w:tcW w:w="3920" w:type="dxa"/>
            <w:vAlign w:val="bottom"/>
            <w:shd w:val="clear" w:color="auto" w:fill="CFF0FC"/>
          </w:tcPr>
          <w:p>
            <w:pPr>
              <w:spacing w:after="0"/>
              <w:rPr>
                <w:sz w:val="22"/>
                <w:szCs w:val="22"/>
                <w:color w:val="auto"/>
              </w:rPr>
            </w:pPr>
          </w:p>
        </w:tc>
        <w:tc>
          <w:tcPr>
            <w:tcW w:w="2640" w:type="dxa"/>
            <w:vAlign w:val="bottom"/>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101,913</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2.97%</w:t>
            </w:r>
          </w:p>
        </w:tc>
      </w:tr>
      <w:tr>
        <w:trPr>
          <w:trHeight w:val="86"/>
        </w:trPr>
        <w:tc>
          <w:tcPr>
            <w:tcW w:w="3920" w:type="dxa"/>
            <w:vAlign w:val="bottom"/>
            <w:shd w:val="clear" w:color="auto" w:fill="CFF0FC"/>
          </w:tcPr>
          <w:p>
            <w:pPr>
              <w:spacing w:after="0"/>
              <w:rPr>
                <w:sz w:val="7"/>
                <w:szCs w:val="7"/>
                <w:color w:val="auto"/>
              </w:rPr>
            </w:pPr>
          </w:p>
        </w:tc>
        <w:tc>
          <w:tcPr>
            <w:tcW w:w="264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15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-1383030</wp:posOffset>
            </wp:positionV>
            <wp:extent cx="596773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-224790</wp:posOffset>
            </wp:positionV>
            <wp:extent cx="596773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color w:val="auto"/>
        </w:rPr>
        <w:t>Included in the brokered deposit balances, detailed above, are $5.0 million in deposits that can be called at the Bank's discretion, should that become economically advantageous in the future.</w:t>
      </w:r>
    </w:p>
    <w:p>
      <w:pPr>
        <w:spacing w:after="0" w:line="141"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In addition to the term brokered deposits detailed above, the Bank had $5.0 million in overnight brokered funds, derived from a pool of individual depositors, at December 31, 2025. The interest rate paid for these funds is indexed to the overnight Federal funds effective rate. These aggregate deposits are comprised of multiple individual deposits with balances small enough to be fully insured by the FDIC and the individual depositors with the aggregate pool can be readily substituted when withdrawals are made. These deposits are therefore considered to be highly stable in the aggregate. The Bank can exit this funding arrangement, in whole or in part, with 60 days prior notice to the issuing counterparty.</w:t>
      </w:r>
    </w:p>
    <w:p>
      <w:pPr>
        <w:spacing w:after="0" w:line="134"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Excluding brokered deposits, all other deposits, collectively referred to as nonbrokered deposits, totaled $1.08 billion, or 91.4% of total deposits with an average rate of 2.0% at December 31, 2025. Nonbrokered deposits, totaled $1.07 billion, or 88.7% of total deposits with an average rate of 2.3% at December 31, 2024. Our core deposits, which herein are defined as nonbrokered deposits excluding time accounts in excess of $250,000, were $947.1 million, or 87.5% of nonbrokered deposits, and $925.8 million, or 86.7% of nonbrokered deposits, at December 31, 2025 and December 31, 2024,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certificate of deposit balances and rates at December 31, 2025:</w:t>
      </w:r>
    </w:p>
    <w:p>
      <w:pPr>
        <w:spacing w:after="0" w:line="220" w:lineRule="exact"/>
        <w:rPr>
          <w:sz w:val="20"/>
          <w:szCs w:val="20"/>
          <w:color w:val="auto"/>
        </w:rPr>
      </w:pPr>
    </w:p>
    <w:p>
      <w:pPr>
        <w:spacing w:after="0"/>
        <w:tabs>
          <w:tab w:leader="none" w:pos="6980" w:val="left"/>
          <w:tab w:leader="none" w:pos="8120" w:val="left"/>
        </w:tabs>
        <w:rPr>
          <w:sz w:val="20"/>
          <w:szCs w:val="20"/>
          <w:color w:val="auto"/>
        </w:rPr>
      </w:pPr>
      <w:r>
        <w:rPr>
          <w:rFonts w:ascii="Arial" w:cs="Arial" w:eastAsia="Arial" w:hAnsi="Arial"/>
          <w:sz w:val="20"/>
          <w:szCs w:val="20"/>
          <w:i w:val="1"/>
          <w:iCs w:val="1"/>
          <w:color w:val="auto"/>
        </w:rPr>
        <w:t>(Dollars in thousands)</w:t>
      </w:r>
      <w:r>
        <w:rPr>
          <w:sz w:val="20"/>
          <w:szCs w:val="20"/>
          <w:color w:val="auto"/>
        </w:rPr>
        <w:tab/>
      </w:r>
      <w:r>
        <w:rPr>
          <w:rFonts w:ascii="Arial" w:cs="Arial" w:eastAsia="Arial" w:hAnsi="Arial"/>
          <w:sz w:val="20"/>
          <w:szCs w:val="20"/>
          <w:color w:val="auto"/>
        </w:rPr>
        <w:t>Balance</w:t>
      </w:r>
      <w:r>
        <w:rPr>
          <w:sz w:val="20"/>
          <w:szCs w:val="20"/>
          <w:color w:val="auto"/>
        </w:rPr>
        <w:tab/>
      </w:r>
      <w:r>
        <w:rPr>
          <w:rFonts w:ascii="Arial" w:cs="Arial" w:eastAsia="Arial" w:hAnsi="Arial"/>
          <w:sz w:val="17"/>
          <w:szCs w:val="17"/>
          <w:color w:val="auto"/>
        </w:rPr>
        <w:t>Average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Maturity Year: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26</w:t>
      </w:r>
    </w:p>
    <w:p>
      <w:pPr>
        <w:sectPr>
          <w:pgSz w:w="11900" w:h="16838" w:orient="portrait"/>
          <w:cols w:equalWidth="0" w:num="1">
            <w:col w:w="9400"/>
          </w:cols>
          <w:pgMar w:left="1260" w:top="1440" w:right="1246"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80"/>
        </w:trPr>
        <w:tc>
          <w:tcPr>
            <w:tcW w:w="3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2026</w:t>
            </w:r>
          </w:p>
        </w:tc>
        <w:tc>
          <w:tcPr>
            <w:tcW w:w="308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334,189</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3.75%</w:t>
            </w:r>
          </w:p>
        </w:tc>
      </w:tr>
      <w:tr>
        <w:trPr>
          <w:trHeight w:val="259"/>
        </w:trPr>
        <w:tc>
          <w:tcPr>
            <w:tcW w:w="3440" w:type="dxa"/>
            <w:vAlign w:val="bottom"/>
          </w:tcPr>
          <w:p>
            <w:pPr>
              <w:ind w:left="40"/>
              <w:spacing w:after="0"/>
              <w:rPr>
                <w:sz w:val="20"/>
                <w:szCs w:val="20"/>
                <w:color w:val="auto"/>
              </w:rPr>
            </w:pPr>
            <w:r>
              <w:rPr>
                <w:rFonts w:ascii="Arial" w:cs="Arial" w:eastAsia="Arial" w:hAnsi="Arial"/>
                <w:sz w:val="20"/>
                <w:szCs w:val="20"/>
                <w:color w:val="auto"/>
              </w:rPr>
              <w:t>2027</w:t>
            </w:r>
          </w:p>
        </w:tc>
        <w:tc>
          <w:tcPr>
            <w:tcW w:w="3080" w:type="dxa"/>
            <w:vAlign w:val="bottom"/>
          </w:tcPr>
          <w:p>
            <w:pPr>
              <w:spacing w:after="0"/>
              <w:rPr>
                <w:sz w:val="22"/>
                <w:szCs w:val="22"/>
                <w:color w:val="auto"/>
              </w:rPr>
            </w:pPr>
          </w:p>
        </w:tc>
        <w:tc>
          <w:tcPr>
            <w:tcW w:w="1720" w:type="dxa"/>
            <w:vAlign w:val="bottom"/>
          </w:tcPr>
          <w:p>
            <w:pPr>
              <w:jc w:val="right"/>
              <w:ind w:right="500"/>
              <w:spacing w:after="0"/>
              <w:rPr>
                <w:sz w:val="20"/>
                <w:szCs w:val="20"/>
                <w:color w:val="auto"/>
              </w:rPr>
            </w:pPr>
            <w:r>
              <w:rPr>
                <w:rFonts w:ascii="Arial" w:cs="Arial" w:eastAsia="Arial" w:hAnsi="Arial"/>
                <w:sz w:val="20"/>
                <w:szCs w:val="20"/>
                <w:color w:val="auto"/>
              </w:rPr>
              <w:t>15,430</w:t>
            </w:r>
          </w:p>
        </w:tc>
        <w:tc>
          <w:tcPr>
            <w:tcW w:w="1160" w:type="dxa"/>
            <w:vAlign w:val="bottom"/>
          </w:tcPr>
          <w:p>
            <w:pPr>
              <w:jc w:val="right"/>
              <w:spacing w:after="0"/>
              <w:rPr>
                <w:sz w:val="20"/>
                <w:szCs w:val="20"/>
                <w:color w:val="auto"/>
              </w:rPr>
            </w:pPr>
            <w:r>
              <w:rPr>
                <w:rFonts w:ascii="Arial" w:cs="Arial" w:eastAsia="Arial" w:hAnsi="Arial"/>
                <w:sz w:val="20"/>
                <w:szCs w:val="20"/>
                <w:color w:val="auto"/>
              </w:rPr>
              <w:t>3.04%</w:t>
            </w:r>
          </w:p>
        </w:tc>
      </w:tr>
      <w:tr>
        <w:trPr>
          <w:trHeight w:val="41"/>
        </w:trPr>
        <w:tc>
          <w:tcPr>
            <w:tcW w:w="34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2028</w:t>
            </w:r>
          </w:p>
        </w:tc>
        <w:tc>
          <w:tcPr>
            <w:tcW w:w="308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4,337</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2.68%</w:t>
            </w:r>
          </w:p>
        </w:tc>
      </w:tr>
      <w:tr>
        <w:trPr>
          <w:trHeight w:val="259"/>
        </w:trPr>
        <w:tc>
          <w:tcPr>
            <w:tcW w:w="3440" w:type="dxa"/>
            <w:vAlign w:val="bottom"/>
          </w:tcPr>
          <w:p>
            <w:pPr>
              <w:ind w:left="40"/>
              <w:spacing w:after="0"/>
              <w:rPr>
                <w:sz w:val="20"/>
                <w:szCs w:val="20"/>
                <w:color w:val="auto"/>
              </w:rPr>
            </w:pPr>
            <w:r>
              <w:rPr>
                <w:rFonts w:ascii="Arial" w:cs="Arial" w:eastAsia="Arial" w:hAnsi="Arial"/>
                <w:sz w:val="20"/>
                <w:szCs w:val="20"/>
                <w:color w:val="auto"/>
              </w:rPr>
              <w:t>2029</w:t>
            </w:r>
          </w:p>
        </w:tc>
        <w:tc>
          <w:tcPr>
            <w:tcW w:w="3080" w:type="dxa"/>
            <w:vAlign w:val="bottom"/>
          </w:tcPr>
          <w:p>
            <w:pPr>
              <w:spacing w:after="0"/>
              <w:rPr>
                <w:sz w:val="22"/>
                <w:szCs w:val="22"/>
                <w:color w:val="auto"/>
              </w:rPr>
            </w:pPr>
          </w:p>
        </w:tc>
        <w:tc>
          <w:tcPr>
            <w:tcW w:w="1720" w:type="dxa"/>
            <w:vAlign w:val="bottom"/>
          </w:tcPr>
          <w:p>
            <w:pPr>
              <w:jc w:val="right"/>
              <w:ind w:right="500"/>
              <w:spacing w:after="0"/>
              <w:rPr>
                <w:sz w:val="20"/>
                <w:szCs w:val="20"/>
                <w:color w:val="auto"/>
              </w:rPr>
            </w:pPr>
            <w:r>
              <w:rPr>
                <w:rFonts w:ascii="Arial" w:cs="Arial" w:eastAsia="Arial" w:hAnsi="Arial"/>
                <w:sz w:val="20"/>
                <w:szCs w:val="20"/>
                <w:color w:val="auto"/>
              </w:rPr>
              <w:t>719</w:t>
            </w:r>
          </w:p>
        </w:tc>
        <w:tc>
          <w:tcPr>
            <w:tcW w:w="116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41"/>
        </w:trPr>
        <w:tc>
          <w:tcPr>
            <w:tcW w:w="34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0"/>
        </w:trPr>
        <w:tc>
          <w:tcPr>
            <w:tcW w:w="3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2030</w:t>
            </w:r>
          </w:p>
        </w:tc>
        <w:tc>
          <w:tcPr>
            <w:tcW w:w="308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72</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1.08%</w:t>
            </w:r>
          </w:p>
        </w:tc>
      </w:tr>
      <w:tr>
        <w:trPr>
          <w:trHeight w:val="259"/>
        </w:trPr>
        <w:tc>
          <w:tcPr>
            <w:tcW w:w="3440" w:type="dxa"/>
            <w:vAlign w:val="bottom"/>
          </w:tcPr>
          <w:p>
            <w:pPr>
              <w:ind w:left="40"/>
              <w:spacing w:after="0"/>
              <w:rPr>
                <w:sz w:val="20"/>
                <w:szCs w:val="20"/>
                <w:color w:val="auto"/>
              </w:rPr>
            </w:pPr>
            <w:r>
              <w:rPr>
                <w:rFonts w:ascii="Arial" w:cs="Arial" w:eastAsia="Arial" w:hAnsi="Arial"/>
                <w:sz w:val="20"/>
                <w:szCs w:val="20"/>
                <w:color w:val="auto"/>
              </w:rPr>
              <w:t>After 2030</w:t>
            </w:r>
          </w:p>
        </w:tc>
        <w:tc>
          <w:tcPr>
            <w:tcW w:w="3080" w:type="dxa"/>
            <w:vAlign w:val="bottom"/>
          </w:tcPr>
          <w:p>
            <w:pPr>
              <w:spacing w:after="0"/>
              <w:rPr>
                <w:sz w:val="22"/>
                <w:szCs w:val="22"/>
                <w:color w:val="auto"/>
              </w:rPr>
            </w:pPr>
          </w:p>
        </w:tc>
        <w:tc>
          <w:tcPr>
            <w:tcW w:w="1720" w:type="dxa"/>
            <w:vAlign w:val="bottom"/>
          </w:tcPr>
          <w:p>
            <w:pPr>
              <w:jc w:val="right"/>
              <w:ind w:right="500"/>
              <w:spacing w:after="0"/>
              <w:rPr>
                <w:sz w:val="20"/>
                <w:szCs w:val="20"/>
                <w:color w:val="auto"/>
              </w:rPr>
            </w:pPr>
            <w:r>
              <w:rPr>
                <w:rFonts w:ascii="Arial" w:cs="Arial" w:eastAsia="Arial" w:hAnsi="Arial"/>
                <w:sz w:val="20"/>
                <w:szCs w:val="20"/>
                <w:color w:val="auto"/>
              </w:rPr>
              <w:t>320</w:t>
            </w:r>
          </w:p>
        </w:tc>
        <w:tc>
          <w:tcPr>
            <w:tcW w:w="11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51"/>
        </w:trPr>
        <w:tc>
          <w:tcPr>
            <w:tcW w:w="34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9"/>
        </w:trPr>
        <w:tc>
          <w:tcPr>
            <w:tcW w:w="3440" w:type="dxa"/>
            <w:vAlign w:val="bottom"/>
            <w:shd w:val="clear" w:color="auto" w:fill="CFF0FC"/>
          </w:tcPr>
          <w:p>
            <w:pPr>
              <w:spacing w:after="0"/>
              <w:rPr>
                <w:sz w:val="22"/>
                <w:szCs w:val="22"/>
                <w:color w:val="auto"/>
              </w:rPr>
            </w:pPr>
          </w:p>
        </w:tc>
        <w:tc>
          <w:tcPr>
            <w:tcW w:w="3080" w:type="dxa"/>
            <w:vAlign w:val="bottom"/>
            <w:shd w:val="clear" w:color="auto" w:fill="CFF0FC"/>
          </w:tcPr>
          <w:p>
            <w:pPr>
              <w:jc w:val="right"/>
              <w:ind w:right="360"/>
              <w:spacing w:after="0"/>
              <w:rPr>
                <w:sz w:val="20"/>
                <w:szCs w:val="20"/>
                <w:color w:val="auto"/>
              </w:rPr>
            </w:pPr>
            <w:r>
              <w:rPr>
                <w:rFonts w:ascii="Arial" w:cs="Arial" w:eastAsia="Arial" w:hAnsi="Arial"/>
                <w:sz w:val="20"/>
                <w:szCs w:val="20"/>
                <w:color w:val="auto"/>
              </w:rPr>
              <w:t>$</w:t>
            </w:r>
          </w:p>
        </w:tc>
        <w:tc>
          <w:tcPr>
            <w:tcW w:w="1720" w:type="dxa"/>
            <w:vAlign w:val="bottom"/>
            <w:shd w:val="clear" w:color="auto" w:fill="CFF0FC"/>
          </w:tcPr>
          <w:p>
            <w:pPr>
              <w:jc w:val="right"/>
              <w:ind w:right="500"/>
              <w:spacing w:after="0"/>
              <w:rPr>
                <w:sz w:val="20"/>
                <w:szCs w:val="20"/>
                <w:color w:val="auto"/>
              </w:rPr>
            </w:pPr>
            <w:r>
              <w:rPr>
                <w:rFonts w:ascii="Arial" w:cs="Arial" w:eastAsia="Arial" w:hAnsi="Arial"/>
                <w:sz w:val="20"/>
                <w:szCs w:val="20"/>
                <w:color w:val="auto"/>
              </w:rPr>
              <w:t>355,067</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3.70%</w:t>
            </w:r>
          </w:p>
        </w:tc>
      </w:tr>
      <w:tr>
        <w:trPr>
          <w:trHeight w:val="86"/>
        </w:trPr>
        <w:tc>
          <w:tcPr>
            <w:tcW w:w="3440" w:type="dxa"/>
            <w:vAlign w:val="bottom"/>
            <w:shd w:val="clear" w:color="auto" w:fill="CFF0FC"/>
          </w:tcPr>
          <w:p>
            <w:pPr>
              <w:spacing w:after="0"/>
              <w:rPr>
                <w:sz w:val="7"/>
                <w:szCs w:val="7"/>
                <w:color w:val="auto"/>
              </w:rPr>
            </w:pPr>
          </w:p>
        </w:tc>
        <w:tc>
          <w:tcPr>
            <w:tcW w:w="3080" w:type="dxa"/>
            <w:vAlign w:val="bottom"/>
            <w:shd w:val="clear" w:color="auto" w:fill="CFF0FC"/>
          </w:tcPr>
          <w:p>
            <w:pPr>
              <w:spacing w:after="0"/>
              <w:rPr>
                <w:sz w:val="7"/>
                <w:szCs w:val="7"/>
                <w:color w:val="auto"/>
              </w:rPr>
            </w:pPr>
          </w:p>
        </w:tc>
        <w:tc>
          <w:tcPr>
            <w:tcW w:w="1720" w:type="dxa"/>
            <w:vAlign w:val="bottom"/>
            <w:shd w:val="clear" w:color="auto" w:fill="CFF0FC"/>
          </w:tcPr>
          <w:p>
            <w:pPr>
              <w:spacing w:after="0"/>
              <w:rPr>
                <w:sz w:val="7"/>
                <w:szCs w:val="7"/>
                <w:color w:val="auto"/>
              </w:rPr>
            </w:pPr>
          </w:p>
        </w:tc>
        <w:tc>
          <w:tcPr>
            <w:tcW w:w="11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596773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26</w:t>
      </w:r>
    </w:p>
    <w:p>
      <w:pPr>
        <w:sectPr>
          <w:pgSz w:w="11900" w:h="16838" w:orient="portrait"/>
          <w:cols w:equalWidth="0" w:num="1">
            <w:col w:w="9400"/>
          </w:cols>
          <w:pgMar w:left="1260" w:top="1133" w:right="1246" w:bottom="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Deposit Concentrations</w:t>
      </w:r>
    </w:p>
    <w:p>
      <w:pPr>
        <w:spacing w:after="0" w:line="200"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The Bank utilizes a variety of funding sources to support the interest-earning asset base in addition to achieving targeted growth objectives. Overall funding is comprised of three primary sources that possess a variety of maturity, stability, and price characteristics: deposits from individuals, non-governmental businesses, and governmental deposits that are collateralized for amounts not covered by FDIC insurance, and other external borrowings. The average daily amount of deposits and the average rate paid on each of the following deposit categories are summarized below for the years ended December 31: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2024</w:t>
            </w:r>
          </w:p>
        </w:tc>
        <w:tc>
          <w:tcPr>
            <w:tcW w:w="1380" w:type="dxa"/>
            <w:vAlign w:val="bottom"/>
          </w:tcPr>
          <w:p>
            <w:pPr>
              <w:spacing w:after="0"/>
              <w:rPr>
                <w:sz w:val="17"/>
                <w:szCs w:val="17"/>
                <w:color w:val="auto"/>
              </w:rPr>
            </w:pPr>
          </w:p>
        </w:tc>
      </w:tr>
      <w:tr>
        <w:trPr>
          <w:trHeight w:val="294"/>
        </w:trPr>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Arial" w:cs="Arial" w:eastAsia="Arial" w:hAnsi="Arial"/>
                <w:sz w:val="18"/>
                <w:szCs w:val="18"/>
                <w:color w:val="auto"/>
              </w:rPr>
              <w:t>Average Yield/</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ind w:left="80"/>
              <w:spacing w:after="0"/>
              <w:rPr>
                <w:sz w:val="20"/>
                <w:szCs w:val="20"/>
                <w:color w:val="auto"/>
              </w:rPr>
            </w:pPr>
            <w:r>
              <w:rPr>
                <w:rFonts w:ascii="Arial" w:cs="Arial" w:eastAsia="Arial" w:hAnsi="Arial"/>
                <w:sz w:val="18"/>
                <w:szCs w:val="18"/>
                <w:color w:val="auto"/>
              </w:rPr>
              <w:t>Average Yield/</w:t>
            </w:r>
          </w:p>
        </w:tc>
      </w:tr>
      <w:tr>
        <w:trPr>
          <w:trHeight w:val="270"/>
        </w:trPr>
        <w:tc>
          <w:tcPr>
            <w:tcW w:w="2580" w:type="dxa"/>
            <w:vAlign w:val="bottom"/>
          </w:tcPr>
          <w:p>
            <w:pPr>
              <w:spacing w:after="0"/>
              <w:rPr>
                <w:sz w:val="20"/>
                <w:szCs w:val="20"/>
                <w:color w:val="auto"/>
              </w:rPr>
            </w:pPr>
            <w:r>
              <w:rPr>
                <w:rFonts w:ascii="Arial" w:cs="Arial" w:eastAsia="Arial" w:hAnsi="Arial"/>
                <w:sz w:val="18"/>
                <w:szCs w:val="18"/>
                <w:i w:val="1"/>
                <w:iCs w:val="1"/>
                <w:color w:val="auto"/>
              </w:rPr>
              <w:t>(In thousands, except rates)</w:t>
            </w:r>
          </w:p>
        </w:tc>
        <w:tc>
          <w:tcPr>
            <w:tcW w:w="520" w:type="dxa"/>
            <w:vAlign w:val="bottom"/>
          </w:tcPr>
          <w:p>
            <w:pPr>
              <w:spacing w:after="0"/>
              <w:rPr>
                <w:sz w:val="23"/>
                <w:szCs w:val="23"/>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color w:val="auto"/>
                <w:w w:val="93"/>
              </w:rPr>
              <w:t>Average Balance</w:t>
            </w:r>
          </w:p>
        </w:tc>
        <w:tc>
          <w:tcPr>
            <w:tcW w:w="1440" w:type="dxa"/>
            <w:vAlign w:val="bottom"/>
          </w:tcPr>
          <w:p>
            <w:pPr>
              <w:ind w:left="88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3"/>
                <w:szCs w:val="23"/>
                <w:color w:val="auto"/>
              </w:rPr>
            </w:pPr>
          </w:p>
        </w:tc>
        <w:tc>
          <w:tcPr>
            <w:tcW w:w="1600" w:type="dxa"/>
            <w:vAlign w:val="bottom"/>
          </w:tcPr>
          <w:p>
            <w:pPr>
              <w:jc w:val="right"/>
              <w:ind w:right="210"/>
              <w:spacing w:after="0"/>
              <w:rPr>
                <w:sz w:val="20"/>
                <w:szCs w:val="20"/>
                <w:color w:val="auto"/>
              </w:rPr>
            </w:pPr>
            <w:r>
              <w:rPr>
                <w:rFonts w:ascii="Arial" w:cs="Arial" w:eastAsia="Arial" w:hAnsi="Arial"/>
                <w:sz w:val="18"/>
                <w:szCs w:val="18"/>
                <w:color w:val="auto"/>
                <w:w w:val="93"/>
              </w:rPr>
              <w:t>Average Balance</w:t>
            </w:r>
          </w:p>
        </w:tc>
        <w:tc>
          <w:tcPr>
            <w:tcW w:w="1380" w:type="dxa"/>
            <w:vAlign w:val="bottom"/>
          </w:tcPr>
          <w:p>
            <w:pPr>
              <w:ind w:left="860"/>
              <w:spacing w:after="0"/>
              <w:rPr>
                <w:sz w:val="20"/>
                <w:szCs w:val="20"/>
                <w:color w:val="auto"/>
              </w:rPr>
            </w:pPr>
            <w:r>
              <w:rPr>
                <w:rFonts w:ascii="Arial" w:cs="Arial" w:eastAsia="Arial" w:hAnsi="Arial"/>
                <w:sz w:val="18"/>
                <w:szCs w:val="18"/>
                <w:color w:val="auto"/>
              </w:rPr>
              <w:t>Cost</w:t>
            </w:r>
          </w:p>
        </w:tc>
      </w:tr>
      <w:tr>
        <w:trPr>
          <w:trHeight w:val="294"/>
        </w:trPr>
        <w:tc>
          <w:tcPr>
            <w:tcW w:w="2580" w:type="dxa"/>
            <w:vAlign w:val="bottom"/>
          </w:tcPr>
          <w:p>
            <w:pPr>
              <w:spacing w:after="0"/>
              <w:rPr>
                <w:sz w:val="20"/>
                <w:szCs w:val="20"/>
                <w:color w:val="auto"/>
              </w:rPr>
            </w:pPr>
            <w:r>
              <w:rPr>
                <w:rFonts w:ascii="Arial" w:cs="Arial" w:eastAsia="Arial" w:hAnsi="Arial"/>
                <w:sz w:val="18"/>
                <w:szCs w:val="18"/>
                <w:color w:val="auto"/>
              </w:rPr>
              <w:t>Non-interest checking deposits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196,353</w:t>
            </w:r>
          </w:p>
        </w:tc>
        <w:tc>
          <w:tcPr>
            <w:tcW w:w="1440" w:type="dxa"/>
            <w:vAlign w:val="bottom"/>
          </w:tcPr>
          <w:p>
            <w:pPr>
              <w:ind w:left="900"/>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184,572</w:t>
            </w:r>
          </w:p>
        </w:tc>
        <w:tc>
          <w:tcPr>
            <w:tcW w:w="1380" w:type="dxa"/>
            <w:vAlign w:val="bottom"/>
          </w:tcPr>
          <w:p>
            <w:pPr>
              <w:ind w:left="880"/>
              <w:spacing w:after="0"/>
              <w:rPr>
                <w:sz w:val="20"/>
                <w:szCs w:val="20"/>
                <w:color w:val="auto"/>
              </w:rPr>
            </w:pPr>
            <w:r>
              <w:rPr>
                <w:rFonts w:ascii="Arial" w:cs="Arial" w:eastAsia="Arial" w:hAnsi="Arial"/>
                <w:sz w:val="18"/>
                <w:szCs w:val="18"/>
                <w:color w:val="auto"/>
                <w:w w:val="93"/>
              </w:rPr>
              <w:t>0.00%</w:t>
            </w:r>
          </w:p>
        </w:tc>
      </w:tr>
      <w:tr>
        <w:trPr>
          <w:trHeight w:val="36"/>
        </w:trPr>
        <w:tc>
          <w:tcPr>
            <w:tcW w:w="2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4"/>
        </w:trPr>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checking deposits</w:t>
            </w:r>
          </w:p>
        </w:tc>
        <w:tc>
          <w:tcPr>
            <w:tcW w:w="52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115,555</w:t>
            </w:r>
          </w:p>
        </w:tc>
        <w:tc>
          <w:tcPr>
            <w:tcW w:w="144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101,336</w:t>
            </w:r>
          </w:p>
        </w:tc>
        <w:tc>
          <w:tcPr>
            <w:tcW w:w="138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w w:val="93"/>
              </w:rPr>
              <w:t>1.10%</w:t>
            </w:r>
          </w:p>
        </w:tc>
      </w:tr>
      <w:tr>
        <w:trPr>
          <w:trHeight w:val="248"/>
        </w:trPr>
        <w:tc>
          <w:tcPr>
            <w:tcW w:w="2580" w:type="dxa"/>
            <w:vAlign w:val="bottom"/>
          </w:tcPr>
          <w:p>
            <w:pPr>
              <w:spacing w:after="0"/>
              <w:rPr>
                <w:sz w:val="20"/>
                <w:szCs w:val="20"/>
                <w:color w:val="auto"/>
              </w:rPr>
            </w:pPr>
            <w:r>
              <w:rPr>
                <w:rFonts w:ascii="Arial" w:cs="Arial" w:eastAsia="Arial" w:hAnsi="Arial"/>
                <w:sz w:val="18"/>
                <w:szCs w:val="18"/>
                <w:color w:val="auto"/>
              </w:rPr>
              <w:t>Savings deposits</w:t>
            </w:r>
          </w:p>
        </w:tc>
        <w:tc>
          <w:tcPr>
            <w:tcW w:w="520" w:type="dxa"/>
            <w:vAlign w:val="bottom"/>
          </w:tcPr>
          <w:p>
            <w:pPr>
              <w:spacing w:after="0"/>
              <w:rPr>
                <w:sz w:val="21"/>
                <w:szCs w:val="21"/>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127,414</w:t>
            </w:r>
          </w:p>
        </w:tc>
        <w:tc>
          <w:tcPr>
            <w:tcW w:w="1440" w:type="dxa"/>
            <w:vAlign w:val="bottom"/>
          </w:tcPr>
          <w:p>
            <w:pPr>
              <w:ind w:left="900"/>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21"/>
                <w:szCs w:val="21"/>
                <w:color w:val="auto"/>
              </w:rPr>
            </w:pP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118,965</w:t>
            </w:r>
          </w:p>
        </w:tc>
        <w:tc>
          <w:tcPr>
            <w:tcW w:w="1380" w:type="dxa"/>
            <w:vAlign w:val="bottom"/>
          </w:tcPr>
          <w:p>
            <w:pPr>
              <w:ind w:left="880"/>
              <w:spacing w:after="0"/>
              <w:rPr>
                <w:sz w:val="20"/>
                <w:szCs w:val="20"/>
                <w:color w:val="auto"/>
              </w:rPr>
            </w:pPr>
            <w:r>
              <w:rPr>
                <w:rFonts w:ascii="Arial" w:cs="Arial" w:eastAsia="Arial" w:hAnsi="Arial"/>
                <w:sz w:val="18"/>
                <w:szCs w:val="18"/>
                <w:color w:val="auto"/>
                <w:w w:val="93"/>
              </w:rPr>
              <w:t>0.26%</w:t>
            </w:r>
          </w:p>
        </w:tc>
      </w:tr>
      <w:tr>
        <w:trPr>
          <w:trHeight w:val="36"/>
        </w:trPr>
        <w:tc>
          <w:tcPr>
            <w:tcW w:w="2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4"/>
        </w:trPr>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deposits</w:t>
            </w:r>
          </w:p>
        </w:tc>
        <w:tc>
          <w:tcPr>
            <w:tcW w:w="52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292,883</w:t>
            </w:r>
          </w:p>
        </w:tc>
        <w:tc>
          <w:tcPr>
            <w:tcW w:w="144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239,276</w:t>
            </w:r>
          </w:p>
        </w:tc>
        <w:tc>
          <w:tcPr>
            <w:tcW w:w="138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w w:val="93"/>
              </w:rPr>
              <w:t>3.36%</w:t>
            </w:r>
          </w:p>
        </w:tc>
      </w:tr>
      <w:tr>
        <w:trPr>
          <w:trHeight w:val="248"/>
        </w:trPr>
        <w:tc>
          <w:tcPr>
            <w:tcW w:w="2580" w:type="dxa"/>
            <w:vAlign w:val="bottom"/>
          </w:tcPr>
          <w:p>
            <w:pPr>
              <w:spacing w:after="0"/>
              <w:rPr>
                <w:sz w:val="20"/>
                <w:szCs w:val="20"/>
                <w:color w:val="auto"/>
              </w:rPr>
            </w:pPr>
            <w:r>
              <w:rPr>
                <w:rFonts w:ascii="Arial" w:cs="Arial" w:eastAsia="Arial" w:hAnsi="Arial"/>
                <w:sz w:val="18"/>
                <w:szCs w:val="18"/>
                <w:color w:val="auto"/>
              </w:rPr>
              <w:t>Time deposits</w:t>
            </w:r>
          </w:p>
        </w:tc>
        <w:tc>
          <w:tcPr>
            <w:tcW w:w="520" w:type="dxa"/>
            <w:vAlign w:val="bottom"/>
          </w:tcPr>
          <w:p>
            <w:pPr>
              <w:spacing w:after="0"/>
              <w:rPr>
                <w:sz w:val="21"/>
                <w:szCs w:val="21"/>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485,975</w:t>
            </w:r>
          </w:p>
        </w:tc>
        <w:tc>
          <w:tcPr>
            <w:tcW w:w="1440" w:type="dxa"/>
            <w:vAlign w:val="bottom"/>
          </w:tcPr>
          <w:p>
            <w:pPr>
              <w:ind w:left="900"/>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21"/>
                <w:szCs w:val="21"/>
                <w:color w:val="auto"/>
              </w:rPr>
            </w:pP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517,352</w:t>
            </w:r>
          </w:p>
        </w:tc>
        <w:tc>
          <w:tcPr>
            <w:tcW w:w="1380" w:type="dxa"/>
            <w:vAlign w:val="bottom"/>
          </w:tcPr>
          <w:p>
            <w:pPr>
              <w:ind w:left="880"/>
              <w:spacing w:after="0"/>
              <w:rPr>
                <w:sz w:val="20"/>
                <w:szCs w:val="20"/>
                <w:color w:val="auto"/>
              </w:rPr>
            </w:pPr>
            <w:r>
              <w:rPr>
                <w:rFonts w:ascii="Arial" w:cs="Arial" w:eastAsia="Arial" w:hAnsi="Arial"/>
                <w:sz w:val="18"/>
                <w:szCs w:val="18"/>
                <w:color w:val="auto"/>
                <w:w w:val="93"/>
              </w:rPr>
              <w:t>4.07%</w:t>
            </w:r>
          </w:p>
        </w:tc>
      </w:tr>
      <w:tr>
        <w:trPr>
          <w:trHeight w:val="46"/>
        </w:trPr>
        <w:tc>
          <w:tcPr>
            <w:tcW w:w="2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48"/>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Total deposits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1,218,180</w:t>
            </w:r>
          </w:p>
        </w:tc>
        <w:tc>
          <w:tcPr>
            <w:tcW w:w="1440" w:type="dxa"/>
            <w:vAlign w:val="bottom"/>
            <w:shd w:val="clear" w:color="auto" w:fill="CFF0FC"/>
          </w:tcPr>
          <w:p>
            <w:pPr>
              <w:ind w:left="900"/>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1,161,501</w:t>
            </w:r>
          </w:p>
        </w:tc>
        <w:tc>
          <w:tcPr>
            <w:tcW w:w="13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3"/>
              </w:rPr>
              <w:t>2.63%</w:t>
            </w:r>
          </w:p>
        </w:tc>
      </w:tr>
      <w:tr>
        <w:trPr>
          <w:trHeight w:val="81"/>
        </w:trPr>
        <w:tc>
          <w:tcPr>
            <w:tcW w:w="258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660" w:type="dxa"/>
            <w:vAlign w:val="bottom"/>
            <w:shd w:val="clear" w:color="auto" w:fill="CFF0FC"/>
          </w:tcPr>
          <w:p>
            <w:pPr>
              <w:spacing w:after="0"/>
              <w:rPr>
                <w:sz w:val="7"/>
                <w:szCs w:val="7"/>
                <w:color w:val="auto"/>
              </w:rPr>
            </w:pPr>
          </w:p>
        </w:tc>
        <w:tc>
          <w:tcPr>
            <w:tcW w:w="14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600" w:type="dxa"/>
            <w:vAlign w:val="bottom"/>
            <w:shd w:val="clear" w:color="auto" w:fill="CFF0FC"/>
          </w:tcPr>
          <w:p>
            <w:pPr>
              <w:spacing w:after="0"/>
              <w:rPr>
                <w:sz w:val="7"/>
                <w:szCs w:val="7"/>
                <w:color w:val="auto"/>
              </w:rPr>
            </w:pPr>
          </w:p>
        </w:tc>
        <w:tc>
          <w:tcPr>
            <w:tcW w:w="1380" w:type="dxa"/>
            <w:vAlign w:val="bottom"/>
            <w:shd w:val="clear" w:color="auto" w:fill="CFF0FC"/>
          </w:tcPr>
          <w:p>
            <w:pPr>
              <w:spacing w:after="0"/>
              <w:rPr>
                <w:sz w:val="7"/>
                <w:szCs w:val="7"/>
                <w:color w:val="auto"/>
              </w:rPr>
            </w:pPr>
          </w:p>
        </w:tc>
      </w:tr>
      <w:tr>
        <w:trPr>
          <w:trHeight w:val="284"/>
        </w:trPr>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4"/>
        </w:trPr>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Non-governmental deposits</w:t>
            </w:r>
          </w:p>
        </w:tc>
        <w:tc>
          <w:tcPr>
            <w:tcW w:w="52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1,027,770</w:t>
            </w:r>
          </w:p>
        </w:tc>
        <w:tc>
          <w:tcPr>
            <w:tcW w:w="144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994,159</w:t>
            </w:r>
          </w:p>
        </w:tc>
        <w:tc>
          <w:tcPr>
            <w:tcW w:w="138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w w:val="93"/>
              </w:rPr>
              <w:t>2.54%</w:t>
            </w:r>
          </w:p>
        </w:tc>
      </w:tr>
      <w:tr>
        <w:trPr>
          <w:trHeight w:val="248"/>
        </w:trPr>
        <w:tc>
          <w:tcPr>
            <w:tcW w:w="2580" w:type="dxa"/>
            <w:vAlign w:val="bottom"/>
          </w:tcPr>
          <w:p>
            <w:pPr>
              <w:spacing w:after="0"/>
              <w:rPr>
                <w:sz w:val="20"/>
                <w:szCs w:val="20"/>
                <w:color w:val="auto"/>
              </w:rPr>
            </w:pPr>
            <w:r>
              <w:rPr>
                <w:rFonts w:ascii="Arial" w:cs="Arial" w:eastAsia="Arial" w:hAnsi="Arial"/>
                <w:sz w:val="18"/>
                <w:szCs w:val="18"/>
                <w:color w:val="auto"/>
              </w:rPr>
              <w:t>Governmental deposits</w:t>
            </w:r>
          </w:p>
        </w:tc>
        <w:tc>
          <w:tcPr>
            <w:tcW w:w="520" w:type="dxa"/>
            <w:vAlign w:val="bottom"/>
          </w:tcPr>
          <w:p>
            <w:pPr>
              <w:spacing w:after="0"/>
              <w:rPr>
                <w:sz w:val="21"/>
                <w:szCs w:val="21"/>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190,410</w:t>
            </w:r>
          </w:p>
        </w:tc>
        <w:tc>
          <w:tcPr>
            <w:tcW w:w="1440" w:type="dxa"/>
            <w:vAlign w:val="bottom"/>
          </w:tcPr>
          <w:p>
            <w:pPr>
              <w:ind w:left="90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1"/>
                <w:szCs w:val="21"/>
                <w:color w:val="auto"/>
              </w:rPr>
            </w:pP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167,342</w:t>
            </w:r>
          </w:p>
        </w:tc>
        <w:tc>
          <w:tcPr>
            <w:tcW w:w="1380" w:type="dxa"/>
            <w:vAlign w:val="bottom"/>
          </w:tcPr>
          <w:p>
            <w:pPr>
              <w:ind w:left="880"/>
              <w:spacing w:after="0"/>
              <w:rPr>
                <w:sz w:val="20"/>
                <w:szCs w:val="20"/>
                <w:color w:val="auto"/>
              </w:rPr>
            </w:pPr>
            <w:r>
              <w:rPr>
                <w:rFonts w:ascii="Arial" w:cs="Arial" w:eastAsia="Arial" w:hAnsi="Arial"/>
                <w:sz w:val="18"/>
                <w:szCs w:val="18"/>
                <w:color w:val="auto"/>
                <w:w w:val="93"/>
              </w:rPr>
              <w:t>3.16%</w:t>
            </w:r>
          </w:p>
        </w:tc>
      </w:tr>
      <w:tr>
        <w:trPr>
          <w:trHeight w:val="46"/>
        </w:trPr>
        <w:tc>
          <w:tcPr>
            <w:tcW w:w="2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48"/>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Total deposits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1,218,180</w:t>
            </w:r>
          </w:p>
        </w:tc>
        <w:tc>
          <w:tcPr>
            <w:tcW w:w="1440" w:type="dxa"/>
            <w:vAlign w:val="bottom"/>
            <w:shd w:val="clear" w:color="auto" w:fill="CFF0FC"/>
          </w:tcPr>
          <w:p>
            <w:pPr>
              <w:ind w:left="900"/>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1,161,501</w:t>
            </w:r>
          </w:p>
        </w:tc>
        <w:tc>
          <w:tcPr>
            <w:tcW w:w="13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3"/>
              </w:rPr>
              <w:t>2.63%</w:t>
            </w:r>
          </w:p>
        </w:tc>
      </w:tr>
      <w:tr>
        <w:trPr>
          <w:trHeight w:val="81"/>
        </w:trPr>
        <w:tc>
          <w:tcPr>
            <w:tcW w:w="258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660" w:type="dxa"/>
            <w:vAlign w:val="bottom"/>
            <w:shd w:val="clear" w:color="auto" w:fill="CFF0FC"/>
          </w:tcPr>
          <w:p>
            <w:pPr>
              <w:spacing w:after="0"/>
              <w:rPr>
                <w:sz w:val="7"/>
                <w:szCs w:val="7"/>
                <w:color w:val="auto"/>
              </w:rPr>
            </w:pPr>
          </w:p>
        </w:tc>
        <w:tc>
          <w:tcPr>
            <w:tcW w:w="14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600" w:type="dxa"/>
            <w:vAlign w:val="bottom"/>
            <w:shd w:val="clear" w:color="auto" w:fill="CFF0FC"/>
          </w:tcPr>
          <w:p>
            <w:pPr>
              <w:spacing w:after="0"/>
              <w:rPr>
                <w:sz w:val="7"/>
                <w:szCs w:val="7"/>
                <w:color w:val="auto"/>
              </w:rPr>
            </w:pPr>
          </w:p>
        </w:tc>
        <w:tc>
          <w:tcPr>
            <w:tcW w:w="13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-2239645</wp:posOffset>
            </wp:positionV>
            <wp:extent cx="409765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09765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-1881505</wp:posOffset>
            </wp:positionV>
            <wp:extent cx="596773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-972185</wp:posOffset>
            </wp:positionV>
            <wp:extent cx="596773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-785495</wp:posOffset>
            </wp:positionV>
            <wp:extent cx="5967730" cy="285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596773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Borrowings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Borrowings are comprised primarily of advances and overnight borrowings at the FHLB-NY.</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represents information regarding short-term borrowings for the years ended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20"/>
                <w:szCs w:val="20"/>
                <w:i w:val="1"/>
                <w:iCs w:val="1"/>
                <w:color w:val="auto"/>
              </w:rPr>
              <w:t>(Dollars in thousands)</w:t>
            </w:r>
          </w:p>
        </w:tc>
        <w:tc>
          <w:tcPr>
            <w:tcW w:w="1780" w:type="dxa"/>
            <w:vAlign w:val="bottom"/>
          </w:tcPr>
          <w:p>
            <w:pPr>
              <w:spacing w:after="0"/>
              <w:rPr>
                <w:sz w:val="19"/>
                <w:szCs w:val="19"/>
                <w:color w:val="auto"/>
              </w:rPr>
            </w:pPr>
          </w:p>
        </w:tc>
        <w:tc>
          <w:tcPr>
            <w:tcW w:w="1140" w:type="dxa"/>
            <w:vAlign w:val="bottom"/>
          </w:tcPr>
          <w:p>
            <w:pPr>
              <w:jc w:val="right"/>
              <w:ind w:right="180"/>
              <w:spacing w:after="0"/>
              <w:rPr>
                <w:sz w:val="20"/>
                <w:szCs w:val="20"/>
                <w:color w:val="auto"/>
              </w:rPr>
            </w:pPr>
            <w:r>
              <w:rPr>
                <w:rFonts w:ascii="Arial" w:cs="Arial" w:eastAsia="Arial" w:hAnsi="Arial"/>
                <w:sz w:val="20"/>
                <w:szCs w:val="20"/>
                <w:color w:val="auto"/>
              </w:rPr>
              <w:t>2025</w:t>
            </w:r>
          </w:p>
        </w:tc>
        <w:tc>
          <w:tcPr>
            <w:tcW w:w="440" w:type="dxa"/>
            <w:vAlign w:val="bottom"/>
          </w:tcPr>
          <w:p>
            <w:pPr>
              <w:spacing w:after="0"/>
              <w:rPr>
                <w:sz w:val="19"/>
                <w:szCs w:val="19"/>
                <w:color w:val="auto"/>
              </w:rPr>
            </w:pPr>
          </w:p>
        </w:tc>
        <w:tc>
          <w:tcPr>
            <w:tcW w:w="1120" w:type="dxa"/>
            <w:vAlign w:val="bottom"/>
          </w:tcPr>
          <w:p>
            <w:pPr>
              <w:jc w:val="right"/>
              <w:ind w:right="100"/>
              <w:spacing w:after="0"/>
              <w:rPr>
                <w:sz w:val="20"/>
                <w:szCs w:val="20"/>
                <w:color w:val="auto"/>
              </w:rPr>
            </w:pPr>
            <w:r>
              <w:rPr>
                <w:rFonts w:ascii="Arial" w:cs="Arial" w:eastAsia="Arial" w:hAnsi="Arial"/>
                <w:sz w:val="20"/>
                <w:szCs w:val="20"/>
                <w:color w:val="auto"/>
              </w:rPr>
              <w:t>2024</w:t>
            </w:r>
          </w:p>
        </w:tc>
      </w:tr>
      <w:tr>
        <w:trPr>
          <w:trHeight w:val="51"/>
        </w:trPr>
        <w:tc>
          <w:tcPr>
            <w:tcW w:w="4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9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Maximum outstanding at any month end</w:t>
            </w:r>
          </w:p>
        </w:tc>
        <w:tc>
          <w:tcPr>
            <w:tcW w:w="178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75,500</w:t>
            </w:r>
          </w:p>
        </w:tc>
        <w:tc>
          <w:tcPr>
            <w:tcW w:w="4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127,577</w:t>
            </w:r>
          </w:p>
        </w:tc>
      </w:tr>
      <w:tr>
        <w:trPr>
          <w:trHeight w:val="274"/>
        </w:trPr>
        <w:tc>
          <w:tcPr>
            <w:tcW w:w="4920" w:type="dxa"/>
            <w:vAlign w:val="bottom"/>
          </w:tcPr>
          <w:p>
            <w:pPr>
              <w:spacing w:after="0"/>
              <w:rPr>
                <w:sz w:val="20"/>
                <w:szCs w:val="20"/>
                <w:color w:val="auto"/>
              </w:rPr>
            </w:pPr>
            <w:r>
              <w:rPr>
                <w:rFonts w:ascii="Arial" w:cs="Arial" w:eastAsia="Arial" w:hAnsi="Arial"/>
                <w:sz w:val="20"/>
                <w:szCs w:val="20"/>
                <w:color w:val="auto"/>
              </w:rPr>
              <w:t>Average amount outstanding during the year</w:t>
            </w:r>
          </w:p>
        </w:tc>
        <w:tc>
          <w:tcPr>
            <w:tcW w:w="1780" w:type="dxa"/>
            <w:vAlign w:val="bottom"/>
          </w:tcPr>
          <w:p>
            <w:pPr>
              <w:spacing w:after="0"/>
              <w:rPr>
                <w:sz w:val="23"/>
                <w:szCs w:val="23"/>
                <w:color w:val="auto"/>
              </w:rPr>
            </w:pPr>
          </w:p>
        </w:tc>
        <w:tc>
          <w:tcPr>
            <w:tcW w:w="1140" w:type="dxa"/>
            <w:vAlign w:val="bottom"/>
          </w:tcPr>
          <w:p>
            <w:pPr>
              <w:jc w:val="right"/>
              <w:ind w:right="180"/>
              <w:spacing w:after="0"/>
              <w:rPr>
                <w:sz w:val="20"/>
                <w:szCs w:val="20"/>
                <w:color w:val="auto"/>
              </w:rPr>
            </w:pPr>
            <w:r>
              <w:rPr>
                <w:rFonts w:ascii="Arial" w:cs="Arial" w:eastAsia="Arial" w:hAnsi="Arial"/>
                <w:sz w:val="20"/>
                <w:szCs w:val="20"/>
                <w:color w:val="auto"/>
              </w:rPr>
              <w:t>43,865</w:t>
            </w:r>
          </w:p>
        </w:tc>
        <w:tc>
          <w:tcPr>
            <w:tcW w:w="440" w:type="dxa"/>
            <w:vAlign w:val="bottom"/>
          </w:tcPr>
          <w:p>
            <w:pPr>
              <w:spacing w:after="0"/>
              <w:rPr>
                <w:sz w:val="23"/>
                <w:szCs w:val="23"/>
                <w:color w:val="auto"/>
              </w:rPr>
            </w:pPr>
          </w:p>
        </w:tc>
        <w:tc>
          <w:tcPr>
            <w:tcW w:w="1120" w:type="dxa"/>
            <w:vAlign w:val="bottom"/>
          </w:tcPr>
          <w:p>
            <w:pPr>
              <w:jc w:val="right"/>
              <w:ind w:right="100"/>
              <w:spacing w:after="0"/>
              <w:rPr>
                <w:sz w:val="20"/>
                <w:szCs w:val="20"/>
                <w:color w:val="auto"/>
              </w:rPr>
            </w:pPr>
            <w:r>
              <w:rPr>
                <w:rFonts w:ascii="Arial" w:cs="Arial" w:eastAsia="Arial" w:hAnsi="Arial"/>
                <w:sz w:val="20"/>
                <w:szCs w:val="20"/>
                <w:color w:val="auto"/>
              </w:rPr>
              <w:t>76,668</w:t>
            </w:r>
          </w:p>
        </w:tc>
      </w:tr>
      <w:tr>
        <w:trPr>
          <w:trHeight w:val="41"/>
        </w:trPr>
        <w:tc>
          <w:tcPr>
            <w:tcW w:w="4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the end of the period</w:t>
            </w:r>
          </w:p>
        </w:tc>
        <w:tc>
          <w:tcPr>
            <w:tcW w:w="17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44,000</w:t>
            </w:r>
          </w:p>
        </w:tc>
        <w:tc>
          <w:tcPr>
            <w:tcW w:w="4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61,000</w:t>
            </w:r>
          </w:p>
        </w:tc>
      </w:tr>
      <w:tr>
        <w:trPr>
          <w:trHeight w:val="274"/>
        </w:trPr>
        <w:tc>
          <w:tcPr>
            <w:tcW w:w="4920" w:type="dxa"/>
            <w:vAlign w:val="bottom"/>
          </w:tcPr>
          <w:p>
            <w:pPr>
              <w:spacing w:after="0"/>
              <w:rPr>
                <w:sz w:val="20"/>
                <w:szCs w:val="20"/>
                <w:color w:val="auto"/>
              </w:rPr>
            </w:pPr>
            <w:r>
              <w:rPr>
                <w:rFonts w:ascii="Arial" w:cs="Arial" w:eastAsia="Arial" w:hAnsi="Arial"/>
                <w:sz w:val="20"/>
                <w:szCs w:val="20"/>
                <w:color w:val="auto"/>
              </w:rPr>
              <w:t>Average interest rate during the year</w:t>
            </w:r>
          </w:p>
        </w:tc>
        <w:tc>
          <w:tcPr>
            <w:tcW w:w="17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4.49%</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5.45%</w:t>
            </w:r>
          </w:p>
        </w:tc>
      </w:tr>
      <w:tr>
        <w:trPr>
          <w:trHeight w:val="41"/>
        </w:trPr>
        <w:tc>
          <w:tcPr>
            <w:tcW w:w="4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4"/>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Average interest rate at the end of the period</w:t>
            </w:r>
          </w:p>
        </w:tc>
        <w:tc>
          <w:tcPr>
            <w:tcW w:w="178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4.33%</w:t>
            </w:r>
          </w:p>
        </w:tc>
        <w:tc>
          <w:tcPr>
            <w:tcW w:w="44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6.14%</w:t>
            </w:r>
          </w:p>
        </w:tc>
      </w:tr>
      <w:tr>
        <w:trPr>
          <w:trHeight w:val="51"/>
        </w:trPr>
        <w:tc>
          <w:tcPr>
            <w:tcW w:w="4920" w:type="dxa"/>
            <w:vAlign w:val="bottom"/>
            <w:shd w:val="clear" w:color="auto" w:fill="CFF0FC"/>
          </w:tcPr>
          <w:p>
            <w:pPr>
              <w:spacing w:after="0"/>
              <w:rPr>
                <w:sz w:val="4"/>
                <w:szCs w:val="4"/>
                <w:color w:val="auto"/>
              </w:rPr>
            </w:pPr>
          </w:p>
        </w:tc>
        <w:tc>
          <w:tcPr>
            <w:tcW w:w="1780" w:type="dxa"/>
            <w:vAlign w:val="bottom"/>
            <w:shd w:val="clear" w:color="auto" w:fill="CFF0FC"/>
          </w:tcPr>
          <w:p>
            <w:pPr>
              <w:spacing w:after="0"/>
              <w:rPr>
                <w:sz w:val="4"/>
                <w:szCs w:val="4"/>
                <w:color w:val="auto"/>
              </w:rPr>
            </w:pPr>
          </w:p>
        </w:tc>
        <w:tc>
          <w:tcPr>
            <w:tcW w:w="1140" w:type="dxa"/>
            <w:vAlign w:val="bottom"/>
            <w:shd w:val="clear" w:color="auto" w:fill="CFF0FC"/>
          </w:tcPr>
          <w:p>
            <w:pPr>
              <w:spacing w:after="0"/>
              <w:rPr>
                <w:sz w:val="4"/>
                <w:szCs w:val="4"/>
                <w:color w:val="auto"/>
              </w:rPr>
            </w:pPr>
          </w:p>
        </w:tc>
        <w:tc>
          <w:tcPr>
            <w:tcW w:w="440" w:type="dxa"/>
            <w:vAlign w:val="bottom"/>
            <w:shd w:val="clear" w:color="auto" w:fill="CFF0FC"/>
          </w:tcPr>
          <w:p>
            <w:pPr>
              <w:spacing w:after="0"/>
              <w:rPr>
                <w:sz w:val="4"/>
                <w:szCs w:val="4"/>
                <w:color w:val="auto"/>
              </w:rPr>
            </w:pPr>
          </w:p>
        </w:tc>
        <w:tc>
          <w:tcPr>
            <w:tcW w:w="1120" w:type="dxa"/>
            <w:vAlign w:val="bottom"/>
            <w:shd w:val="clear" w:color="auto" w:fill="CFF0F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-1010285</wp:posOffset>
            </wp:positionV>
            <wp:extent cx="596773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596773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represents information regarding long-term borrowings for the years ended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20"/>
                <w:szCs w:val="20"/>
                <w:i w:val="1"/>
                <w:iCs w:val="1"/>
                <w:color w:val="auto"/>
              </w:rPr>
              <w:t>(Dollars in thousands)</w:t>
            </w:r>
          </w:p>
        </w:tc>
        <w:tc>
          <w:tcPr>
            <w:tcW w:w="1780" w:type="dxa"/>
            <w:vAlign w:val="bottom"/>
          </w:tcPr>
          <w:p>
            <w:pPr>
              <w:spacing w:after="0"/>
              <w:rPr>
                <w:sz w:val="19"/>
                <w:szCs w:val="19"/>
                <w:color w:val="auto"/>
              </w:rPr>
            </w:pPr>
          </w:p>
        </w:tc>
        <w:tc>
          <w:tcPr>
            <w:tcW w:w="1140" w:type="dxa"/>
            <w:vAlign w:val="bottom"/>
          </w:tcPr>
          <w:p>
            <w:pPr>
              <w:jc w:val="right"/>
              <w:ind w:right="160"/>
              <w:spacing w:after="0"/>
              <w:rPr>
                <w:sz w:val="20"/>
                <w:szCs w:val="20"/>
                <w:color w:val="auto"/>
              </w:rPr>
            </w:pPr>
            <w:r>
              <w:rPr>
                <w:rFonts w:ascii="Arial" w:cs="Arial" w:eastAsia="Arial" w:hAnsi="Arial"/>
                <w:sz w:val="20"/>
                <w:szCs w:val="20"/>
                <w:color w:val="auto"/>
              </w:rPr>
              <w:t>2025</w:t>
            </w:r>
          </w:p>
        </w:tc>
        <w:tc>
          <w:tcPr>
            <w:tcW w:w="500" w:type="dxa"/>
            <w:vAlign w:val="bottom"/>
          </w:tcPr>
          <w:p>
            <w:pPr>
              <w:spacing w:after="0"/>
              <w:rPr>
                <w:sz w:val="19"/>
                <w:szCs w:val="19"/>
                <w:color w:val="auto"/>
              </w:rPr>
            </w:pPr>
          </w:p>
        </w:tc>
        <w:tc>
          <w:tcPr>
            <w:tcW w:w="1060" w:type="dxa"/>
            <w:vAlign w:val="bottom"/>
          </w:tcPr>
          <w:p>
            <w:pPr>
              <w:jc w:val="right"/>
              <w:ind w:right="100"/>
              <w:spacing w:after="0"/>
              <w:rPr>
                <w:sz w:val="20"/>
                <w:szCs w:val="20"/>
                <w:color w:val="auto"/>
              </w:rPr>
            </w:pPr>
            <w:r>
              <w:rPr>
                <w:rFonts w:ascii="Arial" w:cs="Arial" w:eastAsia="Arial" w:hAnsi="Arial"/>
                <w:sz w:val="20"/>
                <w:szCs w:val="20"/>
                <w:color w:val="auto"/>
              </w:rPr>
              <w:t>2024</w:t>
            </w:r>
          </w:p>
        </w:tc>
      </w:tr>
      <w:tr>
        <w:trPr>
          <w:trHeight w:val="51"/>
        </w:trPr>
        <w:tc>
          <w:tcPr>
            <w:tcW w:w="4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9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Maximum outstanding at any month end</w:t>
            </w:r>
          </w:p>
        </w:tc>
        <w:tc>
          <w:tcPr>
            <w:tcW w:w="178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23,802</w:t>
            </w:r>
          </w:p>
        </w:tc>
        <w:tc>
          <w:tcPr>
            <w:tcW w:w="50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49,919</w:t>
            </w:r>
          </w:p>
        </w:tc>
      </w:tr>
      <w:tr>
        <w:trPr>
          <w:trHeight w:val="274"/>
        </w:trPr>
        <w:tc>
          <w:tcPr>
            <w:tcW w:w="4920" w:type="dxa"/>
            <w:vAlign w:val="bottom"/>
          </w:tcPr>
          <w:p>
            <w:pPr>
              <w:spacing w:after="0"/>
              <w:rPr>
                <w:sz w:val="20"/>
                <w:szCs w:val="20"/>
                <w:color w:val="auto"/>
              </w:rPr>
            </w:pPr>
            <w:r>
              <w:rPr>
                <w:rFonts w:ascii="Arial" w:cs="Arial" w:eastAsia="Arial" w:hAnsi="Arial"/>
                <w:sz w:val="20"/>
                <w:szCs w:val="20"/>
                <w:color w:val="auto"/>
              </w:rPr>
              <w:t>Average amount outstanding during the year</w:t>
            </w:r>
          </w:p>
        </w:tc>
        <w:tc>
          <w:tcPr>
            <w:tcW w:w="1780" w:type="dxa"/>
            <w:vAlign w:val="bottom"/>
          </w:tcPr>
          <w:p>
            <w:pPr>
              <w:spacing w:after="0"/>
              <w:rPr>
                <w:sz w:val="23"/>
                <w:szCs w:val="23"/>
                <w:color w:val="auto"/>
              </w:rPr>
            </w:pPr>
          </w:p>
        </w:tc>
        <w:tc>
          <w:tcPr>
            <w:tcW w:w="1140" w:type="dxa"/>
            <w:vAlign w:val="bottom"/>
          </w:tcPr>
          <w:p>
            <w:pPr>
              <w:jc w:val="right"/>
              <w:ind w:right="160"/>
              <w:spacing w:after="0"/>
              <w:rPr>
                <w:sz w:val="20"/>
                <w:szCs w:val="20"/>
                <w:color w:val="auto"/>
              </w:rPr>
            </w:pPr>
            <w:r>
              <w:rPr>
                <w:rFonts w:ascii="Arial" w:cs="Arial" w:eastAsia="Arial" w:hAnsi="Arial"/>
                <w:sz w:val="20"/>
                <w:szCs w:val="20"/>
                <w:color w:val="auto"/>
              </w:rPr>
              <w:t>20,612</w:t>
            </w:r>
          </w:p>
        </w:tc>
        <w:tc>
          <w:tcPr>
            <w:tcW w:w="500" w:type="dxa"/>
            <w:vAlign w:val="bottom"/>
          </w:tcPr>
          <w:p>
            <w:pPr>
              <w:spacing w:after="0"/>
              <w:rPr>
                <w:sz w:val="23"/>
                <w:szCs w:val="23"/>
                <w:color w:val="auto"/>
              </w:rPr>
            </w:pPr>
          </w:p>
        </w:tc>
        <w:tc>
          <w:tcPr>
            <w:tcW w:w="1060" w:type="dxa"/>
            <w:vAlign w:val="bottom"/>
          </w:tcPr>
          <w:p>
            <w:pPr>
              <w:jc w:val="right"/>
              <w:ind w:right="100"/>
              <w:spacing w:after="0"/>
              <w:rPr>
                <w:sz w:val="20"/>
                <w:szCs w:val="20"/>
                <w:color w:val="auto"/>
              </w:rPr>
            </w:pPr>
            <w:r>
              <w:rPr>
                <w:rFonts w:ascii="Arial" w:cs="Arial" w:eastAsia="Arial" w:hAnsi="Arial"/>
                <w:sz w:val="20"/>
                <w:szCs w:val="20"/>
                <w:color w:val="auto"/>
              </w:rPr>
              <w:t>43,162</w:t>
            </w:r>
          </w:p>
        </w:tc>
      </w:tr>
      <w:tr>
        <w:trPr>
          <w:trHeight w:val="41"/>
        </w:trPr>
        <w:tc>
          <w:tcPr>
            <w:tcW w:w="4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the end of the period</w:t>
            </w:r>
          </w:p>
        </w:tc>
        <w:tc>
          <w:tcPr>
            <w:tcW w:w="17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14,074</w:t>
            </w:r>
          </w:p>
        </w:tc>
        <w:tc>
          <w:tcPr>
            <w:tcW w:w="5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27,068</w:t>
            </w:r>
          </w:p>
        </w:tc>
      </w:tr>
      <w:tr>
        <w:trPr>
          <w:trHeight w:val="274"/>
        </w:trPr>
        <w:tc>
          <w:tcPr>
            <w:tcW w:w="4920" w:type="dxa"/>
            <w:vAlign w:val="bottom"/>
          </w:tcPr>
          <w:p>
            <w:pPr>
              <w:spacing w:after="0"/>
              <w:rPr>
                <w:sz w:val="20"/>
                <w:szCs w:val="20"/>
                <w:color w:val="auto"/>
              </w:rPr>
            </w:pPr>
            <w:r>
              <w:rPr>
                <w:rFonts w:ascii="Arial" w:cs="Arial" w:eastAsia="Arial" w:hAnsi="Arial"/>
                <w:sz w:val="20"/>
                <w:szCs w:val="20"/>
                <w:color w:val="auto"/>
              </w:rPr>
              <w:t>Average interest rate during the year</w:t>
            </w:r>
          </w:p>
        </w:tc>
        <w:tc>
          <w:tcPr>
            <w:tcW w:w="17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1.88%</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1.70%</w:t>
            </w:r>
          </w:p>
        </w:tc>
      </w:tr>
      <w:tr>
        <w:trPr>
          <w:trHeight w:val="41"/>
        </w:trPr>
        <w:tc>
          <w:tcPr>
            <w:tcW w:w="4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4"/>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Average interest rate at the end of the period</w:t>
            </w:r>
          </w:p>
        </w:tc>
        <w:tc>
          <w:tcPr>
            <w:tcW w:w="178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2.84%</w:t>
            </w:r>
          </w:p>
        </w:tc>
        <w:tc>
          <w:tcPr>
            <w:tcW w:w="50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w:t>
            </w:r>
          </w:p>
        </w:tc>
      </w:tr>
      <w:tr>
        <w:trPr>
          <w:trHeight w:val="51"/>
        </w:trPr>
        <w:tc>
          <w:tcPr>
            <w:tcW w:w="4920" w:type="dxa"/>
            <w:vAlign w:val="bottom"/>
            <w:shd w:val="clear" w:color="auto" w:fill="CFF0FC"/>
          </w:tcPr>
          <w:p>
            <w:pPr>
              <w:spacing w:after="0"/>
              <w:rPr>
                <w:sz w:val="4"/>
                <w:szCs w:val="4"/>
                <w:color w:val="auto"/>
              </w:rPr>
            </w:pPr>
          </w:p>
        </w:tc>
        <w:tc>
          <w:tcPr>
            <w:tcW w:w="1780" w:type="dxa"/>
            <w:vAlign w:val="bottom"/>
            <w:shd w:val="clear" w:color="auto" w:fill="CFF0FC"/>
          </w:tcPr>
          <w:p>
            <w:pPr>
              <w:spacing w:after="0"/>
              <w:rPr>
                <w:sz w:val="4"/>
                <w:szCs w:val="4"/>
                <w:color w:val="auto"/>
              </w:rPr>
            </w:pPr>
          </w:p>
        </w:tc>
        <w:tc>
          <w:tcPr>
            <w:tcW w:w="1140" w:type="dxa"/>
            <w:vAlign w:val="bottom"/>
            <w:shd w:val="clear" w:color="auto" w:fill="CFF0FC"/>
          </w:tcPr>
          <w:p>
            <w:pPr>
              <w:spacing w:after="0"/>
              <w:rPr>
                <w:sz w:val="4"/>
                <w:szCs w:val="4"/>
                <w:color w:val="auto"/>
              </w:rPr>
            </w:pPr>
          </w:p>
        </w:tc>
        <w:tc>
          <w:tcPr>
            <w:tcW w:w="500" w:type="dxa"/>
            <w:vAlign w:val="bottom"/>
            <w:shd w:val="clear" w:color="auto" w:fill="CFF0FC"/>
          </w:tcPr>
          <w:p>
            <w:pPr>
              <w:spacing w:after="0"/>
              <w:rPr>
                <w:sz w:val="4"/>
                <w:szCs w:val="4"/>
                <w:color w:val="auto"/>
              </w:rPr>
            </w:pPr>
          </w:p>
        </w:tc>
        <w:tc>
          <w:tcPr>
            <w:tcW w:w="1060" w:type="dxa"/>
            <w:vAlign w:val="bottom"/>
            <w:shd w:val="clear" w:color="auto" w:fill="CFF0F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-1010285</wp:posOffset>
            </wp:positionV>
            <wp:extent cx="596773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596773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Trust Preferred Securities and Subordinated Debt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26</w:t>
      </w:r>
    </w:p>
    <w:p>
      <w:pPr>
        <w:sectPr>
          <w:pgSz w:w="11900" w:h="16838" w:orient="portrait"/>
          <w:cols w:equalWidth="0" w:num="1">
            <w:col w:w="9400"/>
          </w:cols>
          <w:pgMar w:left="1260" w:top="1440" w:right="1246" w:bottom="0" w:gutter="0" w:footer="0" w:header="0"/>
          <w:type w:val="continuous"/>
        </w:sectPr>
      </w:pPr>
    </w:p>
    <w:bookmarkStart w:id="102" w:name="page103"/>
    <w:bookmarkEnd w:id="102"/>
    <w:p>
      <w:pPr>
        <w:jc w:val="both"/>
        <w:spacing w:after="0" w:line="329" w:lineRule="auto"/>
        <w:rPr>
          <w:sz w:val="20"/>
          <w:szCs w:val="20"/>
          <w:color w:val="auto"/>
        </w:rPr>
      </w:pPr>
      <w:r>
        <w:rPr>
          <w:rFonts w:ascii="Arial" w:cs="Arial" w:eastAsia="Arial" w:hAnsi="Arial"/>
          <w:sz w:val="19"/>
          <w:szCs w:val="19"/>
          <w:color w:val="auto"/>
        </w:rPr>
        <w:t>The Company has a non-consolidated subsidiary trust, Pathfinder Statutory Trust II, of which the Company owns 100% of the common equity. The Trust issued $5,000,000 of 30-year floating rate Company-obligated pooled capital securities of Pathfinder Statutory Trust II (“Floating-Rate Debentures”). The Company borrowed the proceeds of the capital securities from its subsidiary by issuing floating rate junior subordinated deferrable interest debentures having substantially similar terms. The capital securities mature in 2037 and are treated as Tier 1 capital by the FDIC and the Federal Reserve. The capital securities of the trust are a pooled trust preferred fund of Preferred Term Securities VI, Ltd., with interest rates that reset quarterly, and are indexed to the three-month Secured Overnight Financing Rate ("SOFR") which is a broad measure of the cost of borrowing cash overnight collateralized by Treasury securities, plus 1.91%. These securities have a five-year call provision. The Company guarantees all of these securities.</w:t>
      </w:r>
    </w:p>
    <w:p>
      <w:pPr>
        <w:spacing w:after="0" w:line="125" w:lineRule="exact"/>
        <w:rPr>
          <w:sz w:val="20"/>
          <w:szCs w:val="20"/>
          <w:color w:val="auto"/>
        </w:rPr>
      </w:pPr>
    </w:p>
    <w:p>
      <w:pPr>
        <w:jc w:val="both"/>
        <w:ind w:right="60"/>
        <w:spacing w:after="0" w:line="351" w:lineRule="auto"/>
        <w:rPr>
          <w:sz w:val="20"/>
          <w:szCs w:val="20"/>
          <w:color w:val="auto"/>
        </w:rPr>
      </w:pPr>
      <w:r>
        <w:rPr>
          <w:rFonts w:ascii="Arial" w:cs="Arial" w:eastAsia="Arial" w:hAnsi="Arial"/>
          <w:sz w:val="18"/>
          <w:szCs w:val="18"/>
          <w:color w:val="auto"/>
        </w:rPr>
        <w:t>The Company's equity interest in the trust subsidiary is included in other assets on the Consolidated Statements of Financial Condition at December 31, 2025 and 2024.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regulatory capital, the securities become callable and the Company may redeem them.</w:t>
      </w:r>
    </w:p>
    <w:p>
      <w:pPr>
        <w:spacing w:after="0" w:line="106"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On October 14, 2020, the Company executed a private placement of $25.0 million of its 5.50% Fixed to Floating Rate non-amortizing Subordinated Debt (the “2020 Subordinated Debt”) to certain qualified institutional investors. The 2020 Subordinated Debt has a</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26</w:t>
      </w:r>
    </w:p>
    <w:p>
      <w:pPr>
        <w:sectPr>
          <w:pgSz w:w="11900" w:h="16838" w:orient="portrait"/>
          <w:cols w:equalWidth="0" w:num="1">
            <w:col w:w="9400"/>
          </w:cols>
          <w:pgMar w:left="1260" w:top="1173" w:right="1246" w:bottom="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maturity date of October 15, 2030, and initially was interest-bearing, payable semi-annually, at a fixed annual rate of 5.50% per annum until October 15, 2025. The 2020 Subordinated Debt is senior in the Company’s credit repayment hierarchy only to the Company’s common equity and any future senior indebtedness and is intended to qualify as Tier 2 capital for regulatory capital purposes for the Company.</w:t>
      </w:r>
    </w:p>
    <w:p>
      <w:pPr>
        <w:spacing w:after="0" w:line="176"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Commencing on October 16, 2025, the interest rate applicable to the outstanding principal amount due resets quarterly to an interest rate per annum equal to the then current three-month SOFR plus 5.32%, payable quarterly through maturity. Although the Company has the option to redeem the 2020 Subordinated Debt at par, in whole or in part, at any time after October 15, 2025 (the first redemption date), the Company currently expects to allow the debt to remain outstanding. The Company paid $783,000 in origination and legal fees as part of this transaction. These fees were fully amortized over the life of the 2020 Subordinated Debt through its first redemption date using the effective interest method, giving rise to an effective cost of funds of 6.22% from the issuance date calculated under this method. Accordingly, interest expense related to this indebtedness of $1.7 million and $1.6 million was recorded in the years ended December 31, 2025 and December 31, 2024,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Shareholders' Equity</w:t>
      </w:r>
    </w:p>
    <w:p>
      <w:pPr>
        <w:spacing w:after="0" w:line="200"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The Company’s shareholders’ equity increased $968,000 or 0.8%, to $122.5 million at December 31, 2025 from $121.5 million at December 31, 2024. The increase was due to a $3.8 million decrease in accumulated other comprehensive loss, and an increase of $1.6 million in additional paid in capital, offset by a $4.5 million decrease in retained earnings. The decrease in accumulated other comprehensive loss was due to higher net unrealized gains on pension and post-retirement benefits of $810,000 net tax, and higher gains on AFS securities of $3.2 million net tax, offset by unrealized losses of derivatives and hedging activity of $291,000 net tax. The increase of $1.6 million for additional paid capital was due to increased stock option exercise volume within the year. The decrease in retained earnings resulted from a $1.9 million net loss recorded for the year ended December 31, 2025, $1.9 million for cash dividends declared on voting common stock, $552,000 for cash dividends declared on non-voting common stock, and $50,000 for cash dividends declared on issued warrants.</w:t>
      </w:r>
    </w:p>
    <w:p>
      <w:pPr>
        <w:spacing w:after="0" w:line="110"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07"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Quantitative measures established by regulation to ensure capital adequacy require the Bank to maintain amounts and ratios of Total and Tier 1 capital (as defined in the regulations) to risk-weighted assets (as defined), and of Tier 1 capital (as defined) to average assets (as defined).</w:t>
      </w:r>
    </w:p>
    <w:p>
      <w:pPr>
        <w:spacing w:after="0" w:line="137"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auto"/>
        </w:rPr>
        <w:t>As of December 31, 2025, the Bank’s most recent notification from the Federal Deposit Insurance Corporation categorized the Bank as “well-capitalized”, under the regulatory framework for prompt corrective action. To be categorized as “well-capitalized”, the Bank must maintain specified total risk-based, Tier 1 risk-based and Tier 1 leverage ratios. There are no conditions or events since that notification that management believes have changed the Bank’s category.</w:t>
      </w:r>
    </w:p>
    <w:p>
      <w:pPr>
        <w:spacing w:after="0" w:line="135" w:lineRule="exact"/>
        <w:rPr>
          <w:sz w:val="20"/>
          <w:szCs w:val="20"/>
          <w:color w:val="auto"/>
        </w:rPr>
      </w:pPr>
    </w:p>
    <w:p>
      <w:pPr>
        <w:jc w:val="both"/>
        <w:ind w:right="60"/>
        <w:spacing w:after="0" w:line="355" w:lineRule="auto"/>
        <w:rPr>
          <w:sz w:val="20"/>
          <w:szCs w:val="20"/>
          <w:color w:val="auto"/>
        </w:rPr>
      </w:pPr>
      <w:r>
        <w:rPr>
          <w:rFonts w:ascii="Arial" w:cs="Arial" w:eastAsia="Arial" w:hAnsi="Arial"/>
          <w:sz w:val="18"/>
          <w:szCs w:val="18"/>
          <w:color w:val="auto"/>
        </w:rPr>
        <w:t>The regulations also impose a “capital conservation buffer” consisting of 2.5% of CET1 capital to risk-weighted assets above the amount necessary to meet its minimum risk-based capital requirements. The buffer is separate from the capital ratios required under the Prompt Corrective Action (“PCA”) standards and imposes restrictions on</w:t>
      </w:r>
    </w:p>
    <w:p>
      <w:pPr>
        <w:sectPr>
          <w:pgSz w:w="11900" w:h="16838" w:orient="portrait"/>
          <w:cols w:equalWidth="0" w:num="1">
            <w:col w:w="9400"/>
          </w:cols>
          <w:pgMar w:left="1260" w:top="1440" w:right="1246" w:bottom="0" w:gutter="0" w:footer="0" w:header="0"/>
        </w:sect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26</w:t>
      </w:r>
    </w:p>
    <w:p>
      <w:pPr>
        <w:sectPr>
          <w:pgSz w:w="11900" w:h="16838" w:orient="portrait"/>
          <w:cols w:equalWidth="0" w:num="1">
            <w:col w:w="9400"/>
          </w:cols>
          <w:pgMar w:left="1260" w:top="1440" w:right="1246" w:bottom="0" w:gutter="0" w:footer="0" w:header="0"/>
          <w:type w:val="continuous"/>
        </w:sectPr>
      </w:pPr>
    </w:p>
    <w:bookmarkStart w:id="104" w:name="page105"/>
    <w:bookmarkEnd w:id="104"/>
    <w:p>
      <w:pPr>
        <w:jc w:val="both"/>
        <w:spacing w:after="0" w:line="330" w:lineRule="auto"/>
        <w:rPr>
          <w:sz w:val="20"/>
          <w:szCs w:val="20"/>
          <w:color w:val="auto"/>
        </w:rPr>
      </w:pPr>
      <w:r>
        <w:rPr>
          <w:rFonts w:ascii="Arial" w:cs="Arial" w:eastAsia="Arial" w:hAnsi="Arial"/>
          <w:sz w:val="19"/>
          <w:szCs w:val="19"/>
          <w:color w:val="auto"/>
        </w:rPr>
        <w:t>dividend distributions and discretionary bonuses for senior officers if the buffer is not met (See Note 20 contained within the accompanying consolidated financial statements). In order to avoid these restrictions, the capital conservation buffer effectively increases the minimum of the following capital to risk-weighted assets ratios: (1) Total Capital, (2) Tier 1 Capital, and (3) CET1. At December 31, 2025, the Bank exceeded all current regulatory required minimum capital ratios, including the capital buffer requirements.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 / 26</w:t>
      </w:r>
    </w:p>
    <w:p>
      <w:pPr>
        <w:sectPr>
          <w:pgSz w:w="11900" w:h="16838" w:orient="portrait"/>
          <w:cols w:equalWidth="0" w:num="1">
            <w:col w:w="9320"/>
          </w:cols>
          <w:pgMar w:left="1260" w:top="1173" w:right="1326" w:bottom="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w:t>
      </w:r>
    </w:p>
    <w:p>
      <w:pPr>
        <w:spacing w:after="0" w:line="200"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balance. In addition, the Company invests excess funds in short-term interest-earning and other assets, which provide liquidity to meet lending requirements.</w:t>
      </w:r>
    </w:p>
    <w:p>
      <w:pPr>
        <w:spacing w:after="0" w:line="124"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The Company's liquidity has been enhanced by its ability to borrow from the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AFS investment securities, or the sale of loans. Such actions could result in higher interest expense costs and/or losses on the sale of securities or loans.</w:t>
      </w:r>
    </w:p>
    <w:p>
      <w:pPr>
        <w:spacing w:after="0" w:line="123"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For the year ended December 31, 2025, cash and cash equivalents decreased by $402,000. The Company reported net cash outflows from financing activities of $52.5 million generated principally by an increase in customer deposits of $13.7 million, offset by a $17.0 million decrease in short-term borrowings, a decrease in brokered deposits of $34.4 million, a decrease in net proceeds from long-term borrowings of $13.0 million, and an aggregate decrease in net cash of all other financing sources, including dividends paid to common shareholders, and the holder of the Warrant of $2.5 million. Additionally, $11.7 million was provided through operating activities generated principally by net income and proceeds from loan sales. These cash flows were primarily used in 2025 to purchase $74.7 million of investment securities, partially offset by a $12.1 million net decrease in loans outstanding.</w:t>
      </w:r>
    </w:p>
    <w:p>
      <w:pPr>
        <w:spacing w:after="0" w:line="105"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Certificates of deposit due within one year of December 31, 2025 totaled $425.3 million, representing 94.1% of certificates of deposit at December 31, 2025, an increase from 85.1% at December 31, 2024. If these maturing deposits do not remain with us, we will be required to seek other sources of funds, including other certificates of deposit and borrowings. Depending on market conditions, we may be required to pay higher rates on such deposits or other borrowings than we currently pay on the certificates of deposit due on or before December 31, 2026.</w:t>
      </w:r>
    </w:p>
    <w:p>
      <w:pPr>
        <w:spacing w:after="0" w:line="106"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The Company is a separate legal entity from the Bank and must provide for its own liquidity. In addition to its operating expenses, the Company is responsible for paying any dividends declared to its shareholders and making payments on its subordinated debt. The Company may repurchase shares of its common stock. The Company’s primary sources of funds are the proceeds it retained from the Private Placement, the issuance of the 2020 Subordinated Debt, interest and dividends on securities and, potentially, dividends received from the Bank. The amount of dividends that the Bank may declare and pay to the Company in any calendar year, without prior regulatory approval, cannot exceed net income for that year to date plus retained net income (as defined) for the preceding two calendar years. The Company believes that this restriction will not have an impact on the Company's ability to meet its ongoing cash obligations. At December 31, 2025 and 2024, the Company had cash and cash equivalents of $31.2 million and $31.6 million, respectively.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26</w:t>
      </w:r>
    </w:p>
    <w:p>
      <w:pPr>
        <w:sectPr>
          <w:pgSz w:w="11900" w:h="16838" w:orient="portrait"/>
          <w:cols w:equalWidth="0" w:num="1">
            <w:col w:w="9400"/>
          </w:cols>
          <w:pgMar w:left="1260" w:top="1440" w:right="1246" w:bottom="0" w:gutter="0" w:footer="0" w:header="0"/>
          <w:type w:val="continuous"/>
        </w:sectPr>
      </w:pPr>
    </w:p>
    <w:bookmarkStart w:id="106" w:name="page107"/>
    <w:bookmarkEnd w:id="106"/>
    <w:p>
      <w:pPr>
        <w:jc w:val="both"/>
        <w:ind w:right="60"/>
        <w:spacing w:after="0" w:line="310" w:lineRule="auto"/>
        <w:rPr>
          <w:sz w:val="20"/>
          <w:szCs w:val="20"/>
          <w:color w:val="auto"/>
        </w:rPr>
      </w:pPr>
      <w:r>
        <w:rPr>
          <w:rFonts w:ascii="Arial" w:cs="Arial" w:eastAsia="Arial" w:hAnsi="Arial"/>
          <w:sz w:val="20"/>
          <w:szCs w:val="20"/>
          <w:color w:val="auto"/>
        </w:rPr>
        <w:t>The Bank has a number of existing credit facilities available to it. At December 31, 2025, total credit available under the existing lines of credit was approximately $244.0 million at FHLB-NY, the FRB, and two other correspondent banks. At December 31, 2025, the Company had $58.0 million of the available lines of credit utilized, including encumbrances supporting the outstanding letters of credit, described above, on its existing lines of credit with the remainder of $186.0 million available.</w:t>
      </w:r>
    </w:p>
    <w:p>
      <w:pPr>
        <w:spacing w:after="0" w:line="135"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The Company's sources of immediately available liquidity of $384.9 million represent 238.9% and $161.1 million of the Company's net estimated uninsured deposits. Net estimated uninsured deposits exclude collateralized and certain other deposit accounts. When compared to 2024, the $42.8 million increase in sources of immediately available liquidity was primarily attributed to the decrease in FHLB borrowed fund balances. The table below details available sources of liquidity at December 31, 2025 and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December 31,</w:t>
            </w:r>
          </w:p>
        </w:tc>
        <w:tc>
          <w:tcPr>
            <w:tcW w:w="1120" w:type="dxa"/>
            <w:vAlign w:val="bottom"/>
          </w:tcPr>
          <w:p>
            <w:pPr>
              <w:spacing w:after="0"/>
              <w:rPr>
                <w:sz w:val="19"/>
                <w:szCs w:val="19"/>
                <w:color w:val="auto"/>
              </w:rPr>
            </w:pPr>
          </w:p>
        </w:tc>
      </w:tr>
      <w:tr>
        <w:trPr>
          <w:trHeight w:val="324"/>
        </w:trPr>
        <w:tc>
          <w:tcPr>
            <w:tcW w:w="5540" w:type="dxa"/>
            <w:vAlign w:val="bottom"/>
          </w:tcPr>
          <w:p>
            <w:pPr>
              <w:spacing w:after="0"/>
              <w:rPr>
                <w:sz w:val="20"/>
                <w:szCs w:val="20"/>
                <w:color w:val="auto"/>
              </w:rPr>
            </w:pPr>
            <w:r>
              <w:rPr>
                <w:rFonts w:ascii="Arial" w:cs="Arial" w:eastAsia="Arial" w:hAnsi="Arial"/>
                <w:sz w:val="20"/>
                <w:szCs w:val="20"/>
                <w:i w:val="1"/>
                <w:iCs w:val="1"/>
                <w:color w:val="auto"/>
              </w:rPr>
              <w:t>(Dollars In thousands)</w:t>
            </w:r>
          </w:p>
        </w:tc>
        <w:tc>
          <w:tcPr>
            <w:tcW w:w="680" w:type="dxa"/>
            <w:vAlign w:val="bottom"/>
          </w:tcPr>
          <w:p>
            <w:pPr>
              <w:spacing w:after="0"/>
              <w:rPr>
                <w:sz w:val="24"/>
                <w:szCs w:val="24"/>
                <w:color w:val="auto"/>
              </w:rPr>
            </w:pPr>
          </w:p>
        </w:tc>
        <w:tc>
          <w:tcPr>
            <w:tcW w:w="1320" w:type="dxa"/>
            <w:vAlign w:val="bottom"/>
          </w:tcPr>
          <w:p>
            <w:pPr>
              <w:jc w:val="right"/>
              <w:ind w:right="180"/>
              <w:spacing w:after="0"/>
              <w:rPr>
                <w:sz w:val="20"/>
                <w:szCs w:val="20"/>
                <w:color w:val="auto"/>
              </w:rPr>
            </w:pPr>
            <w:r>
              <w:rPr>
                <w:rFonts w:ascii="Arial" w:cs="Arial" w:eastAsia="Arial" w:hAnsi="Arial"/>
                <w:sz w:val="20"/>
                <w:szCs w:val="20"/>
                <w:color w:val="auto"/>
              </w:rPr>
              <w:t>2025</w:t>
            </w:r>
          </w:p>
        </w:tc>
        <w:tc>
          <w:tcPr>
            <w:tcW w:w="740" w:type="dxa"/>
            <w:vAlign w:val="bottom"/>
          </w:tcPr>
          <w:p>
            <w:pPr>
              <w:spacing w:after="0"/>
              <w:rPr>
                <w:sz w:val="24"/>
                <w:szCs w:val="24"/>
                <w:color w:val="auto"/>
              </w:rPr>
            </w:pPr>
          </w:p>
        </w:tc>
        <w:tc>
          <w:tcPr>
            <w:tcW w:w="1120" w:type="dxa"/>
            <w:vAlign w:val="bottom"/>
          </w:tcPr>
          <w:p>
            <w:pPr>
              <w:jc w:val="right"/>
              <w:ind w:right="100"/>
              <w:spacing w:after="0"/>
              <w:rPr>
                <w:sz w:val="20"/>
                <w:szCs w:val="20"/>
                <w:color w:val="auto"/>
              </w:rPr>
            </w:pPr>
            <w:r>
              <w:rPr>
                <w:rFonts w:ascii="Arial" w:cs="Arial" w:eastAsia="Arial" w:hAnsi="Arial"/>
                <w:sz w:val="20"/>
                <w:szCs w:val="20"/>
                <w:color w:val="auto"/>
              </w:rPr>
              <w:t>2024</w:t>
            </w:r>
          </w:p>
        </w:tc>
      </w:tr>
      <w:tr>
        <w:trPr>
          <w:trHeight w:val="51"/>
        </w:trPr>
        <w:tc>
          <w:tcPr>
            <w:tcW w:w="5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94"/>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Unrestricted cash and cash equivalents</w:t>
            </w:r>
          </w:p>
        </w:tc>
        <w:tc>
          <w:tcPr>
            <w:tcW w:w="680" w:type="dxa"/>
            <w:vAlign w:val="bottom"/>
            <w:tcBorders>
              <w:bottom w:val="single" w:sz="8" w:color="CFF0FC"/>
            </w:tcBorders>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31,170</w:t>
            </w:r>
          </w:p>
        </w:tc>
        <w:tc>
          <w:tcPr>
            <w:tcW w:w="740" w:type="dxa"/>
            <w:vAlign w:val="bottom"/>
            <w:tcBorders>
              <w:bottom w:val="single" w:sz="8" w:color="CFF0FC"/>
            </w:tcBorders>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31,572</w:t>
            </w:r>
          </w:p>
        </w:tc>
      </w:tr>
      <w:tr>
        <w:trPr>
          <w:trHeight w:val="274"/>
        </w:trPr>
        <w:tc>
          <w:tcPr>
            <w:tcW w:w="5540" w:type="dxa"/>
            <w:vAlign w:val="bottom"/>
          </w:tcPr>
          <w:p>
            <w:pPr>
              <w:spacing w:after="0"/>
              <w:rPr>
                <w:sz w:val="20"/>
                <w:szCs w:val="20"/>
                <w:color w:val="auto"/>
              </w:rPr>
            </w:pPr>
            <w:r>
              <w:rPr>
                <w:rFonts w:ascii="Arial" w:cs="Arial" w:eastAsia="Arial" w:hAnsi="Arial"/>
                <w:sz w:val="20"/>
                <w:szCs w:val="20"/>
                <w:color w:val="auto"/>
              </w:rPr>
              <w:t>FHLB borrowing capacity</w:t>
            </w:r>
          </w:p>
        </w:tc>
        <w:tc>
          <w:tcPr>
            <w:tcW w:w="680" w:type="dxa"/>
            <w:vAlign w:val="bottom"/>
          </w:tcPr>
          <w:p>
            <w:pPr>
              <w:spacing w:after="0"/>
              <w:rPr>
                <w:sz w:val="23"/>
                <w:szCs w:val="23"/>
                <w:color w:val="auto"/>
              </w:rPr>
            </w:pPr>
          </w:p>
        </w:tc>
        <w:tc>
          <w:tcPr>
            <w:tcW w:w="1320" w:type="dxa"/>
            <w:vAlign w:val="bottom"/>
          </w:tcPr>
          <w:p>
            <w:pPr>
              <w:jc w:val="right"/>
              <w:ind w:right="180"/>
              <w:spacing w:after="0"/>
              <w:rPr>
                <w:sz w:val="20"/>
                <w:szCs w:val="20"/>
                <w:color w:val="auto"/>
              </w:rPr>
            </w:pPr>
            <w:r>
              <w:rPr>
                <w:rFonts w:ascii="Arial" w:cs="Arial" w:eastAsia="Arial" w:hAnsi="Arial"/>
                <w:sz w:val="20"/>
                <w:szCs w:val="20"/>
                <w:color w:val="auto"/>
              </w:rPr>
              <w:t>157,459</w:t>
            </w:r>
          </w:p>
        </w:tc>
        <w:tc>
          <w:tcPr>
            <w:tcW w:w="740" w:type="dxa"/>
            <w:vAlign w:val="bottom"/>
          </w:tcPr>
          <w:p>
            <w:pPr>
              <w:spacing w:after="0"/>
              <w:rPr>
                <w:sz w:val="23"/>
                <w:szCs w:val="23"/>
                <w:color w:val="auto"/>
              </w:rPr>
            </w:pPr>
          </w:p>
        </w:tc>
        <w:tc>
          <w:tcPr>
            <w:tcW w:w="1120" w:type="dxa"/>
            <w:vAlign w:val="bottom"/>
          </w:tcPr>
          <w:p>
            <w:pPr>
              <w:jc w:val="right"/>
              <w:ind w:right="100"/>
              <w:spacing w:after="0"/>
              <w:rPr>
                <w:sz w:val="20"/>
                <w:szCs w:val="20"/>
                <w:color w:val="auto"/>
              </w:rPr>
            </w:pPr>
            <w:r>
              <w:rPr>
                <w:rFonts w:ascii="Arial" w:cs="Arial" w:eastAsia="Arial" w:hAnsi="Arial"/>
                <w:sz w:val="20"/>
                <w:szCs w:val="20"/>
                <w:color w:val="auto"/>
              </w:rPr>
              <w:t>113,845</w:t>
            </w:r>
          </w:p>
        </w:tc>
      </w:tr>
      <w:tr>
        <w:trPr>
          <w:trHeight w:val="41"/>
        </w:trPr>
        <w:tc>
          <w:tcPr>
            <w:tcW w:w="5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4"/>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FRB borrowing capacity</w:t>
            </w:r>
          </w:p>
        </w:tc>
        <w:tc>
          <w:tcPr>
            <w:tcW w:w="6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13,501</w:t>
            </w:r>
          </w:p>
        </w:tc>
        <w:tc>
          <w:tcPr>
            <w:tcW w:w="7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28,343</w:t>
            </w:r>
          </w:p>
        </w:tc>
      </w:tr>
      <w:tr>
        <w:trPr>
          <w:trHeight w:val="274"/>
        </w:trPr>
        <w:tc>
          <w:tcPr>
            <w:tcW w:w="5540" w:type="dxa"/>
            <w:vAlign w:val="bottom"/>
          </w:tcPr>
          <w:p>
            <w:pPr>
              <w:spacing w:after="0"/>
              <w:rPr>
                <w:sz w:val="20"/>
                <w:szCs w:val="20"/>
                <w:color w:val="auto"/>
              </w:rPr>
            </w:pPr>
            <w:r>
              <w:rPr>
                <w:rFonts w:ascii="Arial" w:cs="Arial" w:eastAsia="Arial" w:hAnsi="Arial"/>
                <w:sz w:val="20"/>
                <w:szCs w:val="20"/>
                <w:color w:val="auto"/>
              </w:rPr>
              <w:t>Correspondent bank borrowing capacity</w:t>
            </w:r>
          </w:p>
        </w:tc>
        <w:tc>
          <w:tcPr>
            <w:tcW w:w="680" w:type="dxa"/>
            <w:vAlign w:val="bottom"/>
          </w:tcPr>
          <w:p>
            <w:pPr>
              <w:spacing w:after="0"/>
              <w:rPr>
                <w:sz w:val="23"/>
                <w:szCs w:val="23"/>
                <w:color w:val="auto"/>
              </w:rPr>
            </w:pPr>
          </w:p>
        </w:tc>
        <w:tc>
          <w:tcPr>
            <w:tcW w:w="1320" w:type="dxa"/>
            <w:vAlign w:val="bottom"/>
          </w:tcPr>
          <w:p>
            <w:pPr>
              <w:jc w:val="right"/>
              <w:ind w:right="180"/>
              <w:spacing w:after="0"/>
              <w:rPr>
                <w:sz w:val="20"/>
                <w:szCs w:val="20"/>
                <w:color w:val="auto"/>
              </w:rPr>
            </w:pPr>
            <w:r>
              <w:rPr>
                <w:rFonts w:ascii="Arial" w:cs="Arial" w:eastAsia="Arial" w:hAnsi="Arial"/>
                <w:sz w:val="20"/>
                <w:szCs w:val="20"/>
                <w:color w:val="auto"/>
              </w:rPr>
              <w:t>15,000</w:t>
            </w:r>
          </w:p>
        </w:tc>
        <w:tc>
          <w:tcPr>
            <w:tcW w:w="740" w:type="dxa"/>
            <w:vAlign w:val="bottom"/>
          </w:tcPr>
          <w:p>
            <w:pPr>
              <w:spacing w:after="0"/>
              <w:rPr>
                <w:sz w:val="23"/>
                <w:szCs w:val="23"/>
                <w:color w:val="auto"/>
              </w:rPr>
            </w:pPr>
          </w:p>
        </w:tc>
        <w:tc>
          <w:tcPr>
            <w:tcW w:w="1120" w:type="dxa"/>
            <w:vAlign w:val="bottom"/>
          </w:tcPr>
          <w:p>
            <w:pPr>
              <w:jc w:val="right"/>
              <w:ind w:right="100"/>
              <w:spacing w:after="0"/>
              <w:rPr>
                <w:sz w:val="20"/>
                <w:szCs w:val="20"/>
                <w:color w:val="auto"/>
              </w:rPr>
            </w:pPr>
            <w:r>
              <w:rPr>
                <w:rFonts w:ascii="Arial" w:cs="Arial" w:eastAsia="Arial" w:hAnsi="Arial"/>
                <w:sz w:val="20"/>
                <w:szCs w:val="20"/>
                <w:color w:val="auto"/>
              </w:rPr>
              <w:t>15,000</w:t>
            </w:r>
          </w:p>
        </w:tc>
      </w:tr>
      <w:tr>
        <w:trPr>
          <w:trHeight w:val="41"/>
        </w:trPr>
        <w:tc>
          <w:tcPr>
            <w:tcW w:w="5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4"/>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unpledged investment securities</w:t>
            </w:r>
          </w:p>
        </w:tc>
        <w:tc>
          <w:tcPr>
            <w:tcW w:w="6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167,785</w:t>
            </w:r>
          </w:p>
        </w:tc>
        <w:tc>
          <w:tcPr>
            <w:tcW w:w="7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153,321</w:t>
            </w:r>
          </w:p>
        </w:tc>
      </w:tr>
      <w:tr>
        <w:trPr>
          <w:trHeight w:val="274"/>
        </w:trPr>
        <w:tc>
          <w:tcPr>
            <w:tcW w:w="5540" w:type="dxa"/>
            <w:vAlign w:val="bottom"/>
          </w:tcPr>
          <w:p>
            <w:pPr>
              <w:ind w:left="100"/>
              <w:spacing w:after="0"/>
              <w:rPr>
                <w:sz w:val="20"/>
                <w:szCs w:val="20"/>
                <w:color w:val="auto"/>
              </w:rPr>
            </w:pPr>
            <w:r>
              <w:rPr>
                <w:rFonts w:ascii="Arial" w:cs="Arial" w:eastAsia="Arial" w:hAnsi="Arial"/>
                <w:sz w:val="20"/>
                <w:szCs w:val="20"/>
                <w:color w:val="auto"/>
              </w:rPr>
              <w:t>Total sources of liquidity</w:t>
            </w:r>
          </w:p>
        </w:tc>
        <w:tc>
          <w:tcPr>
            <w:tcW w:w="68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80"/>
              <w:spacing w:after="0"/>
              <w:rPr>
                <w:sz w:val="20"/>
                <w:szCs w:val="20"/>
                <w:color w:val="auto"/>
              </w:rPr>
            </w:pPr>
            <w:r>
              <w:rPr>
                <w:rFonts w:ascii="Arial" w:cs="Arial" w:eastAsia="Arial" w:hAnsi="Arial"/>
                <w:sz w:val="20"/>
                <w:szCs w:val="20"/>
                <w:color w:val="auto"/>
              </w:rPr>
              <w:t>384,915</w:t>
            </w:r>
          </w:p>
        </w:tc>
        <w:tc>
          <w:tcPr>
            <w:tcW w:w="740" w:type="dxa"/>
            <w:vAlign w:val="bottom"/>
          </w:tcPr>
          <w:p>
            <w:pPr>
              <w:jc w:val="right"/>
              <w:ind w:right="44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0"/>
              <w:spacing w:after="0"/>
              <w:rPr>
                <w:sz w:val="20"/>
                <w:szCs w:val="20"/>
                <w:color w:val="auto"/>
              </w:rPr>
            </w:pPr>
            <w:r>
              <w:rPr>
                <w:rFonts w:ascii="Arial" w:cs="Arial" w:eastAsia="Arial" w:hAnsi="Arial"/>
                <w:sz w:val="20"/>
                <w:szCs w:val="20"/>
                <w:color w:val="auto"/>
              </w:rPr>
              <w:t>342,081</w:t>
            </w:r>
          </w:p>
        </w:tc>
      </w:tr>
      <w:tr>
        <w:trPr>
          <w:trHeight w:val="86"/>
        </w:trPr>
        <w:tc>
          <w:tcPr>
            <w:tcW w:w="5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314"/>
        </w:trPr>
        <w:tc>
          <w:tcPr>
            <w:tcW w:w="554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274"/>
        </w:trPr>
        <w:tc>
          <w:tcPr>
            <w:tcW w:w="5540" w:type="dxa"/>
            <w:vAlign w:val="bottom"/>
          </w:tcPr>
          <w:p>
            <w:pPr>
              <w:spacing w:after="0"/>
              <w:rPr>
                <w:sz w:val="20"/>
                <w:szCs w:val="20"/>
                <w:color w:val="auto"/>
              </w:rPr>
            </w:pPr>
            <w:r>
              <w:rPr>
                <w:rFonts w:ascii="Arial" w:cs="Arial" w:eastAsia="Arial" w:hAnsi="Arial"/>
                <w:sz w:val="20"/>
                <w:szCs w:val="20"/>
                <w:color w:val="auto"/>
                <w:w w:val="92"/>
              </w:rPr>
              <w:t>Net estimated uninsured deposits, excluding collateralized deposits</w:t>
            </w:r>
          </w:p>
        </w:tc>
        <w:tc>
          <w:tcPr>
            <w:tcW w:w="680" w:type="dxa"/>
            <w:vAlign w:val="bottom"/>
          </w:tcPr>
          <w:p>
            <w:pPr>
              <w:spacing w:after="0"/>
              <w:rPr>
                <w:sz w:val="23"/>
                <w:szCs w:val="23"/>
                <w:color w:val="auto"/>
              </w:rPr>
            </w:pPr>
          </w:p>
        </w:tc>
        <w:tc>
          <w:tcPr>
            <w:tcW w:w="1320" w:type="dxa"/>
            <w:vAlign w:val="bottom"/>
          </w:tcPr>
          <w:p>
            <w:pPr>
              <w:jc w:val="right"/>
              <w:ind w:right="180"/>
              <w:spacing w:after="0"/>
              <w:rPr>
                <w:sz w:val="20"/>
                <w:szCs w:val="20"/>
                <w:color w:val="auto"/>
              </w:rPr>
            </w:pPr>
            <w:r>
              <w:rPr>
                <w:rFonts w:ascii="Arial" w:cs="Arial" w:eastAsia="Arial" w:hAnsi="Arial"/>
                <w:sz w:val="20"/>
                <w:szCs w:val="20"/>
                <w:color w:val="auto"/>
              </w:rPr>
              <w:t>161,132</w:t>
            </w:r>
          </w:p>
        </w:tc>
        <w:tc>
          <w:tcPr>
            <w:tcW w:w="740" w:type="dxa"/>
            <w:vAlign w:val="bottom"/>
          </w:tcPr>
          <w:p>
            <w:pPr>
              <w:spacing w:after="0"/>
              <w:rPr>
                <w:sz w:val="23"/>
                <w:szCs w:val="23"/>
                <w:color w:val="auto"/>
              </w:rPr>
            </w:pPr>
          </w:p>
        </w:tc>
        <w:tc>
          <w:tcPr>
            <w:tcW w:w="1120" w:type="dxa"/>
            <w:vAlign w:val="bottom"/>
          </w:tcPr>
          <w:p>
            <w:pPr>
              <w:jc w:val="right"/>
              <w:ind w:right="100"/>
              <w:spacing w:after="0"/>
              <w:rPr>
                <w:sz w:val="20"/>
                <w:szCs w:val="20"/>
                <w:color w:val="auto"/>
              </w:rPr>
            </w:pPr>
            <w:r>
              <w:rPr>
                <w:rFonts w:ascii="Arial" w:cs="Arial" w:eastAsia="Arial" w:hAnsi="Arial"/>
                <w:sz w:val="20"/>
                <w:szCs w:val="20"/>
                <w:color w:val="auto"/>
              </w:rPr>
              <w:t>149,033</w:t>
            </w:r>
          </w:p>
        </w:tc>
      </w:tr>
      <w:tr>
        <w:trPr>
          <w:trHeight w:val="41"/>
        </w:trPr>
        <w:tc>
          <w:tcPr>
            <w:tcW w:w="5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4"/>
        </w:trPr>
        <w:tc>
          <w:tcPr>
            <w:tcW w:w="5540" w:type="dxa"/>
            <w:vAlign w:val="bottom"/>
            <w:shd w:val="clear" w:color="auto" w:fill="CFF0FC"/>
          </w:tcPr>
          <w:p>
            <w:pPr>
              <w:spacing w:after="0"/>
              <w:rPr>
                <w:sz w:val="20"/>
                <w:szCs w:val="20"/>
                <w:color w:val="auto"/>
              </w:rPr>
            </w:pPr>
            <w:r>
              <w:rPr>
                <w:rFonts w:ascii="Arial" w:cs="Arial" w:eastAsia="Arial" w:hAnsi="Arial"/>
                <w:sz w:val="20"/>
                <w:szCs w:val="20"/>
                <w:color w:val="auto"/>
              </w:rPr>
              <w:t>Total sources of liquidity/net estimated uninsured deposits</w:t>
            </w:r>
          </w:p>
        </w:tc>
        <w:tc>
          <w:tcPr>
            <w:tcW w:w="68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238.88%</w:t>
            </w:r>
          </w:p>
        </w:tc>
        <w:tc>
          <w:tcPr>
            <w:tcW w:w="74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229.53%</w:t>
            </w:r>
          </w:p>
        </w:tc>
      </w:tr>
      <w:tr>
        <w:trPr>
          <w:trHeight w:val="51"/>
        </w:trPr>
        <w:tc>
          <w:tcPr>
            <w:tcW w:w="554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132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1120" w:type="dxa"/>
            <w:vAlign w:val="bottom"/>
            <w:shd w:val="clear" w:color="auto" w:fill="CFF0F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-2049780</wp:posOffset>
            </wp:positionV>
            <wp:extent cx="233426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3426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-1844040</wp:posOffset>
            </wp:positionV>
            <wp:extent cx="596773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-839470</wp:posOffset>
            </wp:positionV>
            <wp:extent cx="596773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-633095</wp:posOffset>
            </wp:positionV>
            <wp:extent cx="5967730" cy="285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596773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26</w:t>
      </w:r>
    </w:p>
    <w:p>
      <w:pPr>
        <w:sectPr>
          <w:pgSz w:w="11900" w:h="16838" w:orient="portrait"/>
          <w:cols w:equalWidth="0" w:num="1">
            <w:col w:w="9400"/>
          </w:cols>
          <w:pgMar w:left="1260" w:top="1173" w:right="1246" w:bottom="0"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The Asset Liability Management Committee of the Company is responsible for implementing the policies and guidelines for the maintenance of prudent levels of liquidity. As of December 31, 2025, management reported to the Board of Directors that the Bank was in compliance with its liquidity policy guidelines.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OFF-BALANCE SHEET ARRANGEMENTS</w:t>
      </w:r>
    </w:p>
    <w:p>
      <w:pPr>
        <w:spacing w:after="0" w:line="200" w:lineRule="exact"/>
        <w:rPr>
          <w:sz w:val="20"/>
          <w:szCs w:val="20"/>
          <w:color w:val="auto"/>
        </w:rPr>
      </w:pPr>
    </w:p>
    <w:p>
      <w:pPr>
        <w:jc w:val="both"/>
        <w:spacing w:after="0" w:line="352" w:lineRule="auto"/>
        <w:rPr>
          <w:sz w:val="20"/>
          <w:szCs w:val="20"/>
          <w:color w:val="auto"/>
        </w:rPr>
      </w:pPr>
      <w:r>
        <w:rPr>
          <w:rFonts w:ascii="Arial" w:cs="Arial" w:eastAsia="Arial" w:hAnsi="Arial"/>
          <w:sz w:val="18"/>
          <w:szCs w:val="18"/>
          <w:color w:val="auto"/>
        </w:rPr>
        <w:t>The Bank is also a party to financial instruments with off-balance sheet risk in the normal course of business to meet the financing needs of its customers. These financial instruments include commitments to extend credit and standby letters of credit. At December 31, 2025, the Bank had $186.3 million in outstanding commitments to extend credit and standby letters of credit. See Note 18 within the Notes to consolidated financial statements contained herein.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160"/>
        <w:spacing w:after="0" w:line="428" w:lineRule="auto"/>
        <w:rPr>
          <w:sz w:val="20"/>
          <w:szCs w:val="20"/>
          <w:color w:val="auto"/>
        </w:rPr>
      </w:pPr>
      <w:r>
        <w:rPr>
          <w:rFonts w:ascii="Arial" w:cs="Arial" w:eastAsia="Arial" w:hAnsi="Arial"/>
          <w:sz w:val="20"/>
          <w:szCs w:val="20"/>
          <w:b w:val="1"/>
          <w:bCs w:val="1"/>
          <w:color w:val="auto"/>
        </w:rPr>
        <w:t xml:space="preserve">ITEM 7A: QUANTITATIVE AND QUALITATIVE DISCLOSURES ABOUT MARKET RISK </w:t>
      </w:r>
      <w:r>
        <w:rPr>
          <w:rFonts w:ascii="Arial" w:cs="Arial" w:eastAsia="Arial" w:hAnsi="Arial"/>
          <w:sz w:val="20"/>
          <w:szCs w:val="20"/>
          <w:color w:val="auto"/>
        </w:rPr>
        <w:t>Not required of a smaller reporting company.</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 / 26</w:t>
      </w:r>
    </w:p>
    <w:p>
      <w:pPr>
        <w:sectPr>
          <w:pgSz w:w="11900" w:h="16838" w:orient="portrait"/>
          <w:cols w:equalWidth="0" w:num="1">
            <w:col w:w="9340"/>
          </w:cols>
          <w:pgMar w:left="1260" w:top="1440" w:right="1306" w:bottom="0"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9"/>
          </w:tcPr>
          <w:p>
            <w:pPr>
              <w:spacing w:after="0"/>
              <w:rPr>
                <w:sz w:val="20"/>
                <w:szCs w:val="20"/>
                <w:color w:val="auto"/>
              </w:rPr>
            </w:pPr>
            <w:r>
              <w:rPr>
                <w:rFonts w:ascii="Arial" w:cs="Arial" w:eastAsia="Arial" w:hAnsi="Arial"/>
                <w:sz w:val="20"/>
                <w:szCs w:val="20"/>
                <w:b w:val="1"/>
                <w:bCs w:val="1"/>
                <w:color w:val="auto"/>
              </w:rPr>
              <w:t>ITEM 8: FINANCIAL STATEMENTS AND SUPPLEMENTARY DATA</w:t>
            </w:r>
          </w:p>
        </w:tc>
        <w:tc>
          <w:tcPr>
            <w:tcW w:w="580" w:type="dxa"/>
            <w:vAlign w:val="bottom"/>
          </w:tcPr>
          <w:p>
            <w:pPr>
              <w:spacing w:after="0"/>
              <w:rPr>
                <w:sz w:val="19"/>
                <w:szCs w:val="19"/>
                <w:color w:val="auto"/>
              </w:rPr>
            </w:pPr>
          </w:p>
        </w:tc>
      </w:tr>
      <w:tr>
        <w:trPr>
          <w:trHeight w:val="420"/>
        </w:trPr>
        <w:tc>
          <w:tcPr>
            <w:tcW w:w="8680" w:type="dxa"/>
            <w:vAlign w:val="bottom"/>
            <w:gridSpan w:val="9"/>
          </w:tcPr>
          <w:p>
            <w:pPr>
              <w:spacing w:after="0"/>
              <w:rPr>
                <w:sz w:val="20"/>
                <w:szCs w:val="20"/>
                <w:color w:val="auto"/>
              </w:rPr>
            </w:pPr>
            <w:r>
              <w:rPr>
                <w:rFonts w:ascii="Arial" w:cs="Arial" w:eastAsia="Arial" w:hAnsi="Arial"/>
                <w:sz w:val="20"/>
                <w:szCs w:val="20"/>
                <w:b w:val="1"/>
                <w:bCs w:val="1"/>
                <w:color w:val="auto"/>
              </w:rPr>
              <w:t>Index to Consolidated Financial Statements</w:t>
            </w:r>
          </w:p>
        </w:tc>
        <w:tc>
          <w:tcPr>
            <w:tcW w:w="580" w:type="dxa"/>
            <w:vAlign w:val="bottom"/>
          </w:tcPr>
          <w:p>
            <w:pPr>
              <w:spacing w:after="0"/>
              <w:rPr>
                <w:sz w:val="24"/>
                <w:szCs w:val="24"/>
                <w:color w:val="auto"/>
              </w:rPr>
            </w:pPr>
          </w:p>
        </w:tc>
      </w:tr>
      <w:tr>
        <w:trPr>
          <w:trHeight w:val="420"/>
        </w:trPr>
        <w:tc>
          <w:tcPr>
            <w:tcW w:w="8680" w:type="dxa"/>
            <w:vAlign w:val="bottom"/>
            <w:gridSpan w:val="9"/>
          </w:tcPr>
          <w:p>
            <w:pPr>
              <w:spacing w:after="0"/>
              <w:rPr>
                <w:sz w:val="20"/>
                <w:szCs w:val="20"/>
                <w:color w:val="auto"/>
              </w:rPr>
            </w:pPr>
            <w:r>
              <w:rPr>
                <w:rFonts w:ascii="Arial" w:cs="Arial" w:eastAsia="Arial" w:hAnsi="Arial"/>
                <w:sz w:val="20"/>
                <w:szCs w:val="20"/>
                <w:b w:val="1"/>
                <w:bCs w:val="1"/>
                <w:color w:val="auto"/>
              </w:rPr>
              <w:t>Pathfinder Bancorp, Inc.</w:t>
            </w:r>
          </w:p>
        </w:tc>
        <w:tc>
          <w:tcPr>
            <w:tcW w:w="580" w:type="dxa"/>
            <w:vAlign w:val="bottom"/>
          </w:tcPr>
          <w:p>
            <w:pPr>
              <w:spacing w:after="0"/>
              <w:rPr>
                <w:sz w:val="24"/>
                <w:szCs w:val="24"/>
                <w:color w:val="auto"/>
              </w:rPr>
            </w:pPr>
          </w:p>
        </w:tc>
      </w:tr>
      <w:tr>
        <w:trPr>
          <w:trHeight w:val="450"/>
        </w:trPr>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ind w:left="80"/>
              <w:spacing w:after="0"/>
              <w:rPr>
                <w:sz w:val="20"/>
                <w:szCs w:val="20"/>
                <w:color w:val="auto"/>
              </w:rPr>
            </w:pPr>
            <w:r>
              <w:rPr>
                <w:rFonts w:ascii="Arial" w:cs="Arial" w:eastAsia="Arial" w:hAnsi="Arial"/>
                <w:sz w:val="20"/>
                <w:szCs w:val="20"/>
                <w:color w:val="auto"/>
                <w:w w:val="85"/>
              </w:rPr>
              <w:t>Page</w:t>
            </w:r>
          </w:p>
        </w:tc>
      </w:tr>
      <w:tr>
        <w:trPr>
          <w:trHeight w:val="290"/>
        </w:trPr>
        <w:tc>
          <w:tcPr>
            <w:tcW w:w="8680" w:type="dxa"/>
            <w:vAlign w:val="bottom"/>
            <w:gridSpan w:val="9"/>
          </w:tcPr>
          <w:p>
            <w:pPr>
              <w:spacing w:after="0"/>
              <w:rPr>
                <w:sz w:val="20"/>
                <w:szCs w:val="20"/>
                <w:color w:val="auto"/>
              </w:rPr>
            </w:pPr>
            <w:r>
              <w:rPr>
                <w:rFonts w:ascii="Arial" w:cs="Arial" w:eastAsia="Arial" w:hAnsi="Arial"/>
                <w:sz w:val="20"/>
                <w:szCs w:val="20"/>
                <w:color w:val="0000FF"/>
              </w:rPr>
              <w:t>Management’s Report on Internal Control over Financial Reporting</w:t>
            </w:r>
          </w:p>
        </w:tc>
        <w:tc>
          <w:tcPr>
            <w:tcW w:w="580" w:type="dxa"/>
            <w:vAlign w:val="bottom"/>
          </w:tcPr>
          <w:p>
            <w:pPr>
              <w:jc w:val="center"/>
              <w:ind w:left="80"/>
              <w:spacing w:after="0"/>
              <w:rPr>
                <w:sz w:val="20"/>
                <w:szCs w:val="20"/>
                <w:color w:val="auto"/>
              </w:rPr>
            </w:pPr>
            <w:r>
              <w:rPr>
                <w:rFonts w:ascii="Arial" w:cs="Arial" w:eastAsia="Arial" w:hAnsi="Arial"/>
                <w:sz w:val="20"/>
                <w:szCs w:val="20"/>
                <w:color w:val="auto"/>
                <w:w w:val="89"/>
              </w:rPr>
              <w:t>55</w:t>
            </w:r>
          </w:p>
        </w:tc>
      </w:tr>
      <w:tr>
        <w:trPr>
          <w:trHeight w:val="280"/>
        </w:trPr>
        <w:tc>
          <w:tcPr>
            <w:tcW w:w="5400" w:type="dxa"/>
            <w:vAlign w:val="bottom"/>
            <w:tcBorders>
              <w:top w:val="single" w:sz="8" w:color="0000FF"/>
            </w:tcBorders>
            <w:gridSpan w:val="3"/>
          </w:tcPr>
          <w:p>
            <w:pPr>
              <w:spacing w:after="0"/>
              <w:rPr>
                <w:sz w:val="20"/>
                <w:szCs w:val="20"/>
                <w:color w:val="auto"/>
              </w:rPr>
            </w:pPr>
            <w:r>
              <w:rPr>
                <w:rFonts w:ascii="Arial" w:cs="Arial" w:eastAsia="Arial" w:hAnsi="Arial"/>
                <w:sz w:val="20"/>
                <w:szCs w:val="20"/>
                <w:color w:val="0000FF"/>
              </w:rPr>
              <w:t>Report of Independent Registered Public Accounting Firm</w:t>
            </w:r>
          </w:p>
        </w:tc>
        <w:tc>
          <w:tcPr>
            <w:tcW w:w="3280" w:type="dxa"/>
            <w:vAlign w:val="bottom"/>
            <w:gridSpan w:val="6"/>
          </w:tcPr>
          <w:p>
            <w:pPr>
              <w:spacing w:after="0"/>
              <w:rPr>
                <w:sz w:val="24"/>
                <w:szCs w:val="24"/>
                <w:color w:val="auto"/>
              </w:rPr>
            </w:pPr>
          </w:p>
        </w:tc>
        <w:tc>
          <w:tcPr>
            <w:tcW w:w="580" w:type="dxa"/>
            <w:vAlign w:val="bottom"/>
          </w:tcPr>
          <w:p>
            <w:pPr>
              <w:jc w:val="center"/>
              <w:ind w:left="80"/>
              <w:spacing w:after="0"/>
              <w:rPr>
                <w:sz w:val="20"/>
                <w:szCs w:val="20"/>
                <w:color w:val="auto"/>
              </w:rPr>
            </w:pPr>
            <w:r>
              <w:rPr>
                <w:rFonts w:ascii="Arial" w:cs="Arial" w:eastAsia="Arial" w:hAnsi="Arial"/>
                <w:sz w:val="20"/>
                <w:szCs w:val="20"/>
                <w:color w:val="auto"/>
                <w:w w:val="89"/>
              </w:rPr>
              <w:t>56</w:t>
            </w:r>
          </w:p>
        </w:tc>
      </w:tr>
      <w:tr>
        <w:trPr>
          <w:trHeight w:val="20"/>
        </w:trPr>
        <w:tc>
          <w:tcPr>
            <w:tcW w:w="3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0"/>
        </w:trPr>
        <w:tc>
          <w:tcPr>
            <w:tcW w:w="8680" w:type="dxa"/>
            <w:vAlign w:val="bottom"/>
            <w:gridSpan w:val="9"/>
          </w:tcPr>
          <w:p>
            <w:pPr>
              <w:spacing w:after="0"/>
              <w:rPr>
                <w:sz w:val="20"/>
                <w:szCs w:val="20"/>
                <w:color w:val="auto"/>
              </w:rPr>
            </w:pPr>
            <w:r>
              <w:rPr>
                <w:rFonts w:ascii="Arial" w:cs="Arial" w:eastAsia="Arial" w:hAnsi="Arial"/>
                <w:sz w:val="20"/>
                <w:szCs w:val="20"/>
                <w:color w:val="0000FF"/>
              </w:rPr>
              <w:t>Consolidated Statements of Condition – December 31, 2025 and 2024</w:t>
            </w:r>
          </w:p>
        </w:tc>
        <w:tc>
          <w:tcPr>
            <w:tcW w:w="580" w:type="dxa"/>
            <w:vAlign w:val="bottom"/>
          </w:tcPr>
          <w:p>
            <w:pPr>
              <w:jc w:val="center"/>
              <w:ind w:left="80"/>
              <w:spacing w:after="0"/>
              <w:rPr>
                <w:sz w:val="20"/>
                <w:szCs w:val="20"/>
                <w:color w:val="auto"/>
              </w:rPr>
            </w:pPr>
            <w:r>
              <w:rPr>
                <w:rFonts w:ascii="Arial" w:cs="Arial" w:eastAsia="Arial" w:hAnsi="Arial"/>
                <w:sz w:val="20"/>
                <w:szCs w:val="20"/>
                <w:color w:val="auto"/>
                <w:w w:val="89"/>
              </w:rPr>
              <w:t>58</w:t>
            </w:r>
          </w:p>
        </w:tc>
      </w:tr>
      <w:tr>
        <w:trPr>
          <w:trHeight w:val="20"/>
        </w:trPr>
        <w:tc>
          <w:tcPr>
            <w:tcW w:w="350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0"/>
        </w:trPr>
        <w:tc>
          <w:tcPr>
            <w:tcW w:w="8680" w:type="dxa"/>
            <w:vAlign w:val="bottom"/>
            <w:gridSpan w:val="9"/>
          </w:tcPr>
          <w:p>
            <w:pPr>
              <w:spacing w:after="0"/>
              <w:rPr>
                <w:sz w:val="20"/>
                <w:szCs w:val="20"/>
                <w:color w:val="auto"/>
              </w:rPr>
            </w:pPr>
            <w:r>
              <w:rPr>
                <w:rFonts w:ascii="Arial" w:cs="Arial" w:eastAsia="Arial" w:hAnsi="Arial"/>
                <w:sz w:val="20"/>
                <w:szCs w:val="20"/>
                <w:color w:val="0000FF"/>
              </w:rPr>
              <w:t>Consolidated Statements of Income – Years ended December 31, 2025 and 2024</w:t>
            </w:r>
          </w:p>
        </w:tc>
        <w:tc>
          <w:tcPr>
            <w:tcW w:w="580" w:type="dxa"/>
            <w:vAlign w:val="bottom"/>
          </w:tcPr>
          <w:p>
            <w:pPr>
              <w:jc w:val="center"/>
              <w:ind w:left="80"/>
              <w:spacing w:after="0"/>
              <w:rPr>
                <w:sz w:val="20"/>
                <w:szCs w:val="20"/>
                <w:color w:val="auto"/>
              </w:rPr>
            </w:pPr>
            <w:r>
              <w:rPr>
                <w:rFonts w:ascii="Arial" w:cs="Arial" w:eastAsia="Arial" w:hAnsi="Arial"/>
                <w:sz w:val="20"/>
                <w:szCs w:val="20"/>
                <w:color w:val="auto"/>
                <w:w w:val="89"/>
              </w:rPr>
              <w:t>59</w:t>
            </w:r>
          </w:p>
        </w:tc>
      </w:tr>
      <w:tr>
        <w:trPr>
          <w:trHeight w:val="20"/>
        </w:trPr>
        <w:tc>
          <w:tcPr>
            <w:tcW w:w="350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0"/>
        </w:trPr>
        <w:tc>
          <w:tcPr>
            <w:tcW w:w="776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89"/>
              </w:rPr>
              <w:t>Consolidated Statements of Comprehensive Income – Years ended December 31, 2025 and 2024</w:t>
            </w:r>
          </w:p>
        </w:tc>
        <w:tc>
          <w:tcPr>
            <w:tcW w:w="920" w:type="dxa"/>
            <w:vAlign w:val="bottom"/>
            <w:gridSpan w:val="2"/>
          </w:tcPr>
          <w:p>
            <w:pPr>
              <w:spacing w:after="0"/>
              <w:rPr>
                <w:sz w:val="24"/>
                <w:szCs w:val="24"/>
                <w:color w:val="auto"/>
              </w:rPr>
            </w:pPr>
          </w:p>
        </w:tc>
        <w:tc>
          <w:tcPr>
            <w:tcW w:w="580" w:type="dxa"/>
            <w:vAlign w:val="bottom"/>
          </w:tcPr>
          <w:p>
            <w:pPr>
              <w:jc w:val="center"/>
              <w:ind w:left="80"/>
              <w:spacing w:after="0"/>
              <w:rPr>
                <w:sz w:val="20"/>
                <w:szCs w:val="20"/>
                <w:color w:val="auto"/>
              </w:rPr>
            </w:pPr>
            <w:r>
              <w:rPr>
                <w:rFonts w:ascii="Arial" w:cs="Arial" w:eastAsia="Arial" w:hAnsi="Arial"/>
                <w:sz w:val="20"/>
                <w:szCs w:val="20"/>
                <w:color w:val="auto"/>
                <w:w w:val="89"/>
              </w:rPr>
              <w:t>60</w:t>
            </w:r>
          </w:p>
        </w:tc>
      </w:tr>
      <w:tr>
        <w:trPr>
          <w:trHeight w:val="280"/>
        </w:trPr>
        <w:tc>
          <w:tcPr>
            <w:tcW w:w="8680" w:type="dxa"/>
            <w:vAlign w:val="bottom"/>
            <w:gridSpan w:val="9"/>
          </w:tcPr>
          <w:p>
            <w:pPr>
              <w:spacing w:after="0"/>
              <w:rPr>
                <w:sz w:val="20"/>
                <w:szCs w:val="20"/>
                <w:color w:val="auto"/>
              </w:rPr>
            </w:pPr>
            <w:r>
              <w:rPr>
                <w:rFonts w:ascii="Arial" w:cs="Arial" w:eastAsia="Arial" w:hAnsi="Arial"/>
                <w:sz w:val="20"/>
                <w:szCs w:val="20"/>
                <w:color w:val="0000FF"/>
                <w:w w:val="91"/>
              </w:rPr>
              <w:t>Consolidated Statements of Changes in Shareholders’ Equity – Years ended December 31, 2025 and 2024</w:t>
            </w:r>
          </w:p>
        </w:tc>
        <w:tc>
          <w:tcPr>
            <w:tcW w:w="580" w:type="dxa"/>
            <w:vAlign w:val="bottom"/>
          </w:tcPr>
          <w:p>
            <w:pPr>
              <w:jc w:val="center"/>
              <w:ind w:left="80"/>
              <w:spacing w:after="0"/>
              <w:rPr>
                <w:sz w:val="20"/>
                <w:szCs w:val="20"/>
                <w:color w:val="auto"/>
              </w:rPr>
            </w:pPr>
            <w:r>
              <w:rPr>
                <w:rFonts w:ascii="Arial" w:cs="Arial" w:eastAsia="Arial" w:hAnsi="Arial"/>
                <w:sz w:val="20"/>
                <w:szCs w:val="20"/>
                <w:color w:val="auto"/>
                <w:w w:val="89"/>
              </w:rPr>
              <w:t>61</w:t>
            </w:r>
          </w:p>
        </w:tc>
      </w:tr>
      <w:tr>
        <w:trPr>
          <w:trHeight w:val="280"/>
        </w:trPr>
        <w:tc>
          <w:tcPr>
            <w:tcW w:w="8480" w:type="dxa"/>
            <w:vAlign w:val="bottom"/>
            <w:tcBorders>
              <w:top w:val="single" w:sz="8" w:color="0000FF"/>
            </w:tcBorders>
            <w:gridSpan w:val="8"/>
          </w:tcPr>
          <w:p>
            <w:pPr>
              <w:spacing w:after="0"/>
              <w:rPr>
                <w:sz w:val="20"/>
                <w:szCs w:val="20"/>
                <w:color w:val="auto"/>
              </w:rPr>
            </w:pPr>
            <w:r>
              <w:rPr>
                <w:rFonts w:ascii="Arial" w:cs="Arial" w:eastAsia="Arial" w:hAnsi="Arial"/>
                <w:sz w:val="20"/>
                <w:szCs w:val="20"/>
                <w:color w:val="0000FF"/>
              </w:rPr>
              <w:t>Consolidated Statements of Cash Flows – Years ended December 31, 2025 and 2024</w:t>
            </w:r>
          </w:p>
        </w:tc>
        <w:tc>
          <w:tcPr>
            <w:tcW w:w="200" w:type="dxa"/>
            <w:vAlign w:val="bottom"/>
          </w:tcPr>
          <w:p>
            <w:pPr>
              <w:spacing w:after="0"/>
              <w:rPr>
                <w:sz w:val="24"/>
                <w:szCs w:val="24"/>
                <w:color w:val="auto"/>
              </w:rPr>
            </w:pPr>
          </w:p>
        </w:tc>
        <w:tc>
          <w:tcPr>
            <w:tcW w:w="580" w:type="dxa"/>
            <w:vAlign w:val="bottom"/>
          </w:tcPr>
          <w:p>
            <w:pPr>
              <w:jc w:val="center"/>
              <w:ind w:left="80"/>
              <w:spacing w:after="0"/>
              <w:rPr>
                <w:sz w:val="20"/>
                <w:szCs w:val="20"/>
                <w:color w:val="auto"/>
              </w:rPr>
            </w:pPr>
            <w:r>
              <w:rPr>
                <w:rFonts w:ascii="Arial" w:cs="Arial" w:eastAsia="Arial" w:hAnsi="Arial"/>
                <w:sz w:val="20"/>
                <w:szCs w:val="20"/>
                <w:color w:val="auto"/>
                <w:w w:val="89"/>
              </w:rPr>
              <w:t>62</w:t>
            </w:r>
          </w:p>
        </w:tc>
      </w:tr>
      <w:tr>
        <w:trPr>
          <w:trHeight w:val="280"/>
        </w:trPr>
        <w:tc>
          <w:tcPr>
            <w:tcW w:w="35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0"/>
                <w:szCs w:val="20"/>
                <w:color w:val="0000FF"/>
                <w:w w:val="89"/>
              </w:rPr>
              <w:t>Notes to Consolidated Financial Statements</w:t>
            </w:r>
          </w:p>
        </w:tc>
        <w:tc>
          <w:tcPr>
            <w:tcW w:w="3280" w:type="dxa"/>
            <w:vAlign w:val="bottom"/>
            <w:tcBorders>
              <w:top w:val="single" w:sz="8" w:color="0000FF"/>
            </w:tcBorders>
            <w:gridSpan w:val="5"/>
          </w:tcPr>
          <w:p>
            <w:pPr>
              <w:spacing w:after="0"/>
              <w:rPr>
                <w:sz w:val="24"/>
                <w:szCs w:val="24"/>
                <w:color w:val="auto"/>
              </w:rPr>
            </w:pPr>
          </w:p>
        </w:tc>
        <w:tc>
          <w:tcPr>
            <w:tcW w:w="1900" w:type="dxa"/>
            <w:vAlign w:val="bottom"/>
            <w:gridSpan w:val="3"/>
          </w:tcPr>
          <w:p>
            <w:pPr>
              <w:spacing w:after="0"/>
              <w:rPr>
                <w:sz w:val="24"/>
                <w:szCs w:val="24"/>
                <w:color w:val="auto"/>
              </w:rPr>
            </w:pPr>
          </w:p>
        </w:tc>
        <w:tc>
          <w:tcPr>
            <w:tcW w:w="580" w:type="dxa"/>
            <w:vAlign w:val="bottom"/>
          </w:tcPr>
          <w:p>
            <w:pPr>
              <w:jc w:val="center"/>
              <w:ind w:left="80"/>
              <w:spacing w:after="0"/>
              <w:rPr>
                <w:sz w:val="20"/>
                <w:szCs w:val="20"/>
                <w:color w:val="auto"/>
              </w:rPr>
            </w:pPr>
            <w:r>
              <w:rPr>
                <w:rFonts w:ascii="Arial" w:cs="Arial" w:eastAsia="Arial" w:hAnsi="Arial"/>
                <w:sz w:val="20"/>
                <w:szCs w:val="20"/>
                <w:color w:val="auto"/>
                <w:w w:val="89"/>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5546090</wp:posOffset>
            </wp:positionH>
            <wp:positionV relativeFrom="paragraph">
              <wp:posOffset>-1497330</wp:posOffset>
            </wp:positionV>
            <wp:extent cx="41783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178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440"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14 / 26</w:t>
      </w:r>
    </w:p>
    <w:p>
      <w:pPr>
        <w:sectPr>
          <w:pgSz w:w="11900" w:h="16838" w:orient="portrait"/>
          <w:cols w:equalWidth="0" w:num="1">
            <w:col w:w="9260"/>
          </w:cols>
          <w:pgMar w:left="1260" w:top="1440" w:right="1386"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60"/>
        <w:spacing w:after="0" w:line="428" w:lineRule="auto"/>
        <w:rPr>
          <w:sz w:val="20"/>
          <w:szCs w:val="20"/>
          <w:color w:val="auto"/>
        </w:rPr>
      </w:pPr>
      <w:r>
        <w:rPr>
          <w:rFonts w:ascii="Arial" w:cs="Arial" w:eastAsia="Arial" w:hAnsi="Arial"/>
          <w:sz w:val="20"/>
          <w:szCs w:val="20"/>
          <w:i w:val="1"/>
          <w:iCs w:val="1"/>
          <w:color w:val="auto"/>
        </w:rPr>
        <w:t xml:space="preserve">MANAGEMENT’S REPORT ON INTERNAL CONTROL OVER FINANCIAL REPORTING </w:t>
      </w:r>
      <w:r>
        <w:rPr>
          <w:rFonts w:ascii="Arial" w:cs="Arial" w:eastAsia="Arial" w:hAnsi="Arial"/>
          <w:sz w:val="20"/>
          <w:szCs w:val="20"/>
          <w:b w:val="1"/>
          <w:bCs w:val="1"/>
          <w:color w:val="auto"/>
        </w:rPr>
        <w:t>Overview of Internal Control</w:t>
      </w:r>
    </w:p>
    <w:p>
      <w:pPr>
        <w:spacing w:after="0" w:line="20"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Internal control processes and procedures help entities achieve important objectives and sustain and improve performance. The COSO Framework (as defined below) enables organizations to effectively and efficiently develop systems of internal control that adapt to changing business and operating environments, mitigate risks at acceptable levels and support sound decision making and governance of organizations. The COSO Framework defines internal control as “a process, effected by an entity’s Board of Directors, management, and other personnel, designed to provide reasonable assurance regarding the achievement of objectives relating to operations, reporting and compliance.” The COSO Framework provides three categories of objectives, which allow organizations to focus on differing aspects of internal control: (a) Operations Objectives, (b) Reporting Objectives and (c) Compliance Objectives.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00"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Management is responsible for establishing and maintaining effective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118"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Management evaluates the effectiveness of internal control over financial reporting and tests for reliability of recorded financial information through a program of ongoing internal audits. Any system of internal control, no matter how well designed, has inherent limitations, including the possibility that a control can be circumvented or overridden and misstatements due to error or fraud may occur and not be detected. Also, because of changes in conditions, internal control effectiveness may vary over time. Accordingly, even an effective system of internal control will provide only reasonable assurance with respect to financial statement preparation. Under applicable SEC accounting related rules, a material weakness is a deficiency, or combination of deficiencies, in internal control over financial reporting such that there is a reasonable possibility that a material misstatement of a company’s annual or interim financial statements would not be prevented or detected on a timely basis.</w:t>
      </w:r>
    </w:p>
    <w:p>
      <w:pPr>
        <w:spacing w:after="0" w:line="124"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color w:val="auto"/>
        </w:rPr>
        <w:t>Management conducted the Evaluation based on the 2013 framework established in Internal Control-Integrated Framework issued by the Committee of Sponsoring Organizations of the Treadway Commission (the COSO Framework).</w:t>
      </w:r>
    </w:p>
    <w:p>
      <w:pPr>
        <w:spacing w:after="0" w:line="137"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As a result of the Evaluation as of December 31, 2025, management has determined that there were no material weaknesses in the Company’s internal controls over financial reporting.</w:t>
      </w:r>
    </w:p>
    <w:p>
      <w:pPr>
        <w:spacing w:after="0" w:line="141"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5620" w:val="left"/>
        </w:tabs>
        <w:rPr>
          <w:sz w:val="20"/>
          <w:szCs w:val="20"/>
          <w:color w:val="auto"/>
        </w:rPr>
      </w:pPr>
      <w:r>
        <w:rPr>
          <w:rFonts w:ascii="Arial" w:cs="Arial" w:eastAsia="Arial" w:hAnsi="Arial"/>
          <w:sz w:val="20"/>
          <w:szCs w:val="20"/>
          <w:color w:val="auto"/>
        </w:rPr>
        <w:t>/s/ James A. Dowd</w:t>
      </w:r>
      <w:r>
        <w:rPr>
          <w:sz w:val="20"/>
          <w:szCs w:val="20"/>
          <w:color w:val="auto"/>
        </w:rPr>
        <w:tab/>
      </w:r>
      <w:r>
        <w:rPr>
          <w:rFonts w:ascii="Arial" w:cs="Arial" w:eastAsia="Arial" w:hAnsi="Arial"/>
          <w:sz w:val="18"/>
          <w:szCs w:val="18"/>
          <w:color w:val="auto"/>
        </w:rPr>
        <w:t>/s/ Justin K. Bigham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60" w:lineRule="exact"/>
        <w:rPr>
          <w:sz w:val="20"/>
          <w:szCs w:val="20"/>
          <w:color w:val="auto"/>
        </w:rPr>
      </w:pPr>
    </w:p>
    <w:p>
      <w:pPr>
        <w:spacing w:after="0"/>
        <w:tabs>
          <w:tab w:leader="none" w:pos="5620" w:val="left"/>
        </w:tabs>
        <w:rPr>
          <w:sz w:val="20"/>
          <w:szCs w:val="20"/>
          <w:color w:val="auto"/>
        </w:rPr>
      </w:pPr>
      <w:r>
        <w:rPr>
          <w:rFonts w:ascii="Arial" w:cs="Arial" w:eastAsia="Arial" w:hAnsi="Arial"/>
          <w:sz w:val="20"/>
          <w:szCs w:val="20"/>
          <w:color w:val="auto"/>
        </w:rPr>
        <w:t>James A. Dowd</w:t>
      </w:r>
      <w:r>
        <w:rPr>
          <w:sz w:val="20"/>
          <w:szCs w:val="20"/>
          <w:color w:val="auto"/>
        </w:rPr>
        <w:tab/>
      </w:r>
      <w:r>
        <w:rPr>
          <w:rFonts w:ascii="Arial" w:cs="Arial" w:eastAsia="Arial" w:hAnsi="Arial"/>
          <w:sz w:val="18"/>
          <w:szCs w:val="18"/>
          <w:color w:val="auto"/>
        </w:rPr>
        <w:t>Justin K. Bigham</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26</w:t>
      </w:r>
    </w:p>
    <w:p>
      <w:pPr>
        <w:sectPr>
          <w:pgSz w:w="11900" w:h="16838" w:orient="portrait"/>
          <w:cols w:equalWidth="0" w:num="1">
            <w:col w:w="9380"/>
          </w:cols>
          <w:pgMar w:left="1260" w:top="1440" w:right="1266" w:bottom="0" w:gutter="0" w:footer="0" w:header="0"/>
          <w:type w:val="continuous"/>
        </w:sectPr>
      </w:pPr>
    </w:p>
    <w:bookmarkStart w:id="110" w:name="page111"/>
    <w:bookmarkEnd w:id="110"/>
    <w:p>
      <w:pPr>
        <w:ind w:left="5640" w:right="206" w:hanging="5638"/>
        <w:spacing w:after="0" w:line="302" w:lineRule="auto"/>
        <w:tabs>
          <w:tab w:leader="none" w:pos="5620" w:val="left"/>
        </w:tabs>
        <w:rPr>
          <w:sz w:val="20"/>
          <w:szCs w:val="20"/>
          <w:color w:val="auto"/>
        </w:rPr>
      </w:pPr>
      <w:r>
        <w:rPr>
          <w:rFonts w:ascii="Arial" w:cs="Arial" w:eastAsia="Arial" w:hAnsi="Arial"/>
          <w:sz w:val="20"/>
          <w:szCs w:val="20"/>
          <w:color w:val="auto"/>
        </w:rPr>
        <w:t>President and Chief Executive Officer</w:t>
      </w:r>
      <w:r>
        <w:rPr>
          <w:sz w:val="20"/>
          <w:szCs w:val="20"/>
          <w:color w:val="auto"/>
        </w:rPr>
        <w:tab/>
      </w:r>
      <w:r>
        <w:rPr>
          <w:rFonts w:ascii="Arial" w:cs="Arial" w:eastAsia="Arial" w:hAnsi="Arial"/>
          <w:sz w:val="20"/>
          <w:szCs w:val="20"/>
          <w:color w:val="auto"/>
        </w:rPr>
        <w:t>Executive Vice President, Chief Financial Officer</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Oswego, New York</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March 30, 2026</w:t>
      </w:r>
    </w:p>
    <w:p>
      <w:pPr>
        <w:spacing w:after="0" w:line="193" w:lineRule="exact"/>
        <w:rPr>
          <w:sz w:val="20"/>
          <w:szCs w:val="20"/>
          <w:color w:val="auto"/>
        </w:rPr>
      </w:pPr>
    </w:p>
    <w:p>
      <w:pPr>
        <w:jc w:val="center"/>
        <w:ind w:right="-193"/>
        <w:spacing w:after="0"/>
        <w:rPr>
          <w:sz w:val="20"/>
          <w:szCs w:val="20"/>
          <w:color w:val="auto"/>
        </w:rPr>
      </w:pPr>
      <w:r>
        <w:rPr>
          <w:rFonts w:ascii="Arial" w:cs="Arial" w:eastAsia="Arial" w:hAnsi="Arial"/>
          <w:sz w:val="22"/>
          <w:szCs w:val="22"/>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16 / 26</w:t>
      </w:r>
    </w:p>
    <w:p>
      <w:pPr>
        <w:sectPr>
          <w:pgSz w:w="11900" w:h="16838" w:orient="portrait"/>
          <w:cols w:equalWidth="0" w:num="1">
            <w:col w:w="9206"/>
          </w:cols>
          <w:pgMar w:left="1260" w:top="1173" w:right="1440" w:bottom="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Pathfinder Bancorp, Inc.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Oswego, New York:</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Consolidated Financial Statements</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We have audited the accompanying consolidated statements of condition of Pathfinder Bancorp, Inc. and subsidiaries (collectively, the “Company”) as of December 31, 2025 and 2024, and the related consolidated statements of income, comprehensive income, changes in shareholders’ equity,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their operations and their cash flows for each of the years in the two-year period ended December 31, 2025, in conformity with accounting principles generally accepted in the United States of America.</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00" w:lineRule="exact"/>
        <w:rPr>
          <w:sz w:val="20"/>
          <w:szCs w:val="20"/>
          <w:color w:val="auto"/>
        </w:rPr>
      </w:pPr>
    </w:p>
    <w:p>
      <w:pPr>
        <w:jc w:val="both"/>
        <w:ind w:right="60"/>
        <w:spacing w:after="0" w:line="351"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9"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critical audit matter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 or on the accounts or disclosures to which they relate.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26</w:t>
      </w:r>
    </w:p>
    <w:p>
      <w:pPr>
        <w:sectPr>
          <w:pgSz w:w="11900" w:h="16838" w:orient="portrait"/>
          <w:cols w:equalWidth="0" w:num="1">
            <w:col w:w="9400"/>
          </w:cols>
          <w:pgMar w:left="1260" w:top="1440" w:right="1246"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i w:val="1"/>
          <w:iCs w:val="1"/>
          <w:color w:val="auto"/>
        </w:rPr>
        <w:t>Allowance for Credit Losses on Loans</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As described in Notes 1, 5 and 6 to the consolidated financial statements, the Company accounts for an allowance for credit losses on loans in accordance with Financial Accounting Standards Board Accounting Standard Codification (“ASC”) Topic 326, Financial Instruments-Credit Losses. ASC 326 requires the Company's loan portfolio, measured at amortized cost, to be presented at the net amount expected to be collected. Estimates of expected credit losses for loans are based on evaluation of the size of the portfolio, current risk characteristics, past events, current conditions, reasonable and supportable forecasts of future economic conditions and prepayment experience. The provision for credit loss for the year ended December 31, 2025 was $16.4 million and the allowance for credit losses on loans as of December 31, 2025 was $29.4 million.</w:t>
      </w:r>
    </w:p>
    <w:p>
      <w:pPr>
        <w:spacing w:after="0" w:line="105"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Company’s methodology for estimating the allowance for credit losses on loans includes quantitative and qualitative components of the calculation. The Company’s loan portfolio is segmented by loan types that behave similarly during economic cycles using a collective basis (pooled) for similar loans and an individual basis for loans that do not share similar risk characteristics. The quantitative analysis includes using a discounted cash flow (“DCF”) model for determining the allowance for credit losses for pooled loans. Economic forecasts are used in the model to estimate the probability of default and loss given default through regression which are key inputs into the DCF model calculation. Quantitative model assumptions include, but are not limited to the discount rate, prepayment speeds, and curtailments. The quantitative model output is adjusted with qualitative adjustments. The individually evaluated loans component represented the most significant component of the ACL in the current year. This component requires management to exercise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 26</w:t>
      </w:r>
    </w:p>
    <w:p>
      <w:pPr>
        <w:sectPr>
          <w:pgSz w:w="11900" w:h="16838" w:orient="portrait"/>
          <w:cols w:equalWidth="0" w:num="1">
            <w:col w:w="9380"/>
          </w:cols>
          <w:pgMar w:left="1260" w:top="1163" w:right="1266" w:bottom="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high subjectivity in determining the expected cash flows, valuing underlying collateral, and determining the timing of repayments for specifically identified impaired loans. The allowance for credit loss methodology is inherently complex and requires the use of significant management judgment.</w:t>
      </w:r>
    </w:p>
    <w:p>
      <w:pPr>
        <w:spacing w:after="0" w:line="137"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We determined that auditing the allowance for credit losses on loans was a critical audit matter because of the extent of auditor judgment applied and significant audit effort to evaluate the significant subjective and complex judgments made by management throughout the application processes, including segmentation, the economic forecasts used to calculate the regressions within the DCF model, the quantitative model assumptions as mentioned above, and the qualitative adjustments made using the qualitative framework.</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primary audit procedures performed to address this critical audit matter included the following:</w:t>
      </w:r>
    </w:p>
    <w:p>
      <w:pPr>
        <w:spacing w:after="0" w:line="245" w:lineRule="exact"/>
        <w:rPr>
          <w:sz w:val="20"/>
          <w:szCs w:val="20"/>
          <w:color w:val="auto"/>
        </w:rPr>
      </w:pPr>
    </w:p>
    <w:p>
      <w:pPr>
        <w:ind w:left="840" w:right="40" w:hanging="421"/>
        <w:spacing w:after="0" w:line="397" w:lineRule="auto"/>
        <w:tabs>
          <w:tab w:leader="none" w:pos="8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Evaluated management’s judgments and assumptions related to the selection of the model including evaluating the conceptual design of the model and the mathematical accuracy of the model;</w:t>
      </w:r>
    </w:p>
    <w:p>
      <w:pPr>
        <w:spacing w:after="0" w:line="107" w:lineRule="exact"/>
        <w:rPr>
          <w:rFonts w:ascii="Arial" w:cs="Arial" w:eastAsia="Arial" w:hAnsi="Arial"/>
          <w:sz w:val="19"/>
          <w:szCs w:val="19"/>
          <w:color w:val="auto"/>
        </w:rPr>
      </w:pPr>
    </w:p>
    <w:p>
      <w:pPr>
        <w:ind w:left="840" w:hanging="421"/>
        <w:spacing w:after="0"/>
        <w:tabs>
          <w:tab w:leader="none" w:pos="8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Evaluated the relevance and reliability of the data used in the model;</w:t>
      </w:r>
    </w:p>
    <w:p>
      <w:pPr>
        <w:spacing w:after="0" w:line="259" w:lineRule="exact"/>
        <w:rPr>
          <w:rFonts w:ascii="Arial" w:cs="Arial" w:eastAsia="Arial" w:hAnsi="Arial"/>
          <w:sz w:val="20"/>
          <w:szCs w:val="20"/>
          <w:color w:val="auto"/>
        </w:rPr>
      </w:pPr>
    </w:p>
    <w:p>
      <w:pPr>
        <w:ind w:left="840" w:hanging="421"/>
        <w:spacing w:after="0" w:line="365" w:lineRule="auto"/>
        <w:tabs>
          <w:tab w:leader="none" w:pos="8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Evaluated the composition of the peer group selected by the Company and the methodology for making this determination;</w:t>
      </w:r>
    </w:p>
    <w:p>
      <w:pPr>
        <w:spacing w:after="0" w:line="140" w:lineRule="exact"/>
        <w:rPr>
          <w:rFonts w:ascii="Arial" w:cs="Arial" w:eastAsia="Arial" w:hAnsi="Arial"/>
          <w:sz w:val="20"/>
          <w:szCs w:val="20"/>
          <w:color w:val="auto"/>
        </w:rPr>
      </w:pPr>
    </w:p>
    <w:p>
      <w:pPr>
        <w:jc w:val="both"/>
        <w:ind w:left="840" w:hanging="421"/>
        <w:spacing w:after="0" w:line="370" w:lineRule="auto"/>
        <w:tabs>
          <w:tab w:leader="none" w:pos="8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Evaluated management’s judgments and assumptions used in the formation of the allowance for credit losses on collectively evaluated loans, including the relevance and reliability of internal and external data used in their formulation;</w:t>
      </w:r>
    </w:p>
    <w:p>
      <w:pPr>
        <w:spacing w:after="0" w:line="136" w:lineRule="exact"/>
        <w:rPr>
          <w:rFonts w:ascii="Arial" w:cs="Arial" w:eastAsia="Arial" w:hAnsi="Arial"/>
          <w:sz w:val="20"/>
          <w:szCs w:val="20"/>
          <w:color w:val="auto"/>
        </w:rPr>
      </w:pPr>
    </w:p>
    <w:p>
      <w:pPr>
        <w:jc w:val="both"/>
        <w:ind w:left="840" w:hanging="421"/>
        <w:spacing w:after="0" w:line="396" w:lineRule="auto"/>
        <w:tabs>
          <w:tab w:leader="none" w:pos="8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Evaluated management’s judgments and assumptions used in the formation of the allowance for credit losses on individually evaluated loans, including the relevance and reliability of internal and external data used in their formulation including collateral value for collateral-dependent loans;</w:t>
      </w:r>
    </w:p>
    <w:p>
      <w:pPr>
        <w:spacing w:after="0" w:line="118" w:lineRule="exact"/>
        <w:rPr>
          <w:rFonts w:ascii="Arial" w:cs="Arial" w:eastAsia="Arial" w:hAnsi="Arial"/>
          <w:sz w:val="19"/>
          <w:szCs w:val="19"/>
          <w:color w:val="auto"/>
        </w:rPr>
      </w:pPr>
    </w:p>
    <w:p>
      <w:pPr>
        <w:ind w:left="840" w:right="40" w:hanging="421"/>
        <w:spacing w:after="0" w:line="432"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relevance and reliability of the internal and external data used in the development of qualitative adjustments and the effect of those adjustments, which we determined were not material; and</w:t>
      </w:r>
    </w:p>
    <w:p>
      <w:pPr>
        <w:spacing w:after="0" w:line="94" w:lineRule="exact"/>
        <w:rPr>
          <w:rFonts w:ascii="Arial" w:cs="Arial" w:eastAsia="Arial" w:hAnsi="Arial"/>
          <w:sz w:val="18"/>
          <w:szCs w:val="18"/>
          <w:color w:val="auto"/>
        </w:rPr>
      </w:pPr>
    </w:p>
    <w:p>
      <w:pPr>
        <w:ind w:left="840" w:right="20" w:hanging="421"/>
        <w:spacing w:after="0" w:line="365" w:lineRule="auto"/>
        <w:tabs>
          <w:tab w:leader="none" w:pos="8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Evaluated the selection and use of a third-party service organization and specialist in assisting with the calculation of the allowance for credit losses on loans.</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2011.</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20"/>
          <w:szCs w:val="20"/>
          <w:u w:val="single" w:color="auto"/>
          <w:color w:val="auto"/>
        </w:rPr>
        <w:t>/s/ BONADIO &amp; CO., LLP</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Bonadio &amp; Co., LLP</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Syracuse, New York</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 / 26</w:t>
      </w:r>
    </w:p>
    <w:p>
      <w:pPr>
        <w:sectPr>
          <w:pgSz w:w="11900" w:h="16838" w:orient="portrait"/>
          <w:cols w:equalWidth="0" w:num="1">
            <w:col w:w="9340"/>
          </w:cols>
          <w:pgMar w:left="1260" w:top="1440" w:right="1306" w:bottom="0" w:gutter="0" w:footer="0" w:header="0"/>
          <w:type w:val="continuous"/>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Pathfinder Bancorp, Inc.</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Condition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0" w:type="dxa"/>
            <w:vAlign w:val="bottom"/>
            <w:gridSpan w:val="2"/>
          </w:tcPr>
          <w:p>
            <w:pPr>
              <w:ind w:left="460"/>
              <w:spacing w:after="0"/>
              <w:rPr>
                <w:sz w:val="20"/>
                <w:szCs w:val="20"/>
                <w:color w:val="auto"/>
              </w:rPr>
            </w:pPr>
            <w:r>
              <w:rPr>
                <w:rFonts w:ascii="Arial" w:cs="Arial" w:eastAsia="Arial" w:hAnsi="Arial"/>
                <w:sz w:val="18"/>
                <w:szCs w:val="18"/>
                <w:color w:val="auto"/>
                <w:w w:val="99"/>
              </w:rPr>
              <w:t>December 31,</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w w:val="97"/>
              </w:rPr>
              <w:t>December 31,</w:t>
            </w:r>
          </w:p>
        </w:tc>
      </w:tr>
      <w:tr>
        <w:trPr>
          <w:trHeight w:val="284"/>
        </w:trPr>
        <w:tc>
          <w:tcPr>
            <w:tcW w:w="656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2024</w:t>
            </w:r>
          </w:p>
        </w:tc>
      </w:tr>
      <w:tr>
        <w:trPr>
          <w:trHeight w:val="276"/>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
        </w:trPr>
        <w:tc>
          <w:tcPr>
            <w:tcW w:w="720" w:type="dxa"/>
            <w:vAlign w:val="bottom"/>
            <w:tcBorders>
              <w:top w:val="single" w:sz="8" w:color="auto"/>
            </w:tcBorders>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Cash and due from banks</w:t>
            </w:r>
          </w:p>
        </w:tc>
        <w:tc>
          <w:tcPr>
            <w:tcW w:w="66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11,521</w:t>
            </w:r>
          </w:p>
        </w:tc>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13,963</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Interest-earning deposits</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19,649</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17,609</w:t>
            </w:r>
          </w:p>
        </w:tc>
      </w:tr>
      <w:tr>
        <w:trPr>
          <w:trHeight w:val="46"/>
        </w:trPr>
        <w:tc>
          <w:tcPr>
            <w:tcW w:w="7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656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8"/>
                <w:szCs w:val="18"/>
                <w:color w:val="auto"/>
              </w:rPr>
              <w:t>Total cash and cash equivalents</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31,170</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31,572</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Available-for-sale securities, at fair value</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276,815</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269,331</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0"/>
        </w:trPr>
        <w:tc>
          <w:tcPr>
            <w:tcW w:w="656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w w:val="98"/>
              </w:rPr>
              <w:t>Held-to-maturity securities, at amortized cost (fair value of $125,198 and $151,023,</w:t>
            </w:r>
          </w:p>
        </w:tc>
        <w:tc>
          <w:tcPr>
            <w:tcW w:w="66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r>
      <w:tr>
        <w:trPr>
          <w:trHeight w:val="325"/>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respectively)</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130,324</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158,683</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Marketable equity securities, at fair value</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6,034</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4,076</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Federal Home Loan Bank stock, at cost</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2,560</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4,590</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Loans held-for-sale</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5,900</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Loans, net of deferred fees</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896,670</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918,986</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Less: Allowance for credit losses</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29,436</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17,243</w:t>
            </w:r>
          </w:p>
        </w:tc>
      </w:tr>
      <w:tr>
        <w:trPr>
          <w:trHeight w:val="46"/>
        </w:trPr>
        <w:tc>
          <w:tcPr>
            <w:tcW w:w="7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656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8"/>
                <w:szCs w:val="18"/>
                <w:color w:val="auto"/>
              </w:rPr>
              <w:t>Loans receivable, net</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867,234</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901,743</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Premises and equipment, net</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18,008</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19,009</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Operating lease right-of-use assets</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1,098</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1,391</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Finance lease right-of-use assets</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15,885</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16,676</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Accrued interest receivable</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6,328</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6,881</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Foreclosed real estate</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Intangible assets, net</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5,362</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5,989</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5,056</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5,056</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Bank owned life insurance</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31,374</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24,727</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23,351</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25,150</w:t>
            </w:r>
          </w:p>
        </w:tc>
      </w:tr>
      <w:tr>
        <w:trPr>
          <w:trHeight w:val="46"/>
        </w:trPr>
        <w:tc>
          <w:tcPr>
            <w:tcW w:w="7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8"/>
        </w:trPr>
        <w:tc>
          <w:tcPr>
            <w:tcW w:w="65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1,426,636</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1,474,874</w:t>
            </w:r>
          </w:p>
        </w:tc>
      </w:tr>
      <w:tr>
        <w:trPr>
          <w:trHeight w:val="81"/>
        </w:trPr>
        <w:tc>
          <w:tcPr>
            <w:tcW w:w="720" w:type="dxa"/>
            <w:vAlign w:val="bottom"/>
            <w:shd w:val="clear" w:color="auto" w:fill="CFF0FC"/>
          </w:tcPr>
          <w:p>
            <w:pPr>
              <w:spacing w:after="0"/>
              <w:rPr>
                <w:sz w:val="7"/>
                <w:szCs w:val="7"/>
                <w:color w:val="auto"/>
              </w:rPr>
            </w:pPr>
          </w:p>
        </w:tc>
        <w:tc>
          <w:tcPr>
            <w:tcW w:w="3220" w:type="dxa"/>
            <w:vAlign w:val="bottom"/>
            <w:shd w:val="clear" w:color="auto" w:fill="CFF0FC"/>
          </w:tcPr>
          <w:p>
            <w:pPr>
              <w:spacing w:after="0"/>
              <w:rPr>
                <w:sz w:val="7"/>
                <w:szCs w:val="7"/>
                <w:color w:val="auto"/>
              </w:rPr>
            </w:pPr>
          </w:p>
        </w:tc>
        <w:tc>
          <w:tcPr>
            <w:tcW w:w="26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r>
      <w:tr>
        <w:trPr>
          <w:trHeight w:val="284"/>
        </w:trPr>
        <w:tc>
          <w:tcPr>
            <w:tcW w:w="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65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r>
      <w:tr>
        <w:trPr>
          <w:trHeight w:val="248"/>
        </w:trPr>
        <w:tc>
          <w:tcPr>
            <w:tcW w:w="39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Deposits:</w:t>
            </w:r>
          </w:p>
        </w:tc>
        <w:tc>
          <w:tcPr>
            <w:tcW w:w="2620" w:type="dxa"/>
            <w:vAlign w:val="bottom"/>
            <w:tcBorders>
              <w:top w:val="single" w:sz="8" w:color="CFF0FC"/>
            </w:tcBorders>
          </w:tcPr>
          <w:p>
            <w:pPr>
              <w:spacing w:after="0"/>
              <w:rPr>
                <w:sz w:val="21"/>
                <w:szCs w:val="21"/>
                <w:color w:val="auto"/>
              </w:rPr>
            </w:pPr>
          </w:p>
        </w:tc>
        <w:tc>
          <w:tcPr>
            <w:tcW w:w="660" w:type="dxa"/>
            <w:vAlign w:val="bottom"/>
            <w:tcBorders>
              <w:top w:val="single" w:sz="8" w:color="CFF0FC"/>
            </w:tcBorders>
          </w:tcPr>
          <w:p>
            <w:pPr>
              <w:spacing w:after="0"/>
              <w:rPr>
                <w:sz w:val="21"/>
                <w:szCs w:val="21"/>
                <w:color w:val="auto"/>
              </w:rPr>
            </w:pPr>
          </w:p>
        </w:tc>
        <w:tc>
          <w:tcPr>
            <w:tcW w:w="940" w:type="dxa"/>
            <w:vAlign w:val="bottom"/>
            <w:tcBorders>
              <w:top w:val="single" w:sz="8" w:color="CFF0FC"/>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940" w:type="dxa"/>
            <w:vAlign w:val="bottom"/>
            <w:tcBorders>
              <w:top w:val="single" w:sz="8" w:color="CFF0FC"/>
            </w:tcBorders>
          </w:tcPr>
          <w:p>
            <w:pPr>
              <w:spacing w:after="0"/>
              <w:rPr>
                <w:sz w:val="21"/>
                <w:szCs w:val="21"/>
                <w:color w:val="auto"/>
              </w:rPr>
            </w:pP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8"/>
                <w:szCs w:val="18"/>
                <w:color w:val="auto"/>
              </w:rPr>
              <w:t>Interest-bearing</w:t>
            </w:r>
          </w:p>
        </w:tc>
        <w:tc>
          <w:tcPr>
            <w:tcW w:w="66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987,471</w:t>
            </w:r>
          </w:p>
        </w:tc>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990,805</w:t>
            </w:r>
          </w:p>
        </w:tc>
      </w:tr>
      <w:tr>
        <w:trPr>
          <w:trHeight w:val="278"/>
        </w:trPr>
        <w:tc>
          <w:tcPr>
            <w:tcW w:w="6560" w:type="dxa"/>
            <w:vAlign w:val="bottom"/>
            <w:gridSpan w:val="3"/>
          </w:tcPr>
          <w:p>
            <w:pPr>
              <w:ind w:left="120"/>
              <w:spacing w:after="0"/>
              <w:rPr>
                <w:sz w:val="20"/>
                <w:szCs w:val="20"/>
                <w:color w:val="auto"/>
              </w:rPr>
            </w:pPr>
            <w:r>
              <w:rPr>
                <w:rFonts w:ascii="Arial" w:cs="Arial" w:eastAsia="Arial" w:hAnsi="Arial"/>
                <w:sz w:val="18"/>
                <w:szCs w:val="18"/>
                <w:color w:val="auto"/>
              </w:rPr>
              <w:t>Noninterest-bearing</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196,377</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213,719</w:t>
            </w:r>
          </w:p>
        </w:tc>
      </w:tr>
      <w:tr>
        <w:trPr>
          <w:trHeight w:val="46"/>
        </w:trPr>
        <w:tc>
          <w:tcPr>
            <w:tcW w:w="7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656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Total deposits</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1,183,848</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1,204,524</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Short-term borrowings</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44,000</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61,000</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Long-term borrowings</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14,074</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27,068</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Subordinated debt</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30,155</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30,107</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Accrued interest payable</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424</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546</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Operating lease liabilities</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1,304</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1,591</w:t>
            </w:r>
          </w:p>
        </w:tc>
      </w:tr>
      <w:tr>
        <w:trPr>
          <w:trHeight w:val="36"/>
        </w:trPr>
        <w:tc>
          <w:tcPr>
            <w:tcW w:w="7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6560" w:type="dxa"/>
            <w:vAlign w:val="bottom"/>
            <w:tcBorders>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Finance lease liabilities</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16,390</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16,745</w:t>
            </w:r>
          </w:p>
        </w:tc>
      </w:tr>
      <w:tr>
        <w:trPr>
          <w:trHeight w:val="27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Other liabilities</w:t>
            </w:r>
          </w:p>
        </w:tc>
        <w:tc>
          <w:tcPr>
            <w:tcW w:w="6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13,990</w:t>
            </w:r>
          </w:p>
        </w:tc>
        <w:tc>
          <w:tcPr>
            <w:tcW w:w="3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11,810</w:t>
            </w:r>
          </w:p>
        </w:tc>
      </w:tr>
      <w:tr>
        <w:trPr>
          <w:trHeight w:val="46"/>
        </w:trPr>
        <w:tc>
          <w:tcPr>
            <w:tcW w:w="7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656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Total liabilities</w:t>
            </w:r>
          </w:p>
        </w:tc>
        <w:tc>
          <w:tcPr>
            <w:tcW w:w="6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1,304,185</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1,353,391</w:t>
            </w:r>
          </w:p>
        </w:tc>
      </w:tr>
      <w:tr>
        <w:trPr>
          <w:trHeight w:val="248"/>
        </w:trPr>
        <w:tc>
          <w:tcPr>
            <w:tcW w:w="6560" w:type="dxa"/>
            <w:vAlign w:val="bottom"/>
            <w:gridSpan w:val="3"/>
          </w:tcPr>
          <w:p>
            <w:pPr>
              <w:ind w:left="60"/>
              <w:spacing w:after="0"/>
              <w:rPr>
                <w:sz w:val="20"/>
                <w:szCs w:val="20"/>
                <w:color w:val="auto"/>
              </w:rPr>
            </w:pPr>
            <w:r>
              <w:rPr>
                <w:rFonts w:ascii="Arial" w:cs="Arial" w:eastAsia="Arial" w:hAnsi="Arial"/>
                <w:sz w:val="18"/>
                <w:szCs w:val="18"/>
                <w:color w:val="auto"/>
              </w:rPr>
              <w:t>Shareholders' equity:</w:t>
            </w: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-7550785</wp:posOffset>
            </wp:positionV>
            <wp:extent cx="596773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-6964045</wp:posOffset>
            </wp:positionV>
            <wp:extent cx="596773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-6758305</wp:posOffset>
            </wp:positionV>
            <wp:extent cx="596773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-5163820</wp:posOffset>
            </wp:positionV>
            <wp:extent cx="596773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-4958080</wp:posOffset>
            </wp:positionV>
            <wp:extent cx="596773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-3154680</wp:posOffset>
            </wp:positionV>
            <wp:extent cx="596773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-2948940</wp:posOffset>
            </wp:positionV>
            <wp:extent cx="5967730" cy="285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-1979295</wp:posOffset>
            </wp:positionV>
            <wp:extent cx="596773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-1772920</wp:posOffset>
            </wp:positionV>
            <wp:extent cx="596773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-369570</wp:posOffset>
            </wp:positionV>
            <wp:extent cx="596773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596773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26</w:t>
      </w:r>
    </w:p>
    <w:p>
      <w:pPr>
        <w:sectPr>
          <w:pgSz w:w="11900" w:h="16838" w:orient="portrait"/>
          <w:cols w:equalWidth="0" w:num="1">
            <w:col w:w="9400"/>
          </w:cols>
          <w:pgMar w:left="1260" w:top="1440" w:right="1246" w:bottom="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70"/>
        </w:trPr>
        <w:tc>
          <w:tcPr>
            <w:tcW w:w="8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Voting common stock, par value $0.01; 25,000,000 authorized shares; 4,805,361 and</w:t>
            </w:r>
          </w:p>
        </w:tc>
        <w:tc>
          <w:tcPr>
            <w:tcW w:w="28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r>
      <w:tr>
        <w:trPr>
          <w:trHeight w:val="300"/>
        </w:trPr>
        <w:tc>
          <w:tcPr>
            <w:tcW w:w="5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4,745,366 shares</w:t>
            </w:r>
          </w:p>
        </w:tc>
        <w:tc>
          <w:tcPr>
            <w:tcW w:w="27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325"/>
        </w:trPr>
        <w:tc>
          <w:tcPr>
            <w:tcW w:w="5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issued and outstanding, respectively</w:t>
            </w:r>
          </w:p>
        </w:tc>
        <w:tc>
          <w:tcPr>
            <w:tcW w:w="27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r>
      <w:tr>
        <w:trPr>
          <w:trHeight w:val="270"/>
        </w:trPr>
        <w:tc>
          <w:tcPr>
            <w:tcW w:w="5440" w:type="dxa"/>
            <w:vAlign w:val="bottom"/>
          </w:tcPr>
          <w:p>
            <w:pPr>
              <w:ind w:left="60"/>
              <w:spacing w:after="0"/>
              <w:rPr>
                <w:sz w:val="20"/>
                <w:szCs w:val="20"/>
                <w:color w:val="auto"/>
              </w:rPr>
            </w:pPr>
            <w:r>
              <w:rPr>
                <w:rFonts w:ascii="Arial" w:cs="Arial" w:eastAsia="Arial" w:hAnsi="Arial"/>
                <w:sz w:val="18"/>
                <w:szCs w:val="18"/>
                <w:color w:val="auto"/>
                <w:w w:val="91"/>
              </w:rPr>
              <w:t>Non-Voting common stock, par value $0.01; 1,505,283 authorized shares;</w:t>
            </w:r>
          </w:p>
        </w:tc>
        <w:tc>
          <w:tcPr>
            <w:tcW w:w="2740" w:type="dxa"/>
            <w:vAlign w:val="bottom"/>
          </w:tcPr>
          <w:p>
            <w:pPr>
              <w:jc w:val="right"/>
              <w:ind w:right="1390"/>
              <w:spacing w:after="0"/>
              <w:rPr>
                <w:sz w:val="20"/>
                <w:szCs w:val="20"/>
                <w:color w:val="auto"/>
              </w:rPr>
            </w:pPr>
            <w:r>
              <w:rPr>
                <w:rFonts w:ascii="Arial" w:cs="Arial" w:eastAsia="Arial" w:hAnsi="Arial"/>
                <w:sz w:val="18"/>
                <w:szCs w:val="18"/>
                <w:color w:val="auto"/>
                <w:w w:val="89"/>
              </w:rPr>
              <w:t>1,380,283 shares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00"/>
        </w:trPr>
        <w:tc>
          <w:tcPr>
            <w:tcW w:w="5440" w:type="dxa"/>
            <w:vAlign w:val="bottom"/>
          </w:tcPr>
          <w:p>
            <w:pPr>
              <w:ind w:left="200"/>
              <w:spacing w:after="0"/>
              <w:rPr>
                <w:sz w:val="20"/>
                <w:szCs w:val="20"/>
                <w:color w:val="auto"/>
              </w:rPr>
            </w:pPr>
            <w:r>
              <w:rPr>
                <w:rFonts w:ascii="Arial" w:cs="Arial" w:eastAsia="Arial" w:hAnsi="Arial"/>
                <w:sz w:val="18"/>
                <w:szCs w:val="18"/>
                <w:color w:val="auto"/>
              </w:rPr>
              <w:t>issued and outstanding, respectively</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45"/>
        </w:trPr>
        <w:tc>
          <w:tcPr>
            <w:tcW w:w="54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5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Additional paid in capital</w:t>
            </w:r>
          </w:p>
        </w:tc>
        <w:tc>
          <w:tcPr>
            <w:tcW w:w="27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54,390</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52,750</w:t>
            </w:r>
          </w:p>
        </w:tc>
      </w:tr>
      <w:tr>
        <w:trPr>
          <w:trHeight w:val="278"/>
        </w:trPr>
        <w:tc>
          <w:tcPr>
            <w:tcW w:w="5440" w:type="dxa"/>
            <w:vAlign w:val="bottom"/>
          </w:tcPr>
          <w:p>
            <w:pPr>
              <w:ind w:left="60"/>
              <w:spacing w:after="0"/>
              <w:rPr>
                <w:sz w:val="20"/>
                <w:szCs w:val="20"/>
                <w:color w:val="auto"/>
              </w:rPr>
            </w:pPr>
            <w:r>
              <w:rPr>
                <w:rFonts w:ascii="Arial" w:cs="Arial" w:eastAsia="Arial" w:hAnsi="Arial"/>
                <w:sz w:val="18"/>
                <w:szCs w:val="18"/>
                <w:color w:val="auto"/>
              </w:rPr>
              <w:t>Retained earnings</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73,366</w:t>
            </w:r>
          </w:p>
        </w:tc>
        <w:tc>
          <w:tcPr>
            <w:tcW w:w="2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77,816</w:t>
            </w:r>
          </w:p>
        </w:tc>
      </w:tr>
      <w:tr>
        <w:trPr>
          <w:trHeight w:val="36"/>
        </w:trPr>
        <w:tc>
          <w:tcPr>
            <w:tcW w:w="54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04"/>
        </w:trPr>
        <w:tc>
          <w:tcPr>
            <w:tcW w:w="5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Accumulated other comprehensive loss</w:t>
            </w:r>
          </w:p>
        </w:tc>
        <w:tc>
          <w:tcPr>
            <w:tcW w:w="2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(5,367)</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(9,144)</w:t>
            </w:r>
          </w:p>
        </w:tc>
      </w:tr>
      <w:tr>
        <w:trPr>
          <w:trHeight w:val="278"/>
        </w:trPr>
        <w:tc>
          <w:tcPr>
            <w:tcW w:w="5440" w:type="dxa"/>
            <w:vAlign w:val="bottom"/>
          </w:tcPr>
          <w:p>
            <w:pPr>
              <w:ind w:left="60"/>
              <w:spacing w:after="0"/>
              <w:rPr>
                <w:sz w:val="20"/>
                <w:szCs w:val="20"/>
                <w:color w:val="auto"/>
              </w:rPr>
            </w:pPr>
            <w:r>
              <w:rPr>
                <w:rFonts w:ascii="Arial" w:cs="Arial" w:eastAsia="Arial" w:hAnsi="Arial"/>
                <w:sz w:val="18"/>
                <w:szCs w:val="18"/>
                <w:color w:val="auto"/>
              </w:rPr>
              <w:t>Total Pathfinder Bancorp, Inc. shareholders' equity</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122,451</w:t>
            </w:r>
          </w:p>
        </w:tc>
        <w:tc>
          <w:tcPr>
            <w:tcW w:w="2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121,483</w:t>
            </w:r>
          </w:p>
        </w:tc>
      </w:tr>
      <w:tr>
        <w:trPr>
          <w:trHeight w:val="46"/>
        </w:trPr>
        <w:tc>
          <w:tcPr>
            <w:tcW w:w="54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8"/>
        </w:trPr>
        <w:tc>
          <w:tcPr>
            <w:tcW w:w="5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2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  1,426,636</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1,474,874</w:t>
            </w:r>
          </w:p>
        </w:tc>
      </w:tr>
      <w:tr>
        <w:trPr>
          <w:trHeight w:val="81"/>
        </w:trPr>
        <w:tc>
          <w:tcPr>
            <w:tcW w:w="5440" w:type="dxa"/>
            <w:vAlign w:val="bottom"/>
            <w:shd w:val="clear" w:color="auto" w:fill="CFF0FC"/>
          </w:tcPr>
          <w:p>
            <w:pPr>
              <w:spacing w:after="0"/>
              <w:rPr>
                <w:sz w:val="7"/>
                <w:szCs w:val="7"/>
                <w:color w:val="auto"/>
              </w:rPr>
            </w:pPr>
          </w:p>
        </w:tc>
        <w:tc>
          <w:tcPr>
            <w:tcW w:w="27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-440055</wp:posOffset>
            </wp:positionV>
            <wp:extent cx="596773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26</w:t>
      </w:r>
    </w:p>
    <w:p>
      <w:pPr>
        <w:sectPr>
          <w:pgSz w:w="11900" w:h="16838" w:orient="portrait"/>
          <w:cols w:equalWidth="0" w:num="1">
            <w:col w:w="9400"/>
          </w:cols>
          <w:pgMar w:left="1260" w:top="1133" w:right="1246" w:bottom="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Pathfinder Bancorp, Inc.</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Income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980" w:type="dxa"/>
            <w:vAlign w:val="bottom"/>
            <w:gridSpan w:val="3"/>
          </w:tcPr>
          <w:p>
            <w:pPr>
              <w:jc w:val="right"/>
              <w:ind w:right="920"/>
              <w:spacing w:after="0"/>
              <w:rPr>
                <w:sz w:val="20"/>
                <w:szCs w:val="20"/>
                <w:color w:val="auto"/>
              </w:rPr>
            </w:pPr>
            <w:r>
              <w:rPr>
                <w:rFonts w:ascii="Arial" w:cs="Arial" w:eastAsia="Arial" w:hAnsi="Arial"/>
                <w:sz w:val="16"/>
                <w:szCs w:val="16"/>
                <w:color w:val="auto"/>
              </w:rPr>
              <w:t>For the year ended</w:t>
            </w:r>
          </w:p>
        </w:tc>
      </w:tr>
      <w:tr>
        <w:trPr>
          <w:trHeight w:val="264"/>
        </w:trPr>
        <w:tc>
          <w:tcPr>
            <w:tcW w:w="4360" w:type="dxa"/>
            <w:vAlign w:val="bottom"/>
          </w:tcPr>
          <w:p>
            <w:pPr>
              <w:spacing w:after="0"/>
              <w:rPr>
                <w:sz w:val="20"/>
                <w:szCs w:val="20"/>
                <w:color w:val="auto"/>
              </w:rPr>
            </w:pPr>
            <w:r>
              <w:rPr>
                <w:rFonts w:ascii="Arial" w:cs="Arial" w:eastAsia="Arial" w:hAnsi="Arial"/>
                <w:sz w:val="16"/>
                <w:szCs w:val="16"/>
                <w:i w:val="1"/>
                <w:iCs w:val="1"/>
                <w:color w:val="auto"/>
              </w:rPr>
              <w:t>(In thousands, except per share data)</w:t>
            </w:r>
          </w:p>
        </w:tc>
        <w:tc>
          <w:tcPr>
            <w:tcW w:w="2060" w:type="dxa"/>
            <w:vAlign w:val="bottom"/>
          </w:tcPr>
          <w:p>
            <w:pPr>
              <w:spacing w:after="0"/>
              <w:rPr>
                <w:sz w:val="22"/>
                <w:szCs w:val="22"/>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w w:val="88"/>
              </w:rPr>
              <w:t>December 31, 2025</w:t>
            </w:r>
          </w:p>
        </w:tc>
        <w:tc>
          <w:tcPr>
            <w:tcW w:w="220" w:type="dxa"/>
            <w:vAlign w:val="bottom"/>
          </w:tcPr>
          <w:p>
            <w:pPr>
              <w:spacing w:after="0"/>
              <w:rPr>
                <w:sz w:val="22"/>
                <w:szCs w:val="22"/>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w w:val="88"/>
              </w:rPr>
              <w:t>December 31, 2024</w:t>
            </w:r>
          </w:p>
        </w:tc>
      </w:tr>
      <w:tr>
        <w:trPr>
          <w:trHeight w:val="42"/>
        </w:trPr>
        <w:tc>
          <w:tcPr>
            <w:tcW w:w="43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34"/>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Interest and dividend income:</w:t>
            </w:r>
          </w:p>
        </w:tc>
        <w:tc>
          <w:tcPr>
            <w:tcW w:w="206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r>
      <w:tr>
        <w:trPr>
          <w:trHeight w:val="282"/>
        </w:trPr>
        <w:tc>
          <w:tcPr>
            <w:tcW w:w="4360" w:type="dxa"/>
            <w:vAlign w:val="bottom"/>
          </w:tcPr>
          <w:p>
            <w:pPr>
              <w:spacing w:after="0"/>
              <w:rPr>
                <w:sz w:val="20"/>
                <w:szCs w:val="20"/>
                <w:color w:val="auto"/>
              </w:rPr>
            </w:pPr>
            <w:r>
              <w:rPr>
                <w:rFonts w:ascii="Arial" w:cs="Arial" w:eastAsia="Arial" w:hAnsi="Arial"/>
                <w:sz w:val="16"/>
                <w:szCs w:val="16"/>
                <w:color w:val="auto"/>
              </w:rPr>
              <w:t>Loans, including fees</w:t>
            </w: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53,560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52,705</w:t>
            </w:r>
          </w:p>
        </w:tc>
      </w:tr>
      <w:tr>
        <w:trPr>
          <w:trHeight w:val="32"/>
        </w:trPr>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2"/>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w:t>
            </w:r>
          </w:p>
        </w:tc>
        <w:tc>
          <w:tcPr>
            <w:tcW w:w="20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32"/>
        </w:trPr>
        <w:tc>
          <w:tcPr>
            <w:tcW w:w="4360" w:type="dxa"/>
            <w:vAlign w:val="bottom"/>
            <w:shd w:val="clear" w:color="auto" w:fill="CFF0FC"/>
          </w:tcPr>
          <w:p>
            <w:pPr>
              <w:spacing w:after="0"/>
              <w:rPr>
                <w:sz w:val="2"/>
                <w:szCs w:val="2"/>
                <w:color w:val="auto"/>
              </w:rPr>
            </w:pPr>
          </w:p>
        </w:tc>
        <w:tc>
          <w:tcPr>
            <w:tcW w:w="206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-696595</wp:posOffset>
            </wp:positionV>
            <wp:extent cx="194500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4500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-528320</wp:posOffset>
            </wp:positionV>
            <wp:extent cx="596773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Tax-exempt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Federal funds sold and interest earning deposits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67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7730" cy="16764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Interest on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Interest on short-term borrowings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Interest on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Interest on subordinated debt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interest income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(benefit from)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Loans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Held-to-maturity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05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Unfunded commitments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120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7730" cy="212090"/>
                    </a:xfrm>
                    <a:prstGeom prst="rect">
                      <a:avLst/>
                    </a:prstGeom>
                    <a:noFill/>
                  </pic:spPr>
                </pic:pic>
              </a:graphicData>
            </a:graphic>
          </wp:anchor>
        </w:drawing>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Net interest income after provision for credit losses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Service charges on deposit accounts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Earnings and gain on bank owned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Loan servicing fees</w:t>
      </w:r>
    </w:p>
    <w:p>
      <w:pPr>
        <w:spacing w:after="0" w:line="138" w:lineRule="exact"/>
        <w:rPr>
          <w:sz w:val="20"/>
          <w:szCs w:val="20"/>
          <w:color w:val="auto"/>
        </w:rPr>
      </w:pPr>
    </w:p>
    <w:p>
      <w:pPr>
        <w:ind w:right="2880"/>
        <w:spacing w:after="0" w:line="400" w:lineRule="auto"/>
        <w:rPr>
          <w:sz w:val="20"/>
          <w:szCs w:val="20"/>
          <w:color w:val="auto"/>
        </w:rPr>
      </w:pPr>
      <w:r>
        <w:rPr>
          <w:rFonts w:ascii="Arial" w:cs="Arial" w:eastAsia="Arial" w:hAnsi="Arial"/>
          <w:sz w:val="16"/>
          <w:szCs w:val="16"/>
          <w:color w:val="auto"/>
        </w:rPr>
        <w:t>Losses on sales and redemptions of investment securities (Loss) gain on asset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5967730" cy="1993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Net unrealized gains on marketable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1993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Gains on sales of loans and foreclosed real estate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Fair value adjustment to loans held-for-sale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Losses on sale of premises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Debit card interchange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Insurance agency revenue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Other charges, commissions &amp;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120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7730" cy="212090"/>
                    </a:xfrm>
                    <a:prstGeom prst="rect">
                      <a:avLst/>
                    </a:prstGeom>
                    <a:noFill/>
                  </pic:spPr>
                </pic:pic>
              </a:graphicData>
            </a:graphic>
          </wp:anchor>
        </w:drawing>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noninterest income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Salaries and employee benefits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Building and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Data processing</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Professional and other services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jc w:val="right"/>
              <w:ind w:right="540"/>
              <w:spacing w:after="0"/>
              <w:rPr>
                <w:sz w:val="20"/>
                <w:szCs w:val="20"/>
                <w:color w:val="auto"/>
              </w:rPr>
            </w:pPr>
            <w:r>
              <w:rPr>
                <w:rFonts w:ascii="Arial" w:cs="Arial" w:eastAsia="Arial" w:hAnsi="Arial"/>
                <w:sz w:val="16"/>
                <w:szCs w:val="16"/>
                <w:color w:val="auto"/>
                <w:w w:val="85"/>
              </w:rPr>
              <w:t>20,695</w:t>
            </w:r>
          </w:p>
        </w:tc>
        <w:tc>
          <w:tcPr>
            <w:tcW w:w="1060" w:type="dxa"/>
            <w:vAlign w:val="bottom"/>
          </w:tcPr>
          <w:p>
            <w:pPr>
              <w:jc w:val="right"/>
              <w:spacing w:after="0"/>
              <w:rPr>
                <w:sz w:val="20"/>
                <w:szCs w:val="20"/>
                <w:color w:val="auto"/>
              </w:rPr>
            </w:pPr>
            <w:r>
              <w:rPr>
                <w:rFonts w:ascii="Arial" w:cs="Arial" w:eastAsia="Arial" w:hAnsi="Arial"/>
                <w:sz w:val="16"/>
                <w:szCs w:val="16"/>
                <w:color w:val="auto"/>
              </w:rPr>
              <w:t>22,319</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1,707</w:t>
            </w:r>
          </w:p>
        </w:tc>
        <w:tc>
          <w:tcPr>
            <w:tcW w:w="1060" w:type="dxa"/>
            <w:vAlign w:val="bottom"/>
          </w:tcPr>
          <w:p>
            <w:pPr>
              <w:jc w:val="right"/>
              <w:spacing w:after="0"/>
              <w:rPr>
                <w:sz w:val="20"/>
                <w:szCs w:val="20"/>
                <w:color w:val="auto"/>
              </w:rPr>
            </w:pPr>
            <w:r>
              <w:rPr>
                <w:rFonts w:ascii="Arial" w:cs="Arial" w:eastAsia="Arial" w:hAnsi="Arial"/>
                <w:sz w:val="16"/>
                <w:szCs w:val="16"/>
                <w:color w:val="auto"/>
              </w:rPr>
              <w:t>1,920</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241</w:t>
            </w:r>
          </w:p>
        </w:tc>
        <w:tc>
          <w:tcPr>
            <w:tcW w:w="106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450</w:t>
            </w:r>
          </w:p>
        </w:tc>
        <w:tc>
          <w:tcPr>
            <w:tcW w:w="1060" w:type="dxa"/>
            <w:vAlign w:val="bottom"/>
          </w:tcPr>
          <w:p>
            <w:pPr>
              <w:jc w:val="right"/>
              <w:spacing w:after="0"/>
              <w:rPr>
                <w:sz w:val="20"/>
                <w:szCs w:val="20"/>
                <w:color w:val="auto"/>
              </w:rPr>
            </w:pPr>
            <w:r>
              <w:rPr>
                <w:rFonts w:ascii="Arial" w:cs="Arial" w:eastAsia="Arial" w:hAnsi="Arial"/>
                <w:sz w:val="16"/>
                <w:szCs w:val="16"/>
                <w:color w:val="auto"/>
              </w:rPr>
              <w:t>793</w:t>
            </w:r>
          </w:p>
        </w:tc>
      </w:tr>
      <w:tr>
        <w:trPr>
          <w:trHeight w:val="324"/>
        </w:trPr>
        <w:tc>
          <w:tcPr>
            <w:tcW w:w="1060" w:type="dxa"/>
            <w:vAlign w:val="bottom"/>
          </w:tcPr>
          <w:p>
            <w:pPr>
              <w:jc w:val="right"/>
              <w:ind w:right="540"/>
              <w:spacing w:after="0"/>
              <w:rPr>
                <w:sz w:val="20"/>
                <w:szCs w:val="20"/>
                <w:color w:val="auto"/>
              </w:rPr>
            </w:pPr>
            <w:r>
              <w:rPr>
                <w:rFonts w:ascii="Arial" w:cs="Arial" w:eastAsia="Arial" w:hAnsi="Arial"/>
                <w:sz w:val="16"/>
                <w:szCs w:val="16"/>
                <w:color w:val="auto"/>
                <w:w w:val="85"/>
              </w:rPr>
              <w:t>76,653</w:t>
            </w:r>
          </w:p>
        </w:tc>
        <w:tc>
          <w:tcPr>
            <w:tcW w:w="1060" w:type="dxa"/>
            <w:vAlign w:val="bottom"/>
          </w:tcPr>
          <w:p>
            <w:pPr>
              <w:jc w:val="right"/>
              <w:spacing w:after="0"/>
              <w:rPr>
                <w:sz w:val="20"/>
                <w:szCs w:val="20"/>
                <w:color w:val="auto"/>
              </w:rPr>
            </w:pPr>
            <w:r>
              <w:rPr>
                <w:rFonts w:ascii="Arial" w:cs="Arial" w:eastAsia="Arial" w:hAnsi="Arial"/>
                <w:sz w:val="16"/>
                <w:szCs w:val="16"/>
                <w:color w:val="auto"/>
              </w:rPr>
              <w:t>78,357</w:t>
            </w:r>
          </w:p>
        </w:tc>
      </w:tr>
      <w:tr>
        <w:trPr>
          <w:trHeight w:val="579"/>
        </w:trPr>
        <w:tc>
          <w:tcPr>
            <w:tcW w:w="1060" w:type="dxa"/>
            <w:vAlign w:val="bottom"/>
          </w:tcPr>
          <w:p>
            <w:pPr>
              <w:jc w:val="right"/>
              <w:ind w:right="540"/>
              <w:spacing w:after="0"/>
              <w:rPr>
                <w:sz w:val="20"/>
                <w:szCs w:val="20"/>
                <w:color w:val="auto"/>
              </w:rPr>
            </w:pPr>
            <w:r>
              <w:rPr>
                <w:rFonts w:ascii="Arial" w:cs="Arial" w:eastAsia="Arial" w:hAnsi="Arial"/>
                <w:sz w:val="16"/>
                <w:szCs w:val="16"/>
                <w:color w:val="auto"/>
                <w:w w:val="85"/>
              </w:rPr>
              <w:t>27,988</w:t>
            </w:r>
          </w:p>
        </w:tc>
        <w:tc>
          <w:tcPr>
            <w:tcW w:w="1060" w:type="dxa"/>
            <w:vAlign w:val="bottom"/>
          </w:tcPr>
          <w:p>
            <w:pPr>
              <w:jc w:val="right"/>
              <w:spacing w:after="0"/>
              <w:rPr>
                <w:sz w:val="20"/>
                <w:szCs w:val="20"/>
                <w:color w:val="auto"/>
              </w:rPr>
            </w:pPr>
            <w:r>
              <w:rPr>
                <w:rFonts w:ascii="Arial" w:cs="Arial" w:eastAsia="Arial" w:hAnsi="Arial"/>
                <w:sz w:val="16"/>
                <w:szCs w:val="16"/>
                <w:color w:val="auto"/>
              </w:rPr>
              <w:t>30,493</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1,971</w:t>
            </w:r>
          </w:p>
        </w:tc>
        <w:tc>
          <w:tcPr>
            <w:tcW w:w="1060" w:type="dxa"/>
            <w:vAlign w:val="bottom"/>
          </w:tcPr>
          <w:p>
            <w:pPr>
              <w:jc w:val="right"/>
              <w:spacing w:after="0"/>
              <w:rPr>
                <w:sz w:val="20"/>
                <w:szCs w:val="20"/>
                <w:color w:val="auto"/>
              </w:rPr>
            </w:pPr>
            <w:r>
              <w:rPr>
                <w:rFonts w:ascii="Arial" w:cs="Arial" w:eastAsia="Arial" w:hAnsi="Arial"/>
                <w:sz w:val="16"/>
                <w:szCs w:val="16"/>
                <w:color w:val="auto"/>
              </w:rPr>
              <w:t>4,176</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387</w:t>
            </w:r>
          </w:p>
        </w:tc>
        <w:tc>
          <w:tcPr>
            <w:tcW w:w="106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1,972</w:t>
            </w:r>
          </w:p>
        </w:tc>
        <w:tc>
          <w:tcPr>
            <w:tcW w:w="1060" w:type="dxa"/>
            <w:vAlign w:val="bottom"/>
          </w:tcPr>
          <w:p>
            <w:pPr>
              <w:jc w:val="right"/>
              <w:spacing w:after="0"/>
              <w:rPr>
                <w:sz w:val="20"/>
                <w:szCs w:val="20"/>
                <w:color w:val="auto"/>
              </w:rPr>
            </w:pPr>
            <w:r>
              <w:rPr>
                <w:rFonts w:ascii="Arial" w:cs="Arial" w:eastAsia="Arial" w:hAnsi="Arial"/>
                <w:sz w:val="16"/>
                <w:szCs w:val="16"/>
                <w:color w:val="auto"/>
              </w:rPr>
              <w:t>1,966</w:t>
            </w:r>
          </w:p>
        </w:tc>
      </w:tr>
      <w:tr>
        <w:trPr>
          <w:trHeight w:val="324"/>
        </w:trPr>
        <w:tc>
          <w:tcPr>
            <w:tcW w:w="1060" w:type="dxa"/>
            <w:vAlign w:val="bottom"/>
          </w:tcPr>
          <w:p>
            <w:pPr>
              <w:jc w:val="right"/>
              <w:ind w:right="540"/>
              <w:spacing w:after="0"/>
              <w:rPr>
                <w:sz w:val="20"/>
                <w:szCs w:val="20"/>
                <w:color w:val="auto"/>
              </w:rPr>
            </w:pPr>
            <w:r>
              <w:rPr>
                <w:rFonts w:ascii="Arial" w:cs="Arial" w:eastAsia="Arial" w:hAnsi="Arial"/>
                <w:sz w:val="16"/>
                <w:szCs w:val="16"/>
                <w:color w:val="auto"/>
                <w:w w:val="85"/>
              </w:rPr>
              <w:t>32,318</w:t>
            </w:r>
          </w:p>
        </w:tc>
        <w:tc>
          <w:tcPr>
            <w:tcW w:w="1060" w:type="dxa"/>
            <w:vAlign w:val="bottom"/>
          </w:tcPr>
          <w:p>
            <w:pPr>
              <w:jc w:val="right"/>
              <w:spacing w:after="0"/>
              <w:rPr>
                <w:sz w:val="20"/>
                <w:szCs w:val="20"/>
                <w:color w:val="auto"/>
              </w:rPr>
            </w:pPr>
            <w:r>
              <w:rPr>
                <w:rFonts w:ascii="Arial" w:cs="Arial" w:eastAsia="Arial" w:hAnsi="Arial"/>
                <w:sz w:val="16"/>
                <w:szCs w:val="16"/>
                <w:color w:val="auto"/>
              </w:rPr>
              <w:t>37,368</w:t>
            </w:r>
          </w:p>
        </w:tc>
      </w:tr>
      <w:tr>
        <w:trPr>
          <w:trHeight w:val="324"/>
        </w:trPr>
        <w:tc>
          <w:tcPr>
            <w:tcW w:w="1060" w:type="dxa"/>
            <w:vAlign w:val="bottom"/>
          </w:tcPr>
          <w:p>
            <w:pPr>
              <w:jc w:val="right"/>
              <w:ind w:right="540"/>
              <w:spacing w:after="0"/>
              <w:rPr>
                <w:sz w:val="20"/>
                <w:szCs w:val="20"/>
                <w:color w:val="auto"/>
              </w:rPr>
            </w:pPr>
            <w:r>
              <w:rPr>
                <w:rFonts w:ascii="Arial" w:cs="Arial" w:eastAsia="Arial" w:hAnsi="Arial"/>
                <w:sz w:val="16"/>
                <w:szCs w:val="16"/>
                <w:color w:val="auto"/>
                <w:w w:val="85"/>
              </w:rPr>
              <w:t>44,335</w:t>
            </w:r>
          </w:p>
        </w:tc>
        <w:tc>
          <w:tcPr>
            <w:tcW w:w="1060" w:type="dxa"/>
            <w:vAlign w:val="bottom"/>
          </w:tcPr>
          <w:p>
            <w:pPr>
              <w:jc w:val="right"/>
              <w:spacing w:after="0"/>
              <w:rPr>
                <w:sz w:val="20"/>
                <w:szCs w:val="20"/>
                <w:color w:val="auto"/>
              </w:rPr>
            </w:pPr>
            <w:r>
              <w:rPr>
                <w:rFonts w:ascii="Arial" w:cs="Arial" w:eastAsia="Arial" w:hAnsi="Arial"/>
                <w:sz w:val="16"/>
                <w:szCs w:val="16"/>
                <w:color w:val="auto"/>
              </w:rPr>
              <w:t>40,989</w:t>
            </w:r>
          </w:p>
        </w:tc>
      </w:tr>
      <w:tr>
        <w:trPr>
          <w:trHeight w:val="569"/>
        </w:trPr>
        <w:tc>
          <w:tcPr>
            <w:tcW w:w="1060" w:type="dxa"/>
            <w:vAlign w:val="bottom"/>
          </w:tcPr>
          <w:p>
            <w:pPr>
              <w:jc w:val="right"/>
              <w:ind w:right="540"/>
              <w:spacing w:after="0"/>
              <w:rPr>
                <w:sz w:val="20"/>
                <w:szCs w:val="20"/>
                <w:color w:val="auto"/>
              </w:rPr>
            </w:pPr>
            <w:r>
              <w:rPr>
                <w:rFonts w:ascii="Arial" w:cs="Arial" w:eastAsia="Arial" w:hAnsi="Arial"/>
                <w:sz w:val="16"/>
                <w:szCs w:val="16"/>
                <w:color w:val="auto"/>
                <w:w w:val="85"/>
              </w:rPr>
              <w:t>16,403</w:t>
            </w:r>
          </w:p>
        </w:tc>
        <w:tc>
          <w:tcPr>
            <w:tcW w:w="1060" w:type="dxa"/>
            <w:vAlign w:val="bottom"/>
          </w:tcPr>
          <w:p>
            <w:pPr>
              <w:jc w:val="right"/>
              <w:spacing w:after="0"/>
              <w:rPr>
                <w:sz w:val="20"/>
                <w:szCs w:val="20"/>
                <w:color w:val="auto"/>
              </w:rPr>
            </w:pPr>
            <w:r>
              <w:rPr>
                <w:rFonts w:ascii="Arial" w:cs="Arial" w:eastAsia="Arial" w:hAnsi="Arial"/>
                <w:sz w:val="16"/>
                <w:szCs w:val="16"/>
                <w:color w:val="auto"/>
              </w:rPr>
              <w:t>11,106</w:t>
            </w:r>
          </w:p>
        </w:tc>
      </w:tr>
      <w:tr>
        <w:trPr>
          <w:trHeight w:val="331"/>
        </w:trPr>
        <w:tc>
          <w:tcPr>
            <w:tcW w:w="1060" w:type="dxa"/>
            <w:vAlign w:val="bottom"/>
          </w:tcPr>
          <w:p>
            <w:pPr>
              <w:jc w:val="right"/>
              <w:ind w:right="460"/>
              <w:spacing w:after="0"/>
              <w:rPr>
                <w:sz w:val="20"/>
                <w:szCs w:val="20"/>
                <w:color w:val="auto"/>
              </w:rPr>
            </w:pPr>
            <w:r>
              <w:rPr>
                <w:rFonts w:ascii="Arial" w:cs="Arial" w:eastAsia="Arial" w:hAnsi="Arial"/>
                <w:sz w:val="16"/>
                <w:szCs w:val="16"/>
                <w:color w:val="auto"/>
              </w:rPr>
              <w:t>(81)</w:t>
            </w:r>
          </w:p>
        </w:tc>
        <w:tc>
          <w:tcPr>
            <w:tcW w:w="10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20</w:t>
            </w: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08"/>
        </w:trPr>
        <w:tc>
          <w:tcPr>
            <w:tcW w:w="1060" w:type="dxa"/>
            <w:vAlign w:val="bottom"/>
          </w:tcPr>
          <w:p>
            <w:pPr>
              <w:jc w:val="right"/>
              <w:ind w:right="540"/>
              <w:spacing w:after="0"/>
              <w:rPr>
                <w:sz w:val="20"/>
                <w:szCs w:val="20"/>
                <w:color w:val="auto"/>
              </w:rPr>
            </w:pPr>
            <w:r>
              <w:rPr>
                <w:rFonts w:ascii="Arial" w:cs="Arial" w:eastAsia="Arial" w:hAnsi="Arial"/>
                <w:sz w:val="16"/>
                <w:szCs w:val="16"/>
                <w:color w:val="auto"/>
                <w:w w:val="85"/>
              </w:rPr>
              <w:t>16,342</w:t>
            </w:r>
          </w:p>
        </w:tc>
        <w:tc>
          <w:tcPr>
            <w:tcW w:w="1060" w:type="dxa"/>
            <w:vAlign w:val="bottom"/>
          </w:tcPr>
          <w:p>
            <w:pPr>
              <w:jc w:val="right"/>
              <w:spacing w:after="0"/>
              <w:rPr>
                <w:sz w:val="20"/>
                <w:szCs w:val="20"/>
                <w:color w:val="auto"/>
              </w:rPr>
            </w:pPr>
            <w:r>
              <w:rPr>
                <w:rFonts w:ascii="Arial" w:cs="Arial" w:eastAsia="Arial" w:hAnsi="Arial"/>
                <w:sz w:val="16"/>
                <w:szCs w:val="16"/>
                <w:color w:val="auto"/>
              </w:rPr>
              <w:t>10,973</w:t>
            </w:r>
          </w:p>
        </w:tc>
      </w:tr>
      <w:tr>
        <w:trPr>
          <w:trHeight w:val="324"/>
        </w:trPr>
        <w:tc>
          <w:tcPr>
            <w:tcW w:w="1060" w:type="dxa"/>
            <w:vAlign w:val="bottom"/>
          </w:tcPr>
          <w:p>
            <w:pPr>
              <w:jc w:val="right"/>
              <w:ind w:right="540"/>
              <w:spacing w:after="0"/>
              <w:rPr>
                <w:sz w:val="20"/>
                <w:szCs w:val="20"/>
                <w:color w:val="auto"/>
              </w:rPr>
            </w:pPr>
            <w:r>
              <w:rPr>
                <w:rFonts w:ascii="Arial" w:cs="Arial" w:eastAsia="Arial" w:hAnsi="Arial"/>
                <w:sz w:val="16"/>
                <w:szCs w:val="16"/>
                <w:color w:val="auto"/>
                <w:w w:val="85"/>
              </w:rPr>
              <w:t>27,993</w:t>
            </w:r>
          </w:p>
        </w:tc>
        <w:tc>
          <w:tcPr>
            <w:tcW w:w="1060" w:type="dxa"/>
            <w:vAlign w:val="bottom"/>
          </w:tcPr>
          <w:p>
            <w:pPr>
              <w:jc w:val="right"/>
              <w:spacing w:after="0"/>
              <w:rPr>
                <w:sz w:val="20"/>
                <w:szCs w:val="20"/>
                <w:color w:val="auto"/>
              </w:rPr>
            </w:pPr>
            <w:r>
              <w:rPr>
                <w:rFonts w:ascii="Arial" w:cs="Arial" w:eastAsia="Arial" w:hAnsi="Arial"/>
                <w:sz w:val="16"/>
                <w:szCs w:val="16"/>
                <w:color w:val="auto"/>
              </w:rPr>
              <w:t>30,016</w:t>
            </w:r>
          </w:p>
        </w:tc>
      </w:tr>
      <w:tr>
        <w:trPr>
          <w:trHeight w:val="579"/>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1,539</w:t>
            </w:r>
          </w:p>
        </w:tc>
        <w:tc>
          <w:tcPr>
            <w:tcW w:w="1060" w:type="dxa"/>
            <w:vAlign w:val="bottom"/>
          </w:tcPr>
          <w:p>
            <w:pPr>
              <w:jc w:val="right"/>
              <w:spacing w:after="0"/>
              <w:rPr>
                <w:sz w:val="20"/>
                <w:szCs w:val="20"/>
                <w:color w:val="auto"/>
              </w:rPr>
            </w:pPr>
            <w:r>
              <w:rPr>
                <w:rFonts w:ascii="Arial" w:cs="Arial" w:eastAsia="Arial" w:hAnsi="Arial"/>
                <w:sz w:val="16"/>
                <w:szCs w:val="16"/>
                <w:color w:val="auto"/>
              </w:rPr>
              <w:t>1,436</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834</w:t>
            </w:r>
          </w:p>
        </w:tc>
        <w:tc>
          <w:tcPr>
            <w:tcW w:w="1060" w:type="dxa"/>
            <w:vAlign w:val="bottom"/>
          </w:tcPr>
          <w:p>
            <w:pPr>
              <w:jc w:val="right"/>
              <w:spacing w:after="0"/>
              <w:rPr>
                <w:sz w:val="20"/>
                <w:szCs w:val="20"/>
                <w:color w:val="auto"/>
              </w:rPr>
            </w:pPr>
            <w:r>
              <w:rPr>
                <w:rFonts w:ascii="Arial" w:cs="Arial" w:eastAsia="Arial" w:hAnsi="Arial"/>
                <w:sz w:val="16"/>
                <w:szCs w:val="16"/>
                <w:color w:val="auto"/>
              </w:rPr>
              <w:t>854</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386</w:t>
            </w:r>
          </w:p>
        </w:tc>
        <w:tc>
          <w:tcPr>
            <w:tcW w:w="106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331"/>
        </w:trPr>
        <w:tc>
          <w:tcPr>
            <w:tcW w:w="1060" w:type="dxa"/>
            <w:vAlign w:val="bottom"/>
          </w:tcPr>
          <w:p>
            <w:pPr>
              <w:jc w:val="right"/>
              <w:ind w:right="460"/>
              <w:spacing w:after="0"/>
              <w:rPr>
                <w:sz w:val="20"/>
                <w:szCs w:val="20"/>
                <w:color w:val="auto"/>
              </w:rPr>
            </w:pPr>
            <w:r>
              <w:rPr>
                <w:rFonts w:ascii="Arial" w:cs="Arial" w:eastAsia="Arial" w:hAnsi="Arial"/>
                <w:sz w:val="16"/>
                <w:szCs w:val="16"/>
                <w:color w:val="auto"/>
              </w:rPr>
              <w:t>(23)</w:t>
            </w:r>
          </w:p>
        </w:tc>
        <w:tc>
          <w:tcPr>
            <w:tcW w:w="10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14"/>
        </w:trPr>
        <w:tc>
          <w:tcPr>
            <w:tcW w:w="1060" w:type="dxa"/>
            <w:vAlign w:val="bottom"/>
          </w:tcPr>
          <w:p>
            <w:pPr>
              <w:jc w:val="right"/>
              <w:ind w:right="460"/>
              <w:spacing w:after="0"/>
              <w:rPr>
                <w:sz w:val="20"/>
                <w:szCs w:val="20"/>
                <w:color w:val="auto"/>
              </w:rPr>
            </w:pPr>
            <w:r>
              <w:rPr>
                <w:rFonts w:ascii="Arial" w:cs="Arial" w:eastAsia="Arial" w:hAnsi="Arial"/>
                <w:sz w:val="16"/>
                <w:szCs w:val="16"/>
                <w:color w:val="auto"/>
              </w:rPr>
              <w:t>(115)</w:t>
            </w:r>
          </w:p>
        </w:tc>
        <w:tc>
          <w:tcPr>
            <w:tcW w:w="1060" w:type="dxa"/>
            <w:vAlign w:val="bottom"/>
          </w:tcPr>
          <w:p>
            <w:pPr>
              <w:jc w:val="right"/>
              <w:spacing w:after="0"/>
              <w:rPr>
                <w:sz w:val="20"/>
                <w:szCs w:val="20"/>
                <w:color w:val="auto"/>
              </w:rPr>
            </w:pPr>
            <w:r>
              <w:rPr>
                <w:rFonts w:ascii="Arial" w:cs="Arial" w:eastAsia="Arial" w:hAnsi="Arial"/>
                <w:sz w:val="16"/>
                <w:szCs w:val="16"/>
                <w:color w:val="auto"/>
              </w:rPr>
              <w:t>3,169</w:t>
            </w:r>
          </w:p>
        </w:tc>
      </w:tr>
      <w:tr>
        <w:trPr>
          <w:trHeight w:val="298"/>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1,450</w:t>
            </w:r>
          </w:p>
        </w:tc>
        <w:tc>
          <w:tcPr>
            <w:tcW w:w="106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402</w:t>
            </w:r>
          </w:p>
        </w:tc>
        <w:tc>
          <w:tcPr>
            <w:tcW w:w="106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331"/>
        </w:trPr>
        <w:tc>
          <w:tcPr>
            <w:tcW w:w="1060" w:type="dxa"/>
            <w:vAlign w:val="bottom"/>
          </w:tcPr>
          <w:p>
            <w:pPr>
              <w:jc w:val="right"/>
              <w:ind w:right="460"/>
              <w:spacing w:after="0"/>
              <w:rPr>
                <w:sz w:val="20"/>
                <w:szCs w:val="20"/>
                <w:color w:val="auto"/>
              </w:rPr>
            </w:pPr>
            <w:r>
              <w:rPr>
                <w:rFonts w:ascii="Arial" w:cs="Arial" w:eastAsia="Arial" w:hAnsi="Arial"/>
                <w:sz w:val="16"/>
                <w:szCs w:val="16"/>
                <w:color w:val="auto"/>
                <w:w w:val="98"/>
              </w:rPr>
              <w:t>(3,462)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1060" w:type="dxa"/>
            <w:vAlign w:val="bottom"/>
          </w:tcPr>
          <w:p>
            <w:pPr>
              <w:jc w:val="right"/>
              <w:ind w:right="460"/>
              <w:spacing w:after="0"/>
              <w:rPr>
                <w:sz w:val="20"/>
                <w:szCs w:val="20"/>
                <w:color w:val="auto"/>
              </w:rPr>
            </w:pPr>
            <w:r>
              <w:rPr>
                <w:rFonts w:ascii="Arial" w:cs="Arial" w:eastAsia="Arial" w:hAnsi="Arial"/>
                <w:sz w:val="16"/>
                <w:szCs w:val="16"/>
                <w:color w:val="auto"/>
              </w:rPr>
              <w:t>(37)</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8"/>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510</w:t>
            </w:r>
          </w:p>
        </w:tc>
        <w:tc>
          <w:tcPr>
            <w:tcW w:w="1060" w:type="dxa"/>
            <w:vAlign w:val="bottom"/>
          </w:tcPr>
          <w:p>
            <w:pPr>
              <w:jc w:val="right"/>
              <w:spacing w:after="0"/>
              <w:rPr>
                <w:sz w:val="20"/>
                <w:szCs w:val="20"/>
                <w:color w:val="auto"/>
              </w:rPr>
            </w:pPr>
            <w:r>
              <w:rPr>
                <w:rFonts w:ascii="Arial" w:cs="Arial" w:eastAsia="Arial" w:hAnsi="Arial"/>
                <w:sz w:val="16"/>
                <w:szCs w:val="16"/>
                <w:color w:val="auto"/>
              </w:rPr>
              <w:t>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-4683760</wp:posOffset>
            </wp:positionV>
            <wp:extent cx="203327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33270" cy="635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-4683760</wp:posOffset>
            </wp:positionV>
            <wp:extent cx="203327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33270" cy="635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-3511550</wp:posOffset>
            </wp:positionV>
            <wp:extent cx="203327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033270" cy="635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-3511550</wp:posOffset>
            </wp:positionV>
            <wp:extent cx="203327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033270" cy="635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-2338705</wp:posOffset>
            </wp:positionV>
            <wp:extent cx="203327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33270" cy="635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-2338705</wp:posOffset>
            </wp:positionV>
            <wp:extent cx="203327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33270" cy="6350"/>
                    </a:xfrm>
                    <a:prstGeom prst="rect">
                      <a:avLst/>
                    </a:prstGeom>
                    <a:noFill/>
                  </pic:spPr>
                </pic:pic>
              </a:graphicData>
            </a:graphic>
          </wp:anchor>
        </w:drawing>
      </w:r>
    </w:p>
    <w:p>
      <w:pPr>
        <w:spacing w:after="0" w:line="110" w:lineRule="exact"/>
        <w:rPr>
          <w:sz w:val="20"/>
          <w:szCs w:val="20"/>
          <w:color w:val="auto"/>
        </w:rPr>
      </w:pPr>
    </w:p>
    <w:p>
      <w:pPr>
        <w:ind w:left="1680" w:hanging="1291"/>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1,073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500"/>
              <w:spacing w:after="0"/>
              <w:rPr>
                <w:sz w:val="20"/>
                <w:szCs w:val="20"/>
                <w:color w:val="auto"/>
              </w:rPr>
            </w:pPr>
            <w:r>
              <w:rPr>
                <w:rFonts w:ascii="Arial" w:cs="Arial" w:eastAsia="Arial" w:hAnsi="Arial"/>
                <w:sz w:val="16"/>
                <w:szCs w:val="16"/>
                <w:color w:val="auto"/>
              </w:rPr>
              <w:t>1,011</w:t>
            </w:r>
          </w:p>
        </w:tc>
        <w:tc>
          <w:tcPr>
            <w:tcW w:w="1020" w:type="dxa"/>
            <w:vAlign w:val="bottom"/>
          </w:tcPr>
          <w:p>
            <w:pPr>
              <w:jc w:val="right"/>
              <w:spacing w:after="0"/>
              <w:rPr>
                <w:sz w:val="20"/>
                <w:szCs w:val="20"/>
                <w:color w:val="auto"/>
              </w:rPr>
            </w:pPr>
            <w:r>
              <w:rPr>
                <w:rFonts w:ascii="Arial" w:cs="Arial" w:eastAsia="Arial" w:hAnsi="Arial"/>
                <w:sz w:val="16"/>
                <w:szCs w:val="16"/>
                <w:color w:val="auto"/>
              </w:rPr>
              <w:t>1,479</w:t>
            </w:r>
          </w:p>
        </w:tc>
      </w:tr>
      <w:tr>
        <w:trPr>
          <w:trHeight w:val="324"/>
        </w:trPr>
        <w:tc>
          <w:tcPr>
            <w:tcW w:w="1020" w:type="dxa"/>
            <w:vAlign w:val="bottom"/>
          </w:tcPr>
          <w:p>
            <w:pPr>
              <w:jc w:val="right"/>
              <w:ind w:right="500"/>
              <w:spacing w:after="0"/>
              <w:rPr>
                <w:sz w:val="20"/>
                <w:szCs w:val="20"/>
                <w:color w:val="auto"/>
              </w:rPr>
            </w:pPr>
            <w:r>
              <w:rPr>
                <w:rFonts w:ascii="Arial" w:cs="Arial" w:eastAsia="Arial" w:hAnsi="Arial"/>
                <w:sz w:val="16"/>
                <w:szCs w:val="16"/>
                <w:color w:val="auto"/>
              </w:rPr>
              <w:t>2,495</w:t>
            </w:r>
          </w:p>
        </w:tc>
        <w:tc>
          <w:tcPr>
            <w:tcW w:w="1020" w:type="dxa"/>
            <w:vAlign w:val="bottom"/>
          </w:tcPr>
          <w:p>
            <w:pPr>
              <w:jc w:val="right"/>
              <w:spacing w:after="0"/>
              <w:rPr>
                <w:sz w:val="20"/>
                <w:szCs w:val="20"/>
                <w:color w:val="auto"/>
              </w:rPr>
            </w:pPr>
            <w:r>
              <w:rPr>
                <w:rFonts w:ascii="Arial" w:cs="Arial" w:eastAsia="Arial" w:hAnsi="Arial"/>
                <w:sz w:val="16"/>
                <w:szCs w:val="16"/>
                <w:color w:val="auto"/>
              </w:rPr>
              <w:t>9,561</w:t>
            </w:r>
          </w:p>
        </w:tc>
      </w:tr>
      <w:tr>
        <w:trPr>
          <w:trHeight w:val="579"/>
        </w:trPr>
        <w:tc>
          <w:tcPr>
            <w:tcW w:w="1020" w:type="dxa"/>
            <w:vAlign w:val="bottom"/>
          </w:tcPr>
          <w:p>
            <w:pPr>
              <w:jc w:val="right"/>
              <w:ind w:right="500"/>
              <w:spacing w:after="0"/>
              <w:rPr>
                <w:sz w:val="20"/>
                <w:szCs w:val="20"/>
                <w:color w:val="auto"/>
              </w:rPr>
            </w:pPr>
            <w:r>
              <w:rPr>
                <w:rFonts w:ascii="Arial" w:cs="Arial" w:eastAsia="Arial" w:hAnsi="Arial"/>
                <w:sz w:val="16"/>
                <w:szCs w:val="16"/>
                <w:color w:val="auto"/>
                <w:w w:val="85"/>
              </w:rPr>
              <w:t>18,904</w:t>
            </w:r>
          </w:p>
        </w:tc>
        <w:tc>
          <w:tcPr>
            <w:tcW w:w="1020" w:type="dxa"/>
            <w:vAlign w:val="bottom"/>
          </w:tcPr>
          <w:p>
            <w:pPr>
              <w:jc w:val="right"/>
              <w:spacing w:after="0"/>
              <w:rPr>
                <w:sz w:val="20"/>
                <w:szCs w:val="20"/>
                <w:color w:val="auto"/>
              </w:rPr>
            </w:pPr>
            <w:r>
              <w:rPr>
                <w:rFonts w:ascii="Arial" w:cs="Arial" w:eastAsia="Arial" w:hAnsi="Arial"/>
                <w:sz w:val="16"/>
                <w:szCs w:val="16"/>
                <w:color w:val="auto"/>
              </w:rPr>
              <w:t>17,810</w:t>
            </w:r>
          </w:p>
        </w:tc>
      </w:tr>
      <w:tr>
        <w:trPr>
          <w:trHeight w:val="314"/>
        </w:trPr>
        <w:tc>
          <w:tcPr>
            <w:tcW w:w="1020" w:type="dxa"/>
            <w:vAlign w:val="bottom"/>
          </w:tcPr>
          <w:p>
            <w:pPr>
              <w:jc w:val="right"/>
              <w:ind w:right="500"/>
              <w:spacing w:after="0"/>
              <w:rPr>
                <w:sz w:val="20"/>
                <w:szCs w:val="20"/>
                <w:color w:val="auto"/>
              </w:rPr>
            </w:pPr>
            <w:r>
              <w:rPr>
                <w:rFonts w:ascii="Arial" w:cs="Arial" w:eastAsia="Arial" w:hAnsi="Arial"/>
                <w:sz w:val="16"/>
                <w:szCs w:val="16"/>
                <w:color w:val="auto"/>
              </w:rPr>
              <w:t>5,313</w:t>
            </w:r>
          </w:p>
        </w:tc>
        <w:tc>
          <w:tcPr>
            <w:tcW w:w="1020" w:type="dxa"/>
            <w:vAlign w:val="bottom"/>
          </w:tcPr>
          <w:p>
            <w:pPr>
              <w:jc w:val="right"/>
              <w:spacing w:after="0"/>
              <w:rPr>
                <w:sz w:val="20"/>
                <w:szCs w:val="20"/>
                <w:color w:val="auto"/>
              </w:rPr>
            </w:pPr>
            <w:r>
              <w:rPr>
                <w:rFonts w:ascii="Arial" w:cs="Arial" w:eastAsia="Arial" w:hAnsi="Arial"/>
                <w:sz w:val="16"/>
                <w:szCs w:val="16"/>
                <w:color w:val="auto"/>
              </w:rPr>
              <w:t>4,118</w:t>
            </w:r>
          </w:p>
        </w:tc>
      </w:tr>
      <w:tr>
        <w:trPr>
          <w:trHeight w:val="314"/>
        </w:trPr>
        <w:tc>
          <w:tcPr>
            <w:tcW w:w="1020" w:type="dxa"/>
            <w:vAlign w:val="bottom"/>
          </w:tcPr>
          <w:p>
            <w:pPr>
              <w:jc w:val="right"/>
              <w:ind w:right="500"/>
              <w:spacing w:after="0"/>
              <w:rPr>
                <w:sz w:val="20"/>
                <w:szCs w:val="20"/>
                <w:color w:val="auto"/>
              </w:rPr>
            </w:pPr>
            <w:r>
              <w:rPr>
                <w:rFonts w:ascii="Arial" w:cs="Arial" w:eastAsia="Arial" w:hAnsi="Arial"/>
                <w:sz w:val="16"/>
                <w:szCs w:val="16"/>
                <w:color w:val="auto"/>
              </w:rPr>
              <w:t>2,672</w:t>
            </w:r>
          </w:p>
        </w:tc>
        <w:tc>
          <w:tcPr>
            <w:tcW w:w="1020" w:type="dxa"/>
            <w:vAlign w:val="bottom"/>
          </w:tcPr>
          <w:p>
            <w:pPr>
              <w:jc w:val="right"/>
              <w:spacing w:after="0"/>
              <w:rPr>
                <w:sz w:val="20"/>
                <w:szCs w:val="20"/>
                <w:color w:val="auto"/>
              </w:rPr>
            </w:pPr>
            <w:r>
              <w:rPr>
                <w:rFonts w:ascii="Arial" w:cs="Arial" w:eastAsia="Arial" w:hAnsi="Arial"/>
                <w:sz w:val="16"/>
                <w:szCs w:val="16"/>
                <w:color w:val="auto"/>
              </w:rPr>
              <w:t>2,471</w:t>
            </w:r>
          </w:p>
        </w:tc>
      </w:tr>
      <w:tr>
        <w:trPr>
          <w:trHeight w:val="314"/>
        </w:trPr>
        <w:tc>
          <w:tcPr>
            <w:tcW w:w="1020" w:type="dxa"/>
            <w:vAlign w:val="bottom"/>
          </w:tcPr>
          <w:p>
            <w:pPr>
              <w:jc w:val="right"/>
              <w:ind w:right="500"/>
              <w:spacing w:after="0"/>
              <w:rPr>
                <w:sz w:val="20"/>
                <w:szCs w:val="20"/>
                <w:color w:val="auto"/>
              </w:rPr>
            </w:pPr>
            <w:r>
              <w:rPr>
                <w:rFonts w:ascii="Arial" w:cs="Arial" w:eastAsia="Arial" w:hAnsi="Arial"/>
                <w:sz w:val="16"/>
                <w:szCs w:val="16"/>
                <w:color w:val="auto"/>
              </w:rPr>
              <w:t>2,750</w:t>
            </w:r>
          </w:p>
        </w:tc>
        <w:tc>
          <w:tcPr>
            <w:tcW w:w="1020" w:type="dxa"/>
            <w:vAlign w:val="bottom"/>
          </w:tcPr>
          <w:p>
            <w:pPr>
              <w:jc w:val="right"/>
              <w:spacing w:after="0"/>
              <w:rPr>
                <w:sz w:val="20"/>
                <w:szCs w:val="20"/>
                <w:color w:val="auto"/>
              </w:rPr>
            </w:pPr>
            <w:r>
              <w:rPr>
                <w:rFonts w:ascii="Arial" w:cs="Arial" w:eastAsia="Arial" w:hAnsi="Arial"/>
                <w:sz w:val="16"/>
                <w:szCs w:val="16"/>
                <w:color w:val="auto"/>
              </w:rPr>
              <w:t>3,686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-1141095</wp:posOffset>
            </wp:positionV>
            <wp:extent cx="203327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033270" cy="635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-1141095</wp:posOffset>
            </wp:positionV>
            <wp:extent cx="203327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33270" cy="635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6520" w:space="720"/>
            <w:col w:w="2160"/>
          </w:cols>
          <w:pgMar w:left="1260" w:top="1440" w:right="1246" w:bottom="0" w:gutter="0" w:footer="0" w:header="0"/>
          <w:type w:val="continuous"/>
        </w:sect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26</w:t>
      </w:r>
    </w:p>
    <w:p>
      <w:pPr>
        <w:sectPr>
          <w:pgSz w:w="11900" w:h="16838" w:orient="portrait"/>
          <w:cols w:equalWidth="0" w:num="1">
            <w:col w:w="9400"/>
          </w:cols>
          <w:pgMar w:left="1260" w:top="1440" w:right="1246" w:bottom="0" w:gutter="0" w:footer="0" w:header="0"/>
          <w:type w:val="continuous"/>
        </w:sectPr>
      </w:pPr>
    </w:p>
    <w:bookmarkStart w:id="117" w:name="page118"/>
    <w:bookmarkEnd w:id="117"/>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93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Advertising</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FDIC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Audits and exams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Insurance agency expense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Community service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Foreclosed real estate expenses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120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7730" cy="212090"/>
                    </a:xfrm>
                    <a:prstGeom prst="rect">
                      <a:avLst/>
                    </a:prstGeom>
                    <a:noFill/>
                  </pic:spPr>
                </pic:pic>
              </a:graphicData>
            </a:graphic>
          </wp:anchor>
        </w:drawing>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noninterest expense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(Loss) 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057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(Benefit) provision for income taxes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income attributable to noncontrolling interest and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Pathfinder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120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7730" cy="2120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noncontrolling interest</w:t>
      </w:r>
    </w:p>
    <w:p>
      <w:pPr>
        <w:spacing w:after="0" w:line="140" w:lineRule="exact"/>
        <w:rPr>
          <w:sz w:val="20"/>
          <w:szCs w:val="20"/>
          <w:color w:val="auto"/>
        </w:rPr>
      </w:pPr>
    </w:p>
    <w:p>
      <w:pPr>
        <w:spacing w:after="0"/>
        <w:tabs>
          <w:tab w:leader="none" w:pos="6300" w:val="left"/>
        </w:tabs>
        <w:rPr>
          <w:sz w:val="20"/>
          <w:szCs w:val="20"/>
          <w:color w:val="auto"/>
        </w:rPr>
      </w:pPr>
      <w:r>
        <w:rPr>
          <w:rFonts w:ascii="Arial" w:cs="Arial" w:eastAsia="Arial" w:hAnsi="Arial"/>
          <w:sz w:val="16"/>
          <w:szCs w:val="16"/>
          <w:b w:val="1"/>
          <w:bCs w:val="1"/>
          <w:color w:val="auto"/>
        </w:rPr>
        <w:t>Net (loss) income attributable to Pathfinder Bancorp Inc.</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62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7730" cy="1962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6300" w:val="left"/>
        </w:tabs>
        <w:rPr>
          <w:sz w:val="20"/>
          <w:szCs w:val="20"/>
          <w:color w:val="auto"/>
        </w:rPr>
      </w:pPr>
      <w:r>
        <w:rPr>
          <w:rFonts w:ascii="Arial" w:cs="Arial" w:eastAsia="Arial" w:hAnsi="Arial"/>
          <w:sz w:val="16"/>
          <w:szCs w:val="16"/>
          <w:b w:val="1"/>
          <w:bCs w:val="1"/>
          <w:color w:val="auto"/>
        </w:rPr>
        <w:t>Voting Earnings per common share - basic and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565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7730" cy="256540"/>
                    </a:xfrm>
                    <a:prstGeom prst="rect">
                      <a:avLst/>
                    </a:prstGeom>
                    <a:noFill/>
                  </pic:spPr>
                </pic:pic>
              </a:graphicData>
            </a:graphic>
          </wp:anchor>
        </w:drawing>
      </w:r>
    </w:p>
    <w:p>
      <w:pPr>
        <w:spacing w:after="0" w:line="155" w:lineRule="exact"/>
        <w:rPr>
          <w:sz w:val="20"/>
          <w:szCs w:val="20"/>
          <w:color w:val="auto"/>
        </w:rPr>
      </w:pPr>
    </w:p>
    <w:p>
      <w:pPr>
        <w:spacing w:after="0"/>
        <w:tabs>
          <w:tab w:leader="none" w:pos="6300" w:val="left"/>
        </w:tabs>
        <w:rPr>
          <w:sz w:val="20"/>
          <w:szCs w:val="20"/>
          <w:color w:val="auto"/>
        </w:rPr>
      </w:pPr>
      <w:r>
        <w:rPr>
          <w:rFonts w:ascii="Arial" w:cs="Arial" w:eastAsia="Arial" w:hAnsi="Arial"/>
          <w:sz w:val="16"/>
          <w:szCs w:val="16"/>
          <w:b w:val="1"/>
          <w:bCs w:val="1"/>
          <w:color w:val="auto"/>
        </w:rPr>
        <w:t>Series A Non-Voting Earnings per common share - basic and diluted</w:t>
      </w:r>
      <w:r>
        <w:rPr>
          <w:sz w:val="20"/>
          <w:szCs w:val="20"/>
          <w:color w:val="auto"/>
        </w:rPr>
        <w:tab/>
      </w:r>
      <w:r>
        <w:rPr>
          <w:rFonts w:ascii="Arial" w:cs="Arial" w:eastAsia="Arial" w:hAnsi="Arial"/>
          <w:sz w:val="14"/>
          <w:szCs w:val="14"/>
          <w:color w:val="auto"/>
        </w:rPr>
        <w:t>$</w:t>
      </w:r>
    </w:p>
    <w:p>
      <w:pPr>
        <w:spacing w:after="0" w:line="175" w:lineRule="exact"/>
        <w:rPr>
          <w:sz w:val="20"/>
          <w:szCs w:val="20"/>
          <w:color w:val="auto"/>
        </w:rPr>
      </w:pPr>
    </w:p>
    <w:p>
      <w:pPr>
        <w:spacing w:after="0"/>
        <w:tabs>
          <w:tab w:leader="none" w:pos="6300" w:val="left"/>
        </w:tabs>
        <w:rPr>
          <w:sz w:val="20"/>
          <w:szCs w:val="20"/>
          <w:color w:val="auto"/>
        </w:rPr>
      </w:pPr>
      <w:r>
        <w:rPr>
          <w:rFonts w:ascii="Arial" w:cs="Arial" w:eastAsia="Arial" w:hAnsi="Arial"/>
          <w:sz w:val="16"/>
          <w:szCs w:val="16"/>
          <w:b w:val="1"/>
          <w:bCs w:val="1"/>
          <w:color w:val="auto"/>
        </w:rPr>
        <w:t>Dividends per common share (Voting and Series A Non-Voting)</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4089400" cy="285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089400" cy="2857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1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84"/>
        </w:trPr>
        <w:tc>
          <w:tcPr>
            <w:tcW w:w="920" w:type="dxa"/>
            <w:vAlign w:val="bottom"/>
          </w:tcPr>
          <w:p>
            <w:pPr>
              <w:jc w:val="right"/>
              <w:ind w:right="600"/>
              <w:spacing w:after="0"/>
              <w:rPr>
                <w:sz w:val="20"/>
                <w:szCs w:val="20"/>
                <w:color w:val="auto"/>
              </w:rPr>
            </w:pPr>
            <w:r>
              <w:rPr>
                <w:rFonts w:ascii="Arial" w:cs="Arial" w:eastAsia="Arial" w:hAnsi="Arial"/>
                <w:sz w:val="16"/>
                <w:szCs w:val="16"/>
                <w:color w:val="auto"/>
                <w:w w:val="82"/>
              </w:rPr>
              <w:t>459</w:t>
            </w:r>
          </w:p>
        </w:tc>
        <w:tc>
          <w:tcPr>
            <w:tcW w:w="92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314"/>
        </w:trPr>
        <w:tc>
          <w:tcPr>
            <w:tcW w:w="920" w:type="dxa"/>
            <w:vAlign w:val="bottom"/>
          </w:tcPr>
          <w:p>
            <w:pPr>
              <w:jc w:val="right"/>
              <w:ind w:right="600"/>
              <w:spacing w:after="0"/>
              <w:rPr>
                <w:sz w:val="20"/>
                <w:szCs w:val="20"/>
                <w:color w:val="auto"/>
              </w:rPr>
            </w:pPr>
            <w:r>
              <w:rPr>
                <w:rFonts w:ascii="Arial" w:cs="Arial" w:eastAsia="Arial" w:hAnsi="Arial"/>
                <w:sz w:val="16"/>
                <w:szCs w:val="16"/>
                <w:color w:val="auto"/>
                <w:w w:val="82"/>
              </w:rPr>
              <w:t>604</w:t>
            </w:r>
          </w:p>
        </w:tc>
        <w:tc>
          <w:tcPr>
            <w:tcW w:w="92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314"/>
        </w:trPr>
        <w:tc>
          <w:tcPr>
            <w:tcW w:w="920" w:type="dxa"/>
            <w:vAlign w:val="bottom"/>
          </w:tcPr>
          <w:p>
            <w:pPr>
              <w:jc w:val="right"/>
              <w:ind w:right="600"/>
              <w:spacing w:after="0"/>
              <w:rPr>
                <w:sz w:val="20"/>
                <w:szCs w:val="20"/>
                <w:color w:val="auto"/>
              </w:rPr>
            </w:pPr>
            <w:r>
              <w:rPr>
                <w:rFonts w:ascii="Arial" w:cs="Arial" w:eastAsia="Arial" w:hAnsi="Arial"/>
                <w:sz w:val="16"/>
                <w:szCs w:val="16"/>
                <w:color w:val="auto"/>
                <w:w w:val="82"/>
              </w:rPr>
              <w:t>475</w:t>
            </w:r>
          </w:p>
        </w:tc>
        <w:tc>
          <w:tcPr>
            <w:tcW w:w="9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314"/>
        </w:trPr>
        <w:tc>
          <w:tcPr>
            <w:tcW w:w="920" w:type="dxa"/>
            <w:vAlign w:val="bottom"/>
          </w:tcPr>
          <w:p>
            <w:pPr>
              <w:jc w:val="right"/>
              <w:ind w:right="600"/>
              <w:spacing w:after="0"/>
              <w:rPr>
                <w:sz w:val="20"/>
                <w:szCs w:val="20"/>
                <w:color w:val="auto"/>
              </w:rPr>
            </w:pPr>
            <w:r>
              <w:rPr>
                <w:rFonts w:ascii="Arial" w:cs="Arial" w:eastAsia="Arial" w:hAnsi="Arial"/>
                <w:sz w:val="16"/>
                <w:szCs w:val="16"/>
                <w:color w:val="auto"/>
                <w:w w:val="82"/>
              </w:rPr>
              <w:t>627</w:t>
            </w:r>
          </w:p>
        </w:tc>
        <w:tc>
          <w:tcPr>
            <w:tcW w:w="920" w:type="dxa"/>
            <w:vAlign w:val="bottom"/>
          </w:tcPr>
          <w:p>
            <w:pPr>
              <w:jc w:val="right"/>
              <w:spacing w:after="0"/>
              <w:rPr>
                <w:sz w:val="20"/>
                <w:szCs w:val="20"/>
                <w:color w:val="auto"/>
              </w:rPr>
            </w:pPr>
            <w:r>
              <w:rPr>
                <w:rFonts w:ascii="Arial" w:cs="Arial" w:eastAsia="Arial" w:hAnsi="Arial"/>
                <w:sz w:val="16"/>
                <w:szCs w:val="16"/>
                <w:color w:val="auto"/>
              </w:rPr>
              <w:t>293</w:t>
            </w:r>
          </w:p>
        </w:tc>
      </w:tr>
    </w:tbl>
    <w:p>
      <w:pPr>
        <w:spacing w:after="0" w:line="138" w:lineRule="exact"/>
        <w:rPr>
          <w:sz w:val="20"/>
          <w:szCs w:val="20"/>
          <w:color w:val="auto"/>
        </w:rPr>
      </w:pPr>
    </w:p>
    <w:p>
      <w:pPr>
        <w:ind w:left="1680" w:hanging="1291"/>
        <w:spacing w:after="0"/>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1,281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70</w:t>
            </w:r>
          </w:p>
        </w:tc>
        <w:tc>
          <w:tcPr>
            <w:tcW w:w="9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106</w:t>
            </w:r>
          </w:p>
        </w:tc>
        <w:tc>
          <w:tcPr>
            <w:tcW w:w="9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14"/>
        </w:trPr>
        <w:tc>
          <w:tcPr>
            <w:tcW w:w="1060" w:type="dxa"/>
            <w:vAlign w:val="bottom"/>
          </w:tcPr>
          <w:p>
            <w:pPr>
              <w:jc w:val="right"/>
              <w:ind w:right="540"/>
              <w:spacing w:after="0"/>
              <w:rPr>
                <w:sz w:val="20"/>
                <w:szCs w:val="20"/>
                <w:color w:val="auto"/>
              </w:rPr>
            </w:pPr>
            <w:r>
              <w:rPr>
                <w:rFonts w:ascii="Arial" w:cs="Arial" w:eastAsia="Arial" w:hAnsi="Arial"/>
                <w:sz w:val="16"/>
                <w:szCs w:val="16"/>
                <w:color w:val="auto"/>
              </w:rPr>
              <w:t>2,601</w:t>
            </w:r>
          </w:p>
        </w:tc>
        <w:tc>
          <w:tcPr>
            <w:tcW w:w="980" w:type="dxa"/>
            <w:vAlign w:val="bottom"/>
          </w:tcPr>
          <w:p>
            <w:pPr>
              <w:jc w:val="right"/>
              <w:spacing w:after="0"/>
              <w:rPr>
                <w:sz w:val="20"/>
                <w:szCs w:val="20"/>
                <w:color w:val="auto"/>
              </w:rPr>
            </w:pPr>
            <w:r>
              <w:rPr>
                <w:rFonts w:ascii="Arial" w:cs="Arial" w:eastAsia="Arial" w:hAnsi="Arial"/>
                <w:sz w:val="16"/>
                <w:szCs w:val="16"/>
                <w:color w:val="auto"/>
              </w:rPr>
              <w:t>2,467</w:t>
            </w:r>
          </w:p>
        </w:tc>
      </w:tr>
      <w:tr>
        <w:trPr>
          <w:trHeight w:val="324"/>
        </w:trPr>
        <w:tc>
          <w:tcPr>
            <w:tcW w:w="1060" w:type="dxa"/>
            <w:vAlign w:val="bottom"/>
          </w:tcPr>
          <w:p>
            <w:pPr>
              <w:jc w:val="right"/>
              <w:ind w:right="540"/>
              <w:spacing w:after="0"/>
              <w:rPr>
                <w:sz w:val="20"/>
                <w:szCs w:val="20"/>
                <w:color w:val="auto"/>
              </w:rPr>
            </w:pPr>
            <w:r>
              <w:rPr>
                <w:rFonts w:ascii="Arial" w:cs="Arial" w:eastAsia="Arial" w:hAnsi="Arial"/>
                <w:sz w:val="16"/>
                <w:szCs w:val="16"/>
                <w:color w:val="auto"/>
                <w:w w:val="85"/>
              </w:rPr>
              <w:t>34,581</w:t>
            </w:r>
          </w:p>
        </w:tc>
        <w:tc>
          <w:tcPr>
            <w:tcW w:w="980" w:type="dxa"/>
            <w:vAlign w:val="bottom"/>
          </w:tcPr>
          <w:p>
            <w:pPr>
              <w:jc w:val="right"/>
              <w:spacing w:after="0"/>
              <w:rPr>
                <w:sz w:val="20"/>
                <w:szCs w:val="20"/>
                <w:color w:val="auto"/>
              </w:rPr>
            </w:pPr>
            <w:r>
              <w:rPr>
                <w:rFonts w:ascii="Arial" w:cs="Arial" w:eastAsia="Arial" w:hAnsi="Arial"/>
                <w:sz w:val="16"/>
                <w:szCs w:val="16"/>
                <w:color w:val="auto"/>
              </w:rPr>
              <w:t>34,417</w:t>
            </w:r>
          </w:p>
        </w:tc>
      </w:tr>
      <w:tr>
        <w:trPr>
          <w:trHeight w:val="341"/>
        </w:trPr>
        <w:tc>
          <w:tcPr>
            <w:tcW w:w="1060" w:type="dxa"/>
            <w:vAlign w:val="bottom"/>
          </w:tcPr>
          <w:p>
            <w:pPr>
              <w:jc w:val="right"/>
              <w:ind w:right="460"/>
              <w:spacing w:after="0"/>
              <w:rPr>
                <w:sz w:val="20"/>
                <w:szCs w:val="20"/>
                <w:color w:val="auto"/>
              </w:rPr>
            </w:pPr>
            <w:r>
              <w:rPr>
                <w:rFonts w:ascii="Arial" w:cs="Arial" w:eastAsia="Arial" w:hAnsi="Arial"/>
                <w:sz w:val="16"/>
                <w:szCs w:val="16"/>
                <w:color w:val="auto"/>
                <w:w w:val="98"/>
              </w:rPr>
              <w:t>(4,093)</w:t>
            </w:r>
          </w:p>
        </w:tc>
        <w:tc>
          <w:tcPr>
            <w:tcW w:w="980" w:type="dxa"/>
            <w:vAlign w:val="bottom"/>
          </w:tcPr>
          <w:p>
            <w:pPr>
              <w:jc w:val="right"/>
              <w:spacing w:after="0"/>
              <w:rPr>
                <w:sz w:val="20"/>
                <w:szCs w:val="20"/>
                <w:color w:val="auto"/>
              </w:rPr>
            </w:pPr>
            <w:r>
              <w:rPr>
                <w:rFonts w:ascii="Arial" w:cs="Arial" w:eastAsia="Arial" w:hAnsi="Arial"/>
                <w:sz w:val="16"/>
                <w:szCs w:val="16"/>
                <w:color w:val="auto"/>
              </w:rPr>
              <w:t>5,160</w:t>
            </w:r>
          </w:p>
        </w:tc>
      </w:tr>
      <w:tr>
        <w:trPr>
          <w:trHeight w:val="314"/>
        </w:trPr>
        <w:tc>
          <w:tcPr>
            <w:tcW w:w="1060" w:type="dxa"/>
            <w:vAlign w:val="bottom"/>
          </w:tcPr>
          <w:p>
            <w:pPr>
              <w:jc w:val="right"/>
              <w:ind w:right="460"/>
              <w:spacing w:after="0"/>
              <w:rPr>
                <w:sz w:val="20"/>
                <w:szCs w:val="20"/>
                <w:color w:val="auto"/>
              </w:rPr>
            </w:pPr>
            <w:r>
              <w:rPr>
                <w:rFonts w:ascii="Arial" w:cs="Arial" w:eastAsia="Arial" w:hAnsi="Arial"/>
                <w:sz w:val="16"/>
                <w:szCs w:val="16"/>
                <w:color w:val="auto"/>
                <w:w w:val="98"/>
              </w:rPr>
              <w:t>(2,160)</w:t>
            </w: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504"/>
        </w:trPr>
        <w:tc>
          <w:tcPr>
            <w:tcW w:w="1060" w:type="dxa"/>
            <w:vAlign w:val="bottom"/>
          </w:tcPr>
          <w:p>
            <w:pPr>
              <w:jc w:val="right"/>
              <w:ind w:right="460"/>
              <w:spacing w:after="0"/>
              <w:rPr>
                <w:sz w:val="20"/>
                <w:szCs w:val="20"/>
                <w:color w:val="auto"/>
              </w:rPr>
            </w:pPr>
            <w:r>
              <w:rPr>
                <w:rFonts w:ascii="Arial" w:cs="Arial" w:eastAsia="Arial" w:hAnsi="Arial"/>
                <w:sz w:val="16"/>
                <w:szCs w:val="16"/>
                <w:color w:val="auto"/>
                <w:w w:val="98"/>
              </w:rPr>
              <w:t>(1,933)</w:t>
            </w:r>
          </w:p>
        </w:tc>
        <w:tc>
          <w:tcPr>
            <w:tcW w:w="980" w:type="dxa"/>
            <w:vAlign w:val="bottom"/>
          </w:tcPr>
          <w:p>
            <w:pPr>
              <w:jc w:val="right"/>
              <w:spacing w:after="0"/>
              <w:rPr>
                <w:sz w:val="20"/>
                <w:szCs w:val="20"/>
                <w:color w:val="auto"/>
              </w:rPr>
            </w:pPr>
            <w:r>
              <w:rPr>
                <w:rFonts w:ascii="Arial" w:cs="Arial" w:eastAsia="Arial" w:hAnsi="Arial"/>
                <w:sz w:val="16"/>
                <w:szCs w:val="16"/>
                <w:color w:val="auto"/>
              </w:rPr>
              <w:t>4,828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-911225</wp:posOffset>
            </wp:positionV>
            <wp:extent cx="187833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78330" cy="635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-911225</wp:posOffset>
            </wp:positionV>
            <wp:extent cx="187833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78330" cy="635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20320</wp:posOffset>
            </wp:positionV>
            <wp:extent cx="187833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78330" cy="635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20320</wp:posOffset>
            </wp:positionV>
            <wp:extent cx="187833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78330" cy="6350"/>
                    </a:xfrm>
                    <a:prstGeom prst="rect">
                      <a:avLst/>
                    </a:prstGeom>
                    <a:noFill/>
                  </pic:spPr>
                </pic:pic>
              </a:graphicData>
            </a:graphic>
          </wp:anchor>
        </w:drawing>
      </w:r>
    </w:p>
    <w:p>
      <w:pPr>
        <w:spacing w:after="0" w:line="111" w:lineRule="exact"/>
        <w:rPr>
          <w:sz w:val="20"/>
          <w:szCs w:val="20"/>
          <w:color w:val="auto"/>
        </w:rPr>
      </w:pPr>
    </w:p>
    <w:p>
      <w:pPr>
        <w:ind w:left="1680" w:hanging="1291"/>
        <w:spacing w:after="0"/>
        <w:tabs>
          <w:tab w:leader="none" w:pos="1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1,445</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580" w:type="dxa"/>
            <w:vAlign w:val="bottom"/>
          </w:tcPr>
          <w:p>
            <w:pPr>
              <w:jc w:val="right"/>
              <w:spacing w:after="0"/>
              <w:rPr>
                <w:sz w:val="20"/>
                <w:szCs w:val="20"/>
                <w:color w:val="auto"/>
              </w:rPr>
            </w:pPr>
            <w:r>
              <w:rPr>
                <w:rFonts w:ascii="Arial" w:cs="Arial" w:eastAsia="Arial" w:hAnsi="Arial"/>
                <w:sz w:val="16"/>
                <w:szCs w:val="16"/>
                <w:color w:val="auto"/>
                <w:w w:val="94"/>
              </w:rPr>
              <w:t>(1,933)</w:t>
            </w:r>
          </w:p>
        </w:tc>
        <w:tc>
          <w:tcPr>
            <w:tcW w:w="62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3,383</w:t>
            </w:r>
          </w:p>
        </w:tc>
      </w:tr>
      <w:tr>
        <w:trPr>
          <w:trHeight w:val="624"/>
        </w:trPr>
        <w:tc>
          <w:tcPr>
            <w:tcW w:w="580" w:type="dxa"/>
            <w:vAlign w:val="bottom"/>
          </w:tcPr>
          <w:p>
            <w:pPr>
              <w:jc w:val="right"/>
              <w:spacing w:after="0"/>
              <w:rPr>
                <w:sz w:val="20"/>
                <w:szCs w:val="20"/>
                <w:color w:val="auto"/>
              </w:rPr>
            </w:pPr>
            <w:r>
              <w:rPr>
                <w:rFonts w:ascii="Arial" w:cs="Arial" w:eastAsia="Arial" w:hAnsi="Arial"/>
                <w:sz w:val="16"/>
                <w:szCs w:val="16"/>
                <w:color w:val="auto"/>
              </w:rPr>
              <w:t>(0.31)</w:t>
            </w:r>
          </w:p>
        </w:tc>
        <w:tc>
          <w:tcPr>
            <w:tcW w:w="62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59"/>
        </w:trPr>
        <w:tc>
          <w:tcPr>
            <w:tcW w:w="580" w:type="dxa"/>
            <w:vAlign w:val="bottom"/>
          </w:tcPr>
          <w:p>
            <w:pPr>
              <w:jc w:val="right"/>
              <w:spacing w:after="0"/>
              <w:rPr>
                <w:sz w:val="20"/>
                <w:szCs w:val="20"/>
                <w:color w:val="auto"/>
              </w:rPr>
            </w:pPr>
            <w:r>
              <w:rPr>
                <w:rFonts w:ascii="Arial" w:cs="Arial" w:eastAsia="Arial" w:hAnsi="Arial"/>
                <w:sz w:val="16"/>
                <w:szCs w:val="16"/>
                <w:color w:val="auto"/>
              </w:rPr>
              <w:t>(0.31)</w:t>
            </w:r>
          </w:p>
        </w:tc>
        <w:tc>
          <w:tcPr>
            <w:tcW w:w="62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59"/>
        </w:trPr>
        <w:tc>
          <w:tcPr>
            <w:tcW w:w="580" w:type="dxa"/>
            <w:vAlign w:val="bottom"/>
          </w:tcPr>
          <w:p>
            <w:pPr>
              <w:jc w:val="right"/>
              <w:ind w:right="80"/>
              <w:spacing w:after="0"/>
              <w:rPr>
                <w:sz w:val="20"/>
                <w:szCs w:val="20"/>
                <w:color w:val="auto"/>
              </w:rPr>
            </w:pPr>
            <w:r>
              <w:rPr>
                <w:rFonts w:ascii="Arial" w:cs="Arial" w:eastAsia="Arial" w:hAnsi="Arial"/>
                <w:sz w:val="16"/>
                <w:szCs w:val="16"/>
                <w:color w:val="auto"/>
              </w:rPr>
              <w:t>0.40</w:t>
            </w:r>
          </w:p>
        </w:tc>
        <w:tc>
          <w:tcPr>
            <w:tcW w:w="62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-831850</wp:posOffset>
            </wp:positionV>
            <wp:extent cx="1878330" cy="285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78330" cy="2857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-831850</wp:posOffset>
            </wp:positionV>
            <wp:extent cx="1878330" cy="285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878330" cy="2857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-435610</wp:posOffset>
            </wp:positionV>
            <wp:extent cx="1878330" cy="285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78330" cy="2857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-435610</wp:posOffset>
            </wp:positionV>
            <wp:extent cx="1878330" cy="285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878330" cy="2857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20320</wp:posOffset>
            </wp:positionV>
            <wp:extent cx="1878330" cy="285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878330" cy="28575"/>
                    </a:xfrm>
                    <a:prstGeom prst="rect">
                      <a:avLst/>
                    </a:prstGeom>
                    <a:noFill/>
                  </pic:spPr>
                </pic:pic>
              </a:graphicData>
            </a:graphic>
          </wp:anchor>
        </w:drawing>
      </w:r>
    </w:p>
    <w:p>
      <w:pPr>
        <w:spacing w:after="0" w:line="1022" w:lineRule="exact"/>
        <w:rPr>
          <w:sz w:val="20"/>
          <w:szCs w:val="20"/>
          <w:color w:val="auto"/>
        </w:rPr>
      </w:pPr>
    </w:p>
    <w:p>
      <w:pPr>
        <w:sectPr>
          <w:pgSz w:w="11900" w:h="16838" w:orient="portrait"/>
          <w:cols w:equalWidth="0" w:num="2">
            <w:col w:w="6820" w:space="420"/>
            <w:col w:w="2040"/>
          </w:cols>
          <w:pgMar w:left="1260" w:top="1215"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23 / 26</w:t>
      </w:r>
    </w:p>
    <w:p>
      <w:pPr>
        <w:sectPr>
          <w:pgSz w:w="11900" w:h="16838" w:orient="portrait"/>
          <w:cols w:equalWidth="0" w:num="1">
            <w:col w:w="9280"/>
          </w:cols>
          <w:pgMar w:left="1260" w:top="1215" w:right="1366" w:bottom="0" w:gutter="0" w:footer="0" w:header="0"/>
          <w:type w:val="continuous"/>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Pathfinder Bancorp, Inc.</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gridSpan w:val="2"/>
          </w:tcPr>
          <w:p>
            <w:pPr>
              <w:jc w:val="right"/>
              <w:ind w:right="150"/>
              <w:spacing w:after="0"/>
              <w:rPr>
                <w:sz w:val="20"/>
                <w:szCs w:val="20"/>
                <w:color w:val="auto"/>
              </w:rPr>
            </w:pPr>
            <w:r>
              <w:rPr>
                <w:rFonts w:ascii="Arial" w:cs="Arial" w:eastAsia="Arial" w:hAnsi="Arial"/>
                <w:sz w:val="18"/>
                <w:szCs w:val="18"/>
                <w:color w:val="auto"/>
              </w:rPr>
              <w:t>For the years ended</w:t>
            </w:r>
          </w:p>
        </w:tc>
        <w:tc>
          <w:tcPr>
            <w:tcW w:w="760" w:type="dxa"/>
            <w:vAlign w:val="bottom"/>
          </w:tcPr>
          <w:p>
            <w:pPr>
              <w:spacing w:after="0"/>
              <w:rPr>
                <w:sz w:val="17"/>
                <w:szCs w:val="17"/>
                <w:color w:val="auto"/>
              </w:rPr>
            </w:pPr>
          </w:p>
        </w:tc>
      </w:tr>
      <w:tr>
        <w:trPr>
          <w:trHeight w:val="294"/>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700" w:type="dxa"/>
            <w:vAlign w:val="bottom"/>
            <w:gridSpan w:val="2"/>
          </w:tcPr>
          <w:p>
            <w:pPr>
              <w:jc w:val="right"/>
              <w:ind w:right="90"/>
              <w:spacing w:after="0"/>
              <w:rPr>
                <w:sz w:val="20"/>
                <w:szCs w:val="20"/>
                <w:color w:val="auto"/>
              </w:rPr>
            </w:pPr>
            <w:r>
              <w:rPr>
                <w:rFonts w:ascii="Arial" w:cs="Arial" w:eastAsia="Arial" w:hAnsi="Arial"/>
                <w:sz w:val="18"/>
                <w:szCs w:val="18"/>
                <w:color w:val="auto"/>
              </w:rPr>
              <w:t>December 31, 2025</w:t>
            </w: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December 31, 2024</w:t>
            </w:r>
          </w:p>
        </w:tc>
      </w:tr>
      <w:tr>
        <w:trPr>
          <w:trHeight w:val="46"/>
        </w:trPr>
        <w:tc>
          <w:tcPr>
            <w:tcW w:w="128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5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56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(1,933)</w:t>
            </w:r>
          </w:p>
        </w:tc>
        <w:tc>
          <w:tcPr>
            <w:tcW w:w="900" w:type="dxa"/>
            <w:vAlign w:val="bottom"/>
            <w:tcBorders>
              <w:bottom w:val="single" w:sz="8" w:color="CFF0FC"/>
            </w:tcBorders>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4,828</w:t>
            </w:r>
          </w:p>
        </w:tc>
      </w:tr>
      <w:tr>
        <w:trPr>
          <w:trHeight w:val="284"/>
        </w:trPr>
        <w:tc>
          <w:tcPr>
            <w:tcW w:w="1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5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Other Comprehensive Income (Loss)</w:t>
            </w:r>
          </w:p>
        </w:tc>
        <w:tc>
          <w:tcPr>
            <w:tcW w:w="15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Retirement Plans:</w:t>
            </w: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5"/>
        </w:trPr>
        <w:tc>
          <w:tcPr>
            <w:tcW w:w="1280" w:type="dxa"/>
            <w:vAlign w:val="bottom"/>
            <w:tcBorders>
              <w:top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94"/>
        </w:trPr>
        <w:tc>
          <w:tcPr>
            <w:tcW w:w="50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Retirement plan net gains recognized in plan expenses</w:t>
            </w:r>
          </w:p>
        </w:tc>
        <w:tc>
          <w:tcPr>
            <w:tcW w:w="15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136</w:t>
            </w:r>
          </w:p>
        </w:tc>
        <w:tc>
          <w:tcPr>
            <w:tcW w:w="9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78"/>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Plan gains (losses) not recognized in plan expenses</w:t>
            </w:r>
          </w:p>
        </w:tc>
        <w:tc>
          <w:tcPr>
            <w:tcW w:w="156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912</w:t>
            </w:r>
          </w:p>
        </w:tc>
        <w:tc>
          <w:tcPr>
            <w:tcW w:w="9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6"/>
        </w:trPr>
        <w:tc>
          <w:tcPr>
            <w:tcW w:w="128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8"/>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unrealized gains on retirement plans</w:t>
            </w:r>
          </w:p>
        </w:tc>
        <w:tc>
          <w:tcPr>
            <w:tcW w:w="156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1,048</w:t>
            </w:r>
          </w:p>
        </w:tc>
        <w:tc>
          <w:tcPr>
            <w:tcW w:w="900" w:type="dxa"/>
            <w:vAlign w:val="bottom"/>
            <w:shd w:val="clear" w:color="auto" w:fill="CFF0FC"/>
          </w:tcPr>
          <w:p>
            <w:pPr>
              <w:spacing w:after="0"/>
              <w:rPr>
                <w:sz w:val="24"/>
                <w:szCs w:val="24"/>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r>
      <w:tr>
        <w:trPr>
          <w:trHeight w:val="46"/>
        </w:trPr>
        <w:tc>
          <w:tcPr>
            <w:tcW w:w="1280" w:type="dxa"/>
            <w:vAlign w:val="bottom"/>
            <w:shd w:val="clear" w:color="auto" w:fill="CFF0FC"/>
          </w:tcPr>
          <w:p>
            <w:pPr>
              <w:spacing w:after="0"/>
              <w:rPr>
                <w:sz w:val="4"/>
                <w:szCs w:val="4"/>
                <w:color w:val="auto"/>
              </w:rPr>
            </w:pPr>
          </w:p>
        </w:tc>
        <w:tc>
          <w:tcPr>
            <w:tcW w:w="3760" w:type="dxa"/>
            <w:vAlign w:val="bottom"/>
            <w:shd w:val="clear" w:color="auto" w:fill="CFF0FC"/>
          </w:tcPr>
          <w:p>
            <w:pPr>
              <w:spacing w:after="0"/>
              <w:rPr>
                <w:sz w:val="4"/>
                <w:szCs w:val="4"/>
                <w:color w:val="auto"/>
              </w:rPr>
            </w:pPr>
          </w:p>
        </w:tc>
        <w:tc>
          <w:tcPr>
            <w:tcW w:w="1560" w:type="dxa"/>
            <w:vAlign w:val="bottom"/>
            <w:shd w:val="clear" w:color="auto" w:fill="CFF0FC"/>
          </w:tcPr>
          <w:p>
            <w:pPr>
              <w:spacing w:after="0"/>
              <w:rPr>
                <w:sz w:val="4"/>
                <w:szCs w:val="4"/>
                <w:color w:val="auto"/>
              </w:rPr>
            </w:pPr>
          </w:p>
        </w:tc>
        <w:tc>
          <w:tcPr>
            <w:tcW w:w="1140" w:type="dxa"/>
            <w:vAlign w:val="bottom"/>
            <w:shd w:val="clear" w:color="auto" w:fill="CFF0FC"/>
          </w:tcPr>
          <w:p>
            <w:pPr>
              <w:spacing w:after="0"/>
              <w:rPr>
                <w:sz w:val="4"/>
                <w:szCs w:val="4"/>
                <w:color w:val="auto"/>
              </w:rPr>
            </w:pPr>
          </w:p>
        </w:tc>
        <w:tc>
          <w:tcPr>
            <w:tcW w:w="900" w:type="dxa"/>
            <w:vAlign w:val="bottom"/>
            <w:shd w:val="clear" w:color="auto" w:fill="CFF0FC"/>
          </w:tcPr>
          <w:p>
            <w:pPr>
              <w:spacing w:after="0"/>
              <w:rPr>
                <w:sz w:val="4"/>
                <w:szCs w:val="4"/>
                <w:color w:val="auto"/>
              </w:rPr>
            </w:pPr>
          </w:p>
        </w:tc>
        <w:tc>
          <w:tcPr>
            <w:tcW w:w="760" w:type="dxa"/>
            <w:vAlign w:val="bottom"/>
            <w:shd w:val="clear" w:color="auto" w:fill="CFF0F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5967730" cy="180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7730" cy="18034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-1551940</wp:posOffset>
            </wp:positionV>
            <wp:extent cx="207708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7708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-1365250</wp:posOffset>
            </wp:positionV>
            <wp:extent cx="596773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-1158875</wp:posOffset>
            </wp:positionV>
            <wp:extent cx="596773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-211455</wp:posOffset>
            </wp:positionV>
            <wp:extent cx="596773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596773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Unrealized holding gains (losses) arising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057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Reclassification adjustment for net losses included in net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Net unrealized gains on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1866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7730" cy="1866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057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Unrealized holding (losses) gains arising during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Net unrealized (losses) gains on derivatives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5967730" cy="1866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7730"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4,388</w:t>
            </w: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6"/>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4,393</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901"/>
        </w:trPr>
        <w:tc>
          <w:tcPr>
            <w:tcW w:w="1140" w:type="dxa"/>
            <w:vAlign w:val="bottom"/>
          </w:tcPr>
          <w:p>
            <w:pPr>
              <w:jc w:val="right"/>
              <w:ind w:right="570"/>
              <w:spacing w:after="0"/>
              <w:rPr>
                <w:sz w:val="20"/>
                <w:szCs w:val="20"/>
                <w:color w:val="auto"/>
              </w:rPr>
            </w:pPr>
            <w:r>
              <w:rPr>
                <w:rFonts w:ascii="Arial" w:cs="Arial" w:eastAsia="Arial" w:hAnsi="Arial"/>
                <w:sz w:val="18"/>
                <w:szCs w:val="18"/>
                <w:color w:val="auto"/>
              </w:rPr>
              <w:t>(327)</w:t>
            </w:r>
          </w:p>
        </w:tc>
        <w:tc>
          <w:tcPr>
            <w:tcW w:w="106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324"/>
        </w:trPr>
        <w:tc>
          <w:tcPr>
            <w:tcW w:w="1140" w:type="dxa"/>
            <w:vAlign w:val="bottom"/>
          </w:tcPr>
          <w:p>
            <w:pPr>
              <w:jc w:val="right"/>
              <w:ind w:right="570"/>
              <w:spacing w:after="0"/>
              <w:rPr>
                <w:sz w:val="20"/>
                <w:szCs w:val="20"/>
                <w:color w:val="auto"/>
              </w:rPr>
            </w:pPr>
            <w:r>
              <w:rPr>
                <w:rFonts w:ascii="Arial" w:cs="Arial" w:eastAsia="Arial" w:hAnsi="Arial"/>
                <w:sz w:val="18"/>
                <w:szCs w:val="18"/>
                <w:color w:val="auto"/>
              </w:rPr>
              <w:t>(327)</w:t>
            </w:r>
          </w:p>
        </w:tc>
        <w:tc>
          <w:tcPr>
            <w:tcW w:w="1060" w:type="dxa"/>
            <w:vAlign w:val="bottom"/>
          </w:tcPr>
          <w:p>
            <w:pPr>
              <w:jc w:val="right"/>
              <w:spacing w:after="0"/>
              <w:rPr>
                <w:sz w:val="20"/>
                <w:szCs w:val="20"/>
                <w:color w:val="auto"/>
              </w:rPr>
            </w:pPr>
            <w:r>
              <w:rPr>
                <w:rFonts w:ascii="Arial" w:cs="Arial" w:eastAsia="Arial" w:hAnsi="Arial"/>
                <w:sz w:val="18"/>
                <w:szCs w:val="18"/>
                <w:color w:val="auto"/>
              </w:rPr>
              <w:t>493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-749300</wp:posOffset>
            </wp:positionV>
            <wp:extent cx="218059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80590" cy="6350"/>
                    </a:xfrm>
                    <a:prstGeom prst="rect">
                      <a:avLst/>
                    </a:prstGeom>
                    <a:noFill/>
                  </pic:spPr>
                </pic:pic>
              </a:graphicData>
            </a:graphic>
          </wp:anchor>
        </w:drawing>
        <w:drawing>
          <wp:anchor simplePos="0" relativeHeight="251657728" behindDoc="1" locked="0" layoutInCell="0" allowOverlap="1">
            <wp:simplePos x="0" y="0"/>
            <wp:positionH relativeFrom="column">
              <wp:posOffset>-762635</wp:posOffset>
            </wp:positionH>
            <wp:positionV relativeFrom="paragraph">
              <wp:posOffset>-749300</wp:posOffset>
            </wp:positionV>
            <wp:extent cx="218059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80590" cy="6350"/>
                    </a:xfrm>
                    <a:prstGeom prst="rect">
                      <a:avLst/>
                    </a:prstGeom>
                    <a:noFill/>
                  </pic:spPr>
                </pic:pic>
              </a:graphicData>
            </a:graphic>
          </wp:anchor>
        </w:drawing>
        <w:drawing>
          <wp:anchor simplePos="0" relativeHeight="251657728" behindDoc="1" locked="0" layoutInCell="0" allowOverlap="1">
            <wp:simplePos x="0" y="0"/>
            <wp:positionH relativeFrom="column">
              <wp:posOffset>-762635</wp:posOffset>
            </wp:positionH>
            <wp:positionV relativeFrom="paragraph">
              <wp:posOffset>22860</wp:posOffset>
            </wp:positionV>
            <wp:extent cx="218059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80590" cy="6350"/>
                    </a:xfrm>
                    <a:prstGeom prst="rect">
                      <a:avLst/>
                    </a:prstGeom>
                    <a:noFill/>
                  </pic:spPr>
                </pic:pic>
              </a:graphicData>
            </a:graphic>
          </wp:anchor>
        </w:drawing>
        <w:drawing>
          <wp:anchor simplePos="0" relativeHeight="251657728" behindDoc="1" locked="0" layoutInCell="0" allowOverlap="1">
            <wp:simplePos x="0" y="0"/>
            <wp:positionH relativeFrom="column">
              <wp:posOffset>-762635</wp:posOffset>
            </wp:positionH>
            <wp:positionV relativeFrom="paragraph">
              <wp:posOffset>22860</wp:posOffset>
            </wp:positionV>
            <wp:extent cx="218059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8059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2240"/>
          </w:cols>
          <w:pgMar w:left="1260" w:top="1440" w:right="1246" w:bottom="0" w:gutter="0" w:footer="0" w:header="0"/>
          <w:type w:val="continuous"/>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gridSpan w:val="2"/>
          </w:tcPr>
          <w:p>
            <w:pPr>
              <w:spacing w:after="0"/>
              <w:rPr>
                <w:sz w:val="20"/>
                <w:szCs w:val="20"/>
                <w:color w:val="auto"/>
              </w:rPr>
            </w:pPr>
            <w:r>
              <w:rPr>
                <w:rFonts w:ascii="Arial" w:cs="Arial" w:eastAsia="Arial" w:hAnsi="Arial"/>
                <w:sz w:val="18"/>
                <w:szCs w:val="18"/>
                <w:color w:val="auto"/>
              </w:rPr>
              <w:t>Other comprehensive income, before tax</w:t>
            </w:r>
          </w:p>
        </w:tc>
        <w:tc>
          <w:tcPr>
            <w:tcW w:w="6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5,114</w:t>
            </w:r>
          </w:p>
        </w:tc>
        <w:tc>
          <w:tcPr>
            <w:tcW w:w="6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624</w:t>
            </w:r>
          </w:p>
        </w:tc>
      </w:tr>
      <w:tr>
        <w:trPr>
          <w:trHeight w:val="36"/>
        </w:trPr>
        <w:tc>
          <w:tcPr>
            <w:tcW w:w="5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304"/>
        </w:trPr>
        <w:tc>
          <w:tcPr>
            <w:tcW w:w="6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Tax effect</w:t>
            </w:r>
          </w:p>
        </w:tc>
        <w:tc>
          <w:tcPr>
            <w:tcW w:w="6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(1,337)</w:t>
            </w:r>
          </w:p>
        </w:tc>
        <w:tc>
          <w:tcPr>
            <w:tcW w:w="6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w:t>
            </w:r>
          </w:p>
        </w:tc>
      </w:tr>
      <w:tr>
        <w:trPr>
          <w:trHeight w:val="278"/>
        </w:trPr>
        <w:tc>
          <w:tcPr>
            <w:tcW w:w="600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66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3,777</w:t>
            </w:r>
          </w:p>
        </w:tc>
        <w:tc>
          <w:tcPr>
            <w:tcW w:w="6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461</w:t>
            </w:r>
          </w:p>
        </w:tc>
      </w:tr>
      <w:tr>
        <w:trPr>
          <w:trHeight w:val="46"/>
        </w:trPr>
        <w:tc>
          <w:tcPr>
            <w:tcW w:w="5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304"/>
        </w:trPr>
        <w:tc>
          <w:tcPr>
            <w:tcW w:w="6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1,844</w:t>
            </w:r>
          </w:p>
        </w:tc>
        <w:tc>
          <w:tcPr>
            <w:tcW w:w="660" w:type="dxa"/>
            <w:vAlign w:val="bottom"/>
            <w:tcBorders>
              <w:bottom w:val="single" w:sz="8" w:color="CFF0FC"/>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5,289</w:t>
            </w:r>
          </w:p>
        </w:tc>
      </w:tr>
      <w:tr>
        <w:trPr>
          <w:trHeight w:val="278"/>
        </w:trPr>
        <w:tc>
          <w:tcPr>
            <w:tcW w:w="60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1,445</w:t>
            </w:r>
          </w:p>
        </w:tc>
      </w:tr>
      <w:tr>
        <w:trPr>
          <w:trHeight w:val="46"/>
        </w:trPr>
        <w:tc>
          <w:tcPr>
            <w:tcW w:w="5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8"/>
        </w:trPr>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Comprehensive income attributable to Pathfinder Bancorp, Inc.</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1,844</w:t>
            </w:r>
          </w:p>
        </w:tc>
        <w:tc>
          <w:tcPr>
            <w:tcW w:w="66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3,844</w:t>
            </w:r>
          </w:p>
        </w:tc>
      </w:tr>
      <w:tr>
        <w:trPr>
          <w:trHeight w:val="81"/>
        </w:trPr>
        <w:tc>
          <w:tcPr>
            <w:tcW w:w="59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r>
      <w:tr>
        <w:trPr>
          <w:trHeight w:val="284"/>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5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1"/>
              </w:rPr>
              <w:t>Tax Effect Allocated to Each Component of Other Comprehensive (Loss) Income</w:t>
            </w:r>
          </w:p>
        </w:tc>
        <w:tc>
          <w:tcPr>
            <w:tcW w:w="1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r>
      <w:tr>
        <w:trPr>
          <w:trHeight w:val="278"/>
        </w:trPr>
        <w:tc>
          <w:tcPr>
            <w:tcW w:w="6000" w:type="dxa"/>
            <w:vAlign w:val="bottom"/>
            <w:gridSpan w:val="2"/>
          </w:tcPr>
          <w:p>
            <w:pPr>
              <w:spacing w:after="0"/>
              <w:rPr>
                <w:sz w:val="20"/>
                <w:szCs w:val="20"/>
                <w:color w:val="auto"/>
              </w:rPr>
            </w:pPr>
            <w:r>
              <w:rPr>
                <w:rFonts w:ascii="Arial" w:cs="Arial" w:eastAsia="Arial" w:hAnsi="Arial"/>
                <w:sz w:val="18"/>
                <w:szCs w:val="18"/>
                <w:color w:val="auto"/>
              </w:rPr>
              <w:t>Retirement plan net gains recognized in plan expenses</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6"/>
        </w:trPr>
        <w:tc>
          <w:tcPr>
            <w:tcW w:w="5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304"/>
        </w:trPr>
        <w:tc>
          <w:tcPr>
            <w:tcW w:w="6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Plan (gains) losses not recognized in plan expenses</w:t>
            </w:r>
          </w:p>
        </w:tc>
        <w:tc>
          <w:tcPr>
            <w:tcW w:w="6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(238)</w:t>
            </w:r>
          </w:p>
        </w:tc>
        <w:tc>
          <w:tcPr>
            <w:tcW w:w="6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48"/>
        </w:trPr>
        <w:tc>
          <w:tcPr>
            <w:tcW w:w="6000" w:type="dxa"/>
            <w:vAlign w:val="bottom"/>
            <w:gridSpan w:val="2"/>
          </w:tcPr>
          <w:p>
            <w:pPr>
              <w:spacing w:after="0"/>
              <w:rPr>
                <w:sz w:val="20"/>
                <w:szCs w:val="20"/>
                <w:color w:val="auto"/>
              </w:rPr>
            </w:pPr>
            <w:r>
              <w:rPr>
                <w:rFonts w:ascii="Arial" w:cs="Arial" w:eastAsia="Arial" w:hAnsi="Arial"/>
                <w:sz w:val="18"/>
                <w:szCs w:val="18"/>
                <w:color w:val="auto"/>
                <w:w w:val="95"/>
              </w:rPr>
              <w:t>Unrealized holding (gains) losses on available-for-sale securities arising during</w:t>
            </w: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6000" w:type="dxa"/>
            <w:vAlign w:val="bottom"/>
            <w:gridSpan w:val="2"/>
          </w:tcPr>
          <w:p>
            <w:pPr>
              <w:spacing w:after="0"/>
              <w:rPr>
                <w:sz w:val="20"/>
                <w:szCs w:val="20"/>
                <w:color w:val="auto"/>
              </w:rPr>
            </w:pPr>
            <w:r>
              <w:rPr>
                <w:rFonts w:ascii="Arial" w:cs="Arial" w:eastAsia="Arial" w:hAnsi="Arial"/>
                <w:sz w:val="18"/>
                <w:szCs w:val="18"/>
                <w:color w:val="auto"/>
              </w:rPr>
              <w:t>the period</w:t>
            </w:r>
          </w:p>
        </w:tc>
        <w:tc>
          <w:tcPr>
            <w:tcW w:w="6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6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46"/>
        </w:trPr>
        <w:tc>
          <w:tcPr>
            <w:tcW w:w="5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48"/>
        </w:trPr>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Reclassification adjustment for net losses on available-for-sale securities</w:t>
            </w: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96"/>
        </w:trPr>
        <w:tc>
          <w:tcPr>
            <w:tcW w:w="600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included in net income</w:t>
            </w:r>
          </w:p>
        </w:tc>
        <w:tc>
          <w:tcPr>
            <w:tcW w:w="6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w:t>
            </w:r>
          </w:p>
        </w:tc>
      </w:tr>
      <w:tr>
        <w:trPr>
          <w:trHeight w:val="278"/>
        </w:trPr>
        <w:tc>
          <w:tcPr>
            <w:tcW w:w="6000" w:type="dxa"/>
            <w:vAlign w:val="bottom"/>
            <w:gridSpan w:val="2"/>
          </w:tcPr>
          <w:p>
            <w:pPr>
              <w:spacing w:after="0"/>
              <w:rPr>
                <w:sz w:val="20"/>
                <w:szCs w:val="20"/>
                <w:color w:val="auto"/>
              </w:rPr>
            </w:pPr>
            <w:r>
              <w:rPr>
                <w:rFonts w:ascii="Arial" w:cs="Arial" w:eastAsia="Arial" w:hAnsi="Arial"/>
                <w:sz w:val="18"/>
                <w:szCs w:val="18"/>
                <w:color w:val="auto"/>
                <w:w w:val="96"/>
              </w:rPr>
              <w:t>Unrealized losses (gains) on derivatives and hedging arising during the period</w:t>
            </w:r>
          </w:p>
        </w:tc>
        <w:tc>
          <w:tcPr>
            <w:tcW w:w="66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6"/>
        </w:trPr>
        <w:tc>
          <w:tcPr>
            <w:tcW w:w="5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8"/>
        </w:trPr>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effect related to other comprehensive income</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(1,337)</w:t>
            </w:r>
          </w:p>
        </w:tc>
        <w:tc>
          <w:tcPr>
            <w:tcW w:w="66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r>
      <w:tr>
        <w:trPr>
          <w:trHeight w:val="81"/>
        </w:trPr>
        <w:tc>
          <w:tcPr>
            <w:tcW w:w="59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-2776220</wp:posOffset>
            </wp:positionV>
            <wp:extent cx="596773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596773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596773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596773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-1951990</wp:posOffset>
            </wp:positionV>
            <wp:extent cx="5967730" cy="285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-1362710</wp:posOffset>
            </wp:positionV>
            <wp:extent cx="596773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-1156970</wp:posOffset>
            </wp:positionV>
            <wp:extent cx="596773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-798195</wp:posOffset>
            </wp:positionV>
            <wp:extent cx="596773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596773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26</w:t>
      </w:r>
    </w:p>
    <w:p>
      <w:pPr>
        <w:sectPr>
          <w:pgSz w:w="11900" w:h="16838" w:orient="portrait"/>
          <w:cols w:equalWidth="0" w:num="1">
            <w:col w:w="9400"/>
          </w:cols>
          <w:pgMar w:left="1260" w:top="1440" w:right="1246" w:bottom="0" w:gutter="0" w:footer="0" w:header="0"/>
          <w:type w:val="continuous"/>
        </w:sectPr>
      </w:pPr>
    </w:p>
    <w:bookmarkStart w:id="119" w:name="page120"/>
    <w:bookmarkEnd w:id="119"/>
    <w:p>
      <w:pPr>
        <w:jc w:val="center"/>
        <w:ind w:right="-13"/>
        <w:spacing w:after="0"/>
        <w:rPr>
          <w:sz w:val="20"/>
          <w:szCs w:val="20"/>
          <w:color w:val="auto"/>
        </w:rPr>
      </w:pPr>
      <w:r>
        <w:rPr>
          <w:rFonts w:ascii="Arial" w:cs="Arial" w:eastAsia="Arial" w:hAnsi="Arial"/>
          <w:sz w:val="20"/>
          <w:szCs w:val="20"/>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26</w:t>
      </w:r>
    </w:p>
    <w:p>
      <w:pPr>
        <w:sectPr>
          <w:pgSz w:w="11900" w:h="16838" w:orient="portrait"/>
          <w:cols w:equalWidth="0" w:num="1">
            <w:col w:w="9026"/>
          </w:cols>
          <w:pgMar w:left="1440" w:top="1297" w:right="1440" w:bottom="0"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Pathfinder Bancorp, Inc.</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Changes in Shareholder's Equity</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Years ended December 31, 2025 and December 31, 2024</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color w:val="auto"/>
              </w:rPr>
              <w:t>Non-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2"/>
              </w:rPr>
              <w:t>Accumulated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0"/>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20"/>
              <w:spacing w:after="0"/>
              <w:rPr>
                <w:sz w:val="20"/>
                <w:szCs w:val="20"/>
                <w:color w:val="auto"/>
              </w:rPr>
            </w:pPr>
            <w:r>
              <w:rPr>
                <w:rFonts w:ascii="Arial" w:cs="Arial" w:eastAsia="Arial" w:hAnsi="Arial"/>
                <w:sz w:val="16"/>
                <w:szCs w:val="16"/>
                <w:color w:val="auto"/>
                <w:w w:val="96"/>
              </w:rPr>
              <w:t>Voting</w:t>
            </w:r>
          </w:p>
        </w:tc>
        <w:tc>
          <w:tcPr>
            <w:tcW w:w="900" w:type="dxa"/>
            <w:vAlign w:val="bottom"/>
            <w:gridSpan w:val="2"/>
          </w:tcPr>
          <w:p>
            <w:pPr>
              <w:ind w:left="100"/>
              <w:spacing w:after="0"/>
              <w:rPr>
                <w:sz w:val="20"/>
                <w:szCs w:val="20"/>
                <w:color w:val="auto"/>
              </w:rPr>
            </w:pPr>
            <w:r>
              <w:rPr>
                <w:rFonts w:ascii="Arial" w:cs="Arial" w:eastAsia="Arial" w:hAnsi="Arial"/>
                <w:sz w:val="16"/>
                <w:szCs w:val="16"/>
                <w:color w:val="auto"/>
              </w:rPr>
              <w:t>Additional</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280"/>
              <w:spacing w:after="0"/>
              <w:rPr>
                <w:sz w:val="20"/>
                <w:szCs w:val="20"/>
                <w:color w:val="auto"/>
              </w:rPr>
            </w:pPr>
            <w:r>
              <w:rPr>
                <w:rFonts w:ascii="Arial" w:cs="Arial" w:eastAsia="Arial" w:hAnsi="Arial"/>
                <w:sz w:val="16"/>
                <w:szCs w:val="16"/>
                <w:color w:val="auto"/>
                <w:w w:val="89"/>
              </w:rPr>
              <w:t>Other</w:t>
            </w:r>
          </w:p>
        </w:tc>
        <w:tc>
          <w:tcPr>
            <w:tcW w:w="860" w:type="dxa"/>
            <w:vAlign w:val="bottom"/>
            <w:gridSpan w:val="2"/>
          </w:tcPr>
          <w:p>
            <w:pPr>
              <w:ind w:left="60"/>
              <w:spacing w:after="0"/>
              <w:rPr>
                <w:sz w:val="20"/>
                <w:szCs w:val="20"/>
                <w:color w:val="auto"/>
              </w:rPr>
            </w:pPr>
            <w:r>
              <w:rPr>
                <w:rFonts w:ascii="Arial" w:cs="Arial" w:eastAsia="Arial" w:hAnsi="Arial"/>
                <w:sz w:val="16"/>
                <w:szCs w:val="16"/>
                <w:color w:val="auto"/>
              </w:rPr>
              <w:t>Unearned</w:t>
            </w:r>
          </w:p>
        </w:tc>
        <w:tc>
          <w:tcPr>
            <w:tcW w:w="160" w:type="dxa"/>
            <w:vAlign w:val="bottom"/>
          </w:tcPr>
          <w:p>
            <w:pPr>
              <w:spacing w:after="0"/>
              <w:rPr>
                <w:sz w:val="20"/>
                <w:szCs w:val="20"/>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color w:val="auto"/>
              </w:rPr>
              <w:t>Non-</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0"/>
        </w:trPr>
        <w:tc>
          <w:tcPr>
            <w:tcW w:w="2240" w:type="dxa"/>
            <w:vAlign w:val="bottom"/>
          </w:tcPr>
          <w:p>
            <w:pPr>
              <w:spacing w:after="0"/>
              <w:rPr>
                <w:sz w:val="20"/>
                <w:szCs w:val="20"/>
                <w:color w:val="auto"/>
              </w:rPr>
            </w:pPr>
            <w:r>
              <w:rPr>
                <w:rFonts w:ascii="Arial" w:cs="Arial" w:eastAsia="Arial" w:hAnsi="Arial"/>
                <w:sz w:val="16"/>
                <w:szCs w:val="16"/>
                <w:i w:val="1"/>
                <w:iCs w:val="1"/>
                <w:color w:val="auto"/>
                <w:w w:val="97"/>
              </w:rPr>
              <w:t>(In thousands, except share and</w:t>
            </w:r>
          </w:p>
        </w:tc>
        <w:tc>
          <w:tcPr>
            <w:tcW w:w="820" w:type="dxa"/>
            <w:vAlign w:val="bottom"/>
            <w:gridSpan w:val="2"/>
          </w:tcPr>
          <w:p>
            <w:pPr>
              <w:ind w:left="80"/>
              <w:spacing w:after="0"/>
              <w:rPr>
                <w:sz w:val="20"/>
                <w:szCs w:val="20"/>
                <w:color w:val="auto"/>
              </w:rPr>
            </w:pPr>
            <w:r>
              <w:rPr>
                <w:rFonts w:ascii="Arial" w:cs="Arial" w:eastAsia="Arial" w:hAnsi="Arial"/>
                <w:sz w:val="16"/>
                <w:szCs w:val="16"/>
                <w:color w:val="auto"/>
              </w:rPr>
              <w:t>Common</w:t>
            </w:r>
          </w:p>
        </w:tc>
        <w:tc>
          <w:tcPr>
            <w:tcW w:w="820" w:type="dxa"/>
            <w:vAlign w:val="bottom"/>
            <w:gridSpan w:val="2"/>
          </w:tcPr>
          <w:p>
            <w:pPr>
              <w:ind w:left="100"/>
              <w:spacing w:after="0"/>
              <w:rPr>
                <w:sz w:val="20"/>
                <w:szCs w:val="20"/>
                <w:color w:val="auto"/>
              </w:rPr>
            </w:pPr>
            <w:r>
              <w:rPr>
                <w:rFonts w:ascii="Arial" w:cs="Arial" w:eastAsia="Arial" w:hAnsi="Arial"/>
                <w:sz w:val="16"/>
                <w:szCs w:val="16"/>
                <w:color w:val="auto"/>
              </w:rPr>
              <w:t>Common</w:t>
            </w:r>
          </w:p>
        </w:tc>
        <w:tc>
          <w:tcPr>
            <w:tcW w:w="200" w:type="dxa"/>
            <w:vAlign w:val="bottom"/>
          </w:tcPr>
          <w:p>
            <w:pPr>
              <w:spacing w:after="0"/>
              <w:rPr>
                <w:sz w:val="20"/>
                <w:szCs w:val="20"/>
                <w:color w:val="auto"/>
              </w:rPr>
            </w:pPr>
          </w:p>
        </w:tc>
        <w:tc>
          <w:tcPr>
            <w:tcW w:w="700" w:type="dxa"/>
            <w:vAlign w:val="bottom"/>
          </w:tcPr>
          <w:p>
            <w:pPr>
              <w:jc w:val="right"/>
              <w:ind w:right="160"/>
              <w:spacing w:after="0"/>
              <w:rPr>
                <w:sz w:val="20"/>
                <w:szCs w:val="20"/>
                <w:color w:val="auto"/>
              </w:rPr>
            </w:pPr>
            <w:r>
              <w:rPr>
                <w:rFonts w:ascii="Arial" w:cs="Arial" w:eastAsia="Arial" w:hAnsi="Arial"/>
                <w:sz w:val="16"/>
                <w:szCs w:val="16"/>
                <w:color w:val="auto"/>
                <w:w w:val="89"/>
              </w:rPr>
              <w:t>Paid in</w:t>
            </w:r>
          </w:p>
        </w:tc>
        <w:tc>
          <w:tcPr>
            <w:tcW w:w="840" w:type="dxa"/>
            <w:vAlign w:val="bottom"/>
            <w:gridSpan w:val="2"/>
          </w:tcPr>
          <w:p>
            <w:pPr>
              <w:ind w:left="100"/>
              <w:spacing w:after="0"/>
              <w:rPr>
                <w:sz w:val="20"/>
                <w:szCs w:val="20"/>
                <w:color w:val="auto"/>
              </w:rPr>
            </w:pPr>
            <w:r>
              <w:rPr>
                <w:rFonts w:ascii="Arial" w:cs="Arial" w:eastAsia="Arial" w:hAnsi="Arial"/>
                <w:sz w:val="16"/>
                <w:szCs w:val="16"/>
                <w:color w:val="auto"/>
              </w:rPr>
              <w:t>Retained</w:t>
            </w:r>
          </w:p>
        </w:tc>
        <w:tc>
          <w:tcPr>
            <w:tcW w:w="1220" w:type="dxa"/>
            <w:vAlign w:val="bottom"/>
            <w:gridSpan w:val="2"/>
          </w:tcPr>
          <w:p>
            <w:pPr>
              <w:ind w:left="60"/>
              <w:spacing w:after="0"/>
              <w:rPr>
                <w:sz w:val="20"/>
                <w:szCs w:val="20"/>
                <w:color w:val="auto"/>
              </w:rPr>
            </w:pPr>
            <w:r>
              <w:rPr>
                <w:rFonts w:ascii="Arial" w:cs="Arial" w:eastAsia="Arial" w:hAnsi="Arial"/>
                <w:sz w:val="16"/>
                <w:szCs w:val="16"/>
                <w:color w:val="auto"/>
              </w:rPr>
              <w:t>Comprehensive</w:t>
            </w:r>
          </w:p>
        </w:tc>
        <w:tc>
          <w:tcPr>
            <w:tcW w:w="160" w:type="dxa"/>
            <w:vAlign w:val="bottom"/>
          </w:tcPr>
          <w:p>
            <w:pPr>
              <w:spacing w:after="0"/>
              <w:rPr>
                <w:sz w:val="20"/>
                <w:szCs w:val="20"/>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color w:val="auto"/>
                <w:w w:val="89"/>
              </w:rPr>
              <w:t>ESOP</w:t>
            </w: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controlling</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0"/>
        </w:trPr>
        <w:tc>
          <w:tcPr>
            <w:tcW w:w="2240" w:type="dxa"/>
            <w:vAlign w:val="bottom"/>
          </w:tcPr>
          <w:p>
            <w:pPr>
              <w:spacing w:after="0"/>
              <w:rPr>
                <w:sz w:val="20"/>
                <w:szCs w:val="20"/>
                <w:color w:val="auto"/>
              </w:rPr>
            </w:pPr>
            <w:r>
              <w:rPr>
                <w:rFonts w:ascii="Arial" w:cs="Arial" w:eastAsia="Arial" w:hAnsi="Arial"/>
                <w:sz w:val="16"/>
                <w:szCs w:val="16"/>
                <w:i w:val="1"/>
                <w:iCs w:val="1"/>
                <w:color w:val="auto"/>
              </w:rPr>
              <w:t>per share data)</w:t>
            </w:r>
          </w:p>
        </w:tc>
        <w:tc>
          <w:tcPr>
            <w:tcW w:w="180" w:type="dxa"/>
            <w:vAlign w:val="bottom"/>
          </w:tcPr>
          <w:p>
            <w:pPr>
              <w:spacing w:after="0"/>
              <w:rPr>
                <w:sz w:val="20"/>
                <w:szCs w:val="20"/>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color w:val="auto"/>
                <w:w w:val="94"/>
              </w:rPr>
              <w:t>Stock</w:t>
            </w:r>
          </w:p>
        </w:tc>
        <w:tc>
          <w:tcPr>
            <w:tcW w:w="16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Stock</w:t>
            </w:r>
          </w:p>
        </w:tc>
        <w:tc>
          <w:tcPr>
            <w:tcW w:w="200" w:type="dxa"/>
            <w:vAlign w:val="bottom"/>
          </w:tcPr>
          <w:p>
            <w:pPr>
              <w:spacing w:after="0"/>
              <w:rPr>
                <w:sz w:val="20"/>
                <w:szCs w:val="20"/>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w w:val="96"/>
              </w:rPr>
              <w:t>Capital</w:t>
            </w:r>
          </w:p>
        </w:tc>
        <w:tc>
          <w:tcPr>
            <w:tcW w:w="840" w:type="dxa"/>
            <w:vAlign w:val="bottom"/>
            <w:gridSpan w:val="2"/>
          </w:tcPr>
          <w:p>
            <w:pPr>
              <w:ind w:left="120"/>
              <w:spacing w:after="0"/>
              <w:rPr>
                <w:sz w:val="20"/>
                <w:szCs w:val="20"/>
                <w:color w:val="auto"/>
              </w:rPr>
            </w:pPr>
            <w:r>
              <w:rPr>
                <w:rFonts w:ascii="Arial" w:cs="Arial" w:eastAsia="Arial" w:hAnsi="Arial"/>
                <w:sz w:val="16"/>
                <w:szCs w:val="16"/>
                <w:color w:val="auto"/>
              </w:rPr>
              <w:t>Earnings</w:t>
            </w:r>
          </w:p>
        </w:tc>
        <w:tc>
          <w:tcPr>
            <w:tcW w:w="260" w:type="dxa"/>
            <w:vAlign w:val="bottom"/>
          </w:tcPr>
          <w:p>
            <w:pPr>
              <w:spacing w:after="0"/>
              <w:rPr>
                <w:sz w:val="20"/>
                <w:szCs w:val="20"/>
                <w:color w:val="auto"/>
              </w:rPr>
            </w:pPr>
          </w:p>
        </w:tc>
        <w:tc>
          <w:tcPr>
            <w:tcW w:w="960" w:type="dxa"/>
            <w:vAlign w:val="bottom"/>
          </w:tcPr>
          <w:p>
            <w:pPr>
              <w:jc w:val="center"/>
              <w:ind w:right="220"/>
              <w:spacing w:after="0"/>
              <w:rPr>
                <w:sz w:val="20"/>
                <w:szCs w:val="20"/>
                <w:color w:val="auto"/>
              </w:rPr>
            </w:pPr>
            <w:r>
              <w:rPr>
                <w:rFonts w:ascii="Arial" w:cs="Arial" w:eastAsia="Arial" w:hAnsi="Arial"/>
                <w:sz w:val="16"/>
                <w:szCs w:val="16"/>
                <w:color w:val="auto"/>
                <w:w w:val="88"/>
              </w:rPr>
              <w:t>Loss</w:t>
            </w:r>
          </w:p>
        </w:tc>
        <w:tc>
          <w:tcPr>
            <w:tcW w:w="160" w:type="dxa"/>
            <w:vAlign w:val="bottom"/>
          </w:tcPr>
          <w:p>
            <w:pPr>
              <w:spacing w:after="0"/>
              <w:rPr>
                <w:sz w:val="20"/>
                <w:szCs w:val="20"/>
                <w:color w:val="auto"/>
              </w:rPr>
            </w:pPr>
          </w:p>
        </w:tc>
        <w:tc>
          <w:tcPr>
            <w:tcW w:w="700" w:type="dxa"/>
            <w:vAlign w:val="bottom"/>
          </w:tcPr>
          <w:p>
            <w:pPr>
              <w:jc w:val="right"/>
              <w:ind w:right="180"/>
              <w:spacing w:after="0"/>
              <w:rPr>
                <w:sz w:val="20"/>
                <w:szCs w:val="20"/>
                <w:color w:val="auto"/>
              </w:rPr>
            </w:pPr>
            <w:r>
              <w:rPr>
                <w:rFonts w:ascii="Arial" w:cs="Arial" w:eastAsia="Arial" w:hAnsi="Arial"/>
                <w:sz w:val="16"/>
                <w:szCs w:val="16"/>
                <w:color w:val="auto"/>
                <w:w w:val="87"/>
              </w:rPr>
              <w:t>shares</w:t>
            </w:r>
          </w:p>
        </w:tc>
        <w:tc>
          <w:tcPr>
            <w:tcW w:w="160" w:type="dxa"/>
            <w:vAlign w:val="bottom"/>
          </w:tcPr>
          <w:p>
            <w:pPr>
              <w:spacing w:after="0"/>
              <w:rPr>
                <w:sz w:val="20"/>
                <w:szCs w:val="20"/>
                <w:color w:val="auto"/>
              </w:rPr>
            </w:pPr>
          </w:p>
        </w:tc>
        <w:tc>
          <w:tcPr>
            <w:tcW w:w="720" w:type="dxa"/>
            <w:vAlign w:val="bottom"/>
          </w:tcPr>
          <w:p>
            <w:pPr>
              <w:jc w:val="right"/>
              <w:ind w:right="140"/>
              <w:spacing w:after="0"/>
              <w:rPr>
                <w:sz w:val="20"/>
                <w:szCs w:val="20"/>
                <w:color w:val="auto"/>
              </w:rPr>
            </w:pPr>
            <w:r>
              <w:rPr>
                <w:rFonts w:ascii="Arial" w:cs="Arial" w:eastAsia="Arial" w:hAnsi="Arial"/>
                <w:sz w:val="16"/>
                <w:szCs w:val="16"/>
                <w:color w:val="auto"/>
                <w:w w:val="89"/>
              </w:rPr>
              <w:t>Interest</w:t>
            </w:r>
          </w:p>
        </w:tc>
        <w:tc>
          <w:tcPr>
            <w:tcW w:w="180" w:type="dxa"/>
            <w:vAlign w:val="bottom"/>
          </w:tcPr>
          <w:p>
            <w:pPr>
              <w:spacing w:after="0"/>
              <w:rPr>
                <w:sz w:val="20"/>
                <w:szCs w:val="20"/>
                <w:color w:val="auto"/>
              </w:rPr>
            </w:pPr>
          </w:p>
        </w:tc>
        <w:tc>
          <w:tcPr>
            <w:tcW w:w="640" w:type="dxa"/>
            <w:vAlign w:val="bottom"/>
          </w:tcPr>
          <w:p>
            <w:pPr>
              <w:jc w:val="right"/>
              <w:ind w:right="180"/>
              <w:spacing w:after="0"/>
              <w:rPr>
                <w:sz w:val="20"/>
                <w:szCs w:val="20"/>
                <w:color w:val="auto"/>
              </w:rPr>
            </w:pPr>
            <w:r>
              <w:rPr>
                <w:rFonts w:ascii="Arial" w:cs="Arial" w:eastAsia="Arial" w:hAnsi="Arial"/>
                <w:sz w:val="16"/>
                <w:szCs w:val="16"/>
                <w:color w:val="auto"/>
              </w:rPr>
              <w:t>Total</w:t>
            </w:r>
          </w:p>
        </w:tc>
      </w:tr>
      <w:tr>
        <w:trPr>
          <w:trHeight w:val="42"/>
        </w:trPr>
        <w:tc>
          <w:tcPr>
            <w:tcW w:w="2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94"/>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January 1, 2025</w:t>
            </w:r>
          </w:p>
        </w:tc>
        <w:tc>
          <w:tcPr>
            <w:tcW w:w="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52,750</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98"/>
              </w:rPr>
              <w:t>77,816</w:t>
            </w:r>
          </w:p>
        </w:tc>
        <w:tc>
          <w:tcPr>
            <w:tcW w:w="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(9,144)</w:t>
            </w:r>
          </w:p>
        </w:tc>
        <w:tc>
          <w:tcPr>
            <w:tcW w:w="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8"/>
              </w:rPr>
              <w:t>$ 121,483</w:t>
            </w:r>
          </w:p>
        </w:tc>
      </w:tr>
      <w:tr>
        <w:trPr>
          <w:trHeight w:val="282"/>
        </w:trPr>
        <w:tc>
          <w:tcPr>
            <w:tcW w:w="22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(1,933)</w:t>
            </w:r>
          </w:p>
        </w:tc>
        <w:tc>
          <w:tcPr>
            <w:tcW w:w="26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(1,933)</w:t>
            </w:r>
          </w:p>
        </w:tc>
      </w:tr>
      <w:tr>
        <w:trPr>
          <w:trHeight w:val="32"/>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2"/>
        </w:trPr>
        <w:tc>
          <w:tcPr>
            <w:tcW w:w="2240" w:type="dxa"/>
            <w:vAlign w:val="bottom"/>
            <w:shd w:val="clear" w:color="auto" w:fill="CFF0FC"/>
          </w:tcPr>
          <w:p>
            <w:pPr>
              <w:ind w:left="20"/>
              <w:spacing w:after="0"/>
              <w:rPr>
                <w:sz w:val="20"/>
                <w:szCs w:val="20"/>
                <w:color w:val="auto"/>
              </w:rPr>
            </w:pPr>
            <w:r>
              <w:rPr>
                <w:rFonts w:ascii="Arial" w:cs="Arial" w:eastAsia="Arial" w:hAnsi="Arial"/>
                <w:sz w:val="16"/>
                <w:szCs w:val="16"/>
                <w:color w:val="auto"/>
                <w:w w:val="91"/>
              </w:rPr>
              <w:t>Other comprehensive income, net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52"/>
        </w:trPr>
        <w:tc>
          <w:tcPr>
            <w:tcW w:w="2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of tax</w:t>
            </w:r>
          </w:p>
        </w:tc>
        <w:tc>
          <w:tcPr>
            <w:tcW w:w="1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3,777</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3,777</w:t>
            </w:r>
          </w:p>
        </w:tc>
      </w:tr>
      <w:tr>
        <w:trPr>
          <w:trHeight w:val="282"/>
        </w:trPr>
        <w:tc>
          <w:tcPr>
            <w:tcW w:w="224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8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985</w:t>
            </w:r>
          </w:p>
        </w:tc>
        <w:tc>
          <w:tcPr>
            <w:tcW w:w="220" w:type="dxa"/>
            <w:vAlign w:val="bottom"/>
          </w:tcPr>
          <w:p>
            <w:pPr>
              <w:spacing w:after="0"/>
              <w:rPr>
                <w:sz w:val="24"/>
                <w:szCs w:val="24"/>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985</w:t>
            </w:r>
          </w:p>
        </w:tc>
      </w:tr>
      <w:tr>
        <w:trPr>
          <w:trHeight w:val="32"/>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94"/>
        </w:trPr>
        <w:tc>
          <w:tcPr>
            <w:tcW w:w="2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 options exercised</w:t>
            </w:r>
          </w:p>
        </w:tc>
        <w:tc>
          <w:tcPr>
            <w:tcW w:w="1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656</w:t>
            </w:r>
          </w:p>
        </w:tc>
      </w:tr>
      <w:tr>
        <w:trPr>
          <w:trHeight w:val="266"/>
        </w:trPr>
        <w:tc>
          <w:tcPr>
            <w:tcW w:w="2240" w:type="dxa"/>
            <w:vAlign w:val="bottom"/>
          </w:tcPr>
          <w:p>
            <w:pPr>
              <w:ind w:left="20"/>
              <w:spacing w:after="0"/>
              <w:rPr>
                <w:sz w:val="20"/>
                <w:szCs w:val="20"/>
                <w:color w:val="auto"/>
              </w:rPr>
            </w:pPr>
            <w:r>
              <w:rPr>
                <w:rFonts w:ascii="Arial" w:cs="Arial" w:eastAsia="Arial" w:hAnsi="Arial"/>
                <w:sz w:val="16"/>
                <w:szCs w:val="16"/>
                <w:color w:val="auto"/>
                <w:w w:val="97"/>
              </w:rPr>
              <w:t>Voting common stock dividends</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317"/>
        </w:trPr>
        <w:tc>
          <w:tcPr>
            <w:tcW w:w="2240" w:type="dxa"/>
            <w:vAlign w:val="bottom"/>
          </w:tcPr>
          <w:p>
            <w:pPr>
              <w:ind w:left="20"/>
              <w:spacing w:after="0"/>
              <w:rPr>
                <w:sz w:val="20"/>
                <w:szCs w:val="20"/>
                <w:color w:val="auto"/>
              </w:rPr>
            </w:pPr>
            <w:r>
              <w:rPr>
                <w:rFonts w:ascii="Arial" w:cs="Arial" w:eastAsia="Arial" w:hAnsi="Arial"/>
                <w:sz w:val="16"/>
                <w:szCs w:val="16"/>
                <w:color w:val="auto"/>
              </w:rPr>
              <w:t>declared ($0.40 per share)</w:t>
            </w:r>
          </w:p>
        </w:tc>
        <w:tc>
          <w:tcPr>
            <w:tcW w:w="18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(1,915)</w:t>
            </w:r>
          </w:p>
        </w:tc>
        <w:tc>
          <w:tcPr>
            <w:tcW w:w="26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(1,915)</w:t>
            </w:r>
          </w:p>
        </w:tc>
      </w:tr>
      <w:tr>
        <w:trPr>
          <w:trHeight w:val="32"/>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66"/>
        </w:trPr>
        <w:tc>
          <w:tcPr>
            <w:tcW w:w="2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Non-Voting common stock</w:t>
            </w:r>
          </w:p>
        </w:tc>
        <w:tc>
          <w:tcPr>
            <w:tcW w:w="18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r>
      <w:tr>
        <w:trPr>
          <w:trHeight w:val="300"/>
        </w:trPr>
        <w:tc>
          <w:tcPr>
            <w:tcW w:w="2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declared ($0.40 per</w:t>
            </w:r>
          </w:p>
        </w:tc>
        <w:tc>
          <w:tcPr>
            <w:tcW w:w="18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r>
      <w:tr>
        <w:trPr>
          <w:trHeight w:val="329"/>
        </w:trPr>
        <w:tc>
          <w:tcPr>
            <w:tcW w:w="2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w:t>
            </w:r>
          </w:p>
        </w:tc>
        <w:tc>
          <w:tcPr>
            <w:tcW w:w="1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(552)</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(552)</w:t>
            </w:r>
          </w:p>
        </w:tc>
      </w:tr>
      <w:tr>
        <w:trPr>
          <w:trHeight w:val="266"/>
        </w:trPr>
        <w:tc>
          <w:tcPr>
            <w:tcW w:w="2240" w:type="dxa"/>
            <w:vAlign w:val="bottom"/>
          </w:tcPr>
          <w:p>
            <w:pPr>
              <w:ind w:left="20"/>
              <w:spacing w:after="0"/>
              <w:rPr>
                <w:sz w:val="20"/>
                <w:szCs w:val="20"/>
                <w:color w:val="auto"/>
              </w:rPr>
            </w:pPr>
            <w:r>
              <w:rPr>
                <w:rFonts w:ascii="Arial" w:cs="Arial" w:eastAsia="Arial" w:hAnsi="Arial"/>
                <w:sz w:val="16"/>
                <w:szCs w:val="16"/>
                <w:color w:val="auto"/>
              </w:rPr>
              <w:t>Warrant dividends declared</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317"/>
        </w:trPr>
        <w:tc>
          <w:tcPr>
            <w:tcW w:w="2240" w:type="dxa"/>
            <w:vAlign w:val="bottom"/>
          </w:tcPr>
          <w:p>
            <w:pPr>
              <w:ind w:left="20"/>
              <w:spacing w:after="0"/>
              <w:rPr>
                <w:sz w:val="20"/>
                <w:szCs w:val="20"/>
                <w:color w:val="auto"/>
              </w:rPr>
            </w:pPr>
            <w:r>
              <w:rPr>
                <w:rFonts w:ascii="Arial" w:cs="Arial" w:eastAsia="Arial" w:hAnsi="Arial"/>
                <w:sz w:val="16"/>
                <w:szCs w:val="16"/>
                <w:color w:val="auto"/>
              </w:rPr>
              <w:t>($0.40 per share)</w:t>
            </w:r>
          </w:p>
        </w:tc>
        <w:tc>
          <w:tcPr>
            <w:tcW w:w="18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42"/>
        </w:trPr>
        <w:tc>
          <w:tcPr>
            <w:tcW w:w="2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82"/>
        </w:trPr>
        <w:tc>
          <w:tcPr>
            <w:tcW w:w="2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December 31, 2025</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54,390</w:t>
            </w:r>
          </w:p>
        </w:tc>
        <w:tc>
          <w:tcPr>
            <w:tcW w:w="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8"/>
              </w:rPr>
              <w:t>73,366</w:t>
            </w:r>
          </w:p>
        </w:tc>
        <w:tc>
          <w:tcPr>
            <w:tcW w:w="26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(5,367)</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8"/>
              </w:rPr>
              <w:t>$ 122,451</w:t>
            </w:r>
          </w:p>
        </w:tc>
      </w:tr>
      <w:tr>
        <w:trPr>
          <w:trHeight w:val="77"/>
        </w:trPr>
        <w:tc>
          <w:tcPr>
            <w:tcW w:w="22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r>
      <w:tr>
        <w:trPr>
          <w:trHeight w:val="254"/>
        </w:trPr>
        <w:tc>
          <w:tcPr>
            <w:tcW w:w="2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94"/>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January 1, 2024</w:t>
            </w:r>
          </w:p>
        </w:tc>
        <w:tc>
          <w:tcPr>
            <w:tcW w:w="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53,114</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98"/>
              </w:rPr>
              <w:t>76,060</w:t>
            </w:r>
          </w:p>
        </w:tc>
        <w:tc>
          <w:tcPr>
            <w:tcW w:w="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(9,605)</w:t>
            </w:r>
          </w:p>
        </w:tc>
        <w:tc>
          <w:tcPr>
            <w:tcW w:w="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761</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8"/>
              </w:rPr>
              <w:t>$ 120,256</w:t>
            </w:r>
          </w:p>
        </w:tc>
      </w:tr>
      <w:tr>
        <w:trPr>
          <w:trHeight w:val="282"/>
        </w:trPr>
        <w:tc>
          <w:tcPr>
            <w:tcW w:w="2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3,383</w:t>
            </w:r>
          </w:p>
        </w:tc>
        <w:tc>
          <w:tcPr>
            <w:tcW w:w="26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1,445</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4,828</w:t>
            </w:r>
          </w:p>
        </w:tc>
      </w:tr>
      <w:tr>
        <w:trPr>
          <w:trHeight w:val="32"/>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2"/>
        </w:trPr>
        <w:tc>
          <w:tcPr>
            <w:tcW w:w="2240" w:type="dxa"/>
            <w:vAlign w:val="bottom"/>
            <w:shd w:val="clear" w:color="auto" w:fill="CFF0FC"/>
          </w:tcPr>
          <w:p>
            <w:pPr>
              <w:ind w:left="20"/>
              <w:spacing w:after="0"/>
              <w:rPr>
                <w:sz w:val="20"/>
                <w:szCs w:val="20"/>
                <w:color w:val="auto"/>
              </w:rPr>
            </w:pPr>
            <w:r>
              <w:rPr>
                <w:rFonts w:ascii="Arial" w:cs="Arial" w:eastAsia="Arial" w:hAnsi="Arial"/>
                <w:sz w:val="16"/>
                <w:szCs w:val="16"/>
                <w:color w:val="auto"/>
                <w:w w:val="91"/>
              </w:rPr>
              <w:t>Other comprehensive income, net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tcPr>
          <w:p>
            <w:pPr>
              <w:spacing w:after="0"/>
              <w:rPr>
                <w:sz w:val="19"/>
                <w:szCs w:val="19"/>
                <w:color w:val="auto"/>
              </w:rPr>
            </w:pPr>
          </w:p>
        </w:tc>
      </w:tr>
      <w:tr>
        <w:trPr>
          <w:trHeight w:val="240"/>
        </w:trPr>
        <w:tc>
          <w:tcPr>
            <w:tcW w:w="2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of tax</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461</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40" w:type="dxa"/>
            <w:vAlign w:val="bottom"/>
          </w:tcPr>
          <w:p>
            <w:pPr>
              <w:spacing w:after="0"/>
              <w:rPr>
                <w:sz w:val="20"/>
                <w:szCs w:val="20"/>
                <w:color w:val="auto"/>
              </w:rPr>
            </w:pPr>
          </w:p>
        </w:tc>
      </w:tr>
      <w:tr>
        <w:trPr>
          <w:trHeight w:val="32"/>
        </w:trPr>
        <w:tc>
          <w:tcPr>
            <w:tcW w:w="22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-3588385</wp:posOffset>
            </wp:positionV>
            <wp:extent cx="596773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-1108710</wp:posOffset>
            </wp:positionV>
            <wp:extent cx="596773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-902970</wp:posOffset>
            </wp:positionV>
            <wp:extent cx="5967730" cy="285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26</w:t>
      </w:r>
    </w:p>
    <w:p>
      <w:pPr>
        <w:sectPr>
          <w:pgSz w:w="11900" w:h="16838" w:orient="portrait"/>
          <w:cols w:equalWidth="0" w:num="1">
            <w:col w:w="9400"/>
          </w:cols>
          <w:pgMar w:left="1260" w:top="1440" w:right="1246" w:bottom="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6"/>
          <w:szCs w:val="16"/>
          <w:color w:val="auto"/>
        </w:rPr>
        <w:t>461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ESOP shares earned (18,332 shares)</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247</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Stock options exercised</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320"/>
          </w:cols>
          <w:pgMar w:left="1340" w:top="132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 / 30</w:t>
      </w:r>
    </w:p>
    <w:p>
      <w:pPr>
        <w:sectPr>
          <w:pgSz w:w="11900" w:h="16838" w:orient="portrait"/>
          <w:cols w:equalWidth="0" w:num="1">
            <w:col w:w="9320"/>
          </w:cols>
          <w:pgMar w:left="1340" w:top="1321" w:right="1246" w:bottom="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291</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6"/>
          <w:szCs w:val="16"/>
          <w:color w:val="auto"/>
        </w:rPr>
        <w:t>Voting common stock dividends declared ($0.40 per share)</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(1,888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(1,888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Non-Voting common stock dividends declared ($0.40 per share)</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(552</w:t>
      </w:r>
    </w:p>
    <w:p>
      <w:pPr>
        <w:sectPr>
          <w:pgSz w:w="11900" w:h="16838" w:orient="portrait"/>
          <w:cols w:equalWidth="0" w:num="1">
            <w:col w:w="9400"/>
          </w:cols>
          <w:pgMar w:left="1260" w:top="1157" w:right="124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30</w:t>
      </w:r>
    </w:p>
    <w:p>
      <w:pPr>
        <w:sectPr>
          <w:pgSz w:w="11900" w:h="16838" w:orient="portrait"/>
          <w:cols w:equalWidth="0" w:num="1">
            <w:col w:w="9400"/>
          </w:cols>
          <w:pgMar w:left="1260" w:top="1157" w:right="1246"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color w:val="auto"/>
        </w:rPr>
        <w:t>Warrant dividends declared ($0.40 per share)</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Deconsolidation of a subsidiary</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15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30</w:t>
      </w:r>
    </w:p>
    <w:p>
      <w:pPr>
        <w:sectPr>
          <w:pgSz w:w="11900" w:h="16838" w:orient="portrait"/>
          <w:cols w:equalWidth="0" w:num="1">
            <w:col w:w="9400"/>
          </w:cols>
          <w:pgMar w:left="1260" w:top="1157" w:right="1246" w:bottom="0" w:gutter="0" w:footer="0" w:header="0"/>
          <w:type w:val="continuous"/>
        </w:sectPr>
      </w:pPr>
    </w:p>
    <w:bookmarkStart w:id="124" w:name="page125"/>
    <w:bookmarkEnd w:id="124"/>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(767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863</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(2,206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(2,110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December 31, 2024</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52,750</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77,816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(9,144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121,483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30</w:t>
      </w:r>
    </w:p>
    <w:p>
      <w:pPr>
        <w:sectPr>
          <w:pgSz w:w="11900" w:h="16838" w:orient="portrait"/>
          <w:cols w:equalWidth="0" w:num="1">
            <w:col w:w="9400"/>
          </w:cols>
          <w:pgMar w:left="1260" w:top="1440" w:right="1246" w:bottom="0" w:gutter="0" w:footer="0" w:header="0"/>
          <w:type w:val="continuous"/>
        </w:sectPr>
      </w:pPr>
    </w:p>
    <w:bookmarkStart w:id="125" w:name="page126"/>
    <w:bookmarkEnd w:id="125"/>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3"/>
        <w:spacing w:after="0"/>
        <w:rPr>
          <w:sz w:val="20"/>
          <w:szCs w:val="20"/>
          <w:color w:val="auto"/>
        </w:rPr>
      </w:pPr>
      <w:r>
        <w:rPr>
          <w:rFonts w:ascii="Arial" w:cs="Arial" w:eastAsia="Arial" w:hAnsi="Arial"/>
          <w:sz w:val="20"/>
          <w:szCs w:val="20"/>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5967730"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5 / 30</w:t>
      </w:r>
    </w:p>
    <w:p>
      <w:pPr>
        <w:sectPr>
          <w:pgSz w:w="11900" w:h="16838" w:orient="portrait"/>
          <w:cols w:equalWidth="0" w:num="1">
            <w:col w:w="9206"/>
          </w:cols>
          <w:pgMar w:left="1260" w:top="1440" w:right="1440" w:bottom="0" w:gutter="0" w:footer="0" w:header="0"/>
          <w:type w:val="continuous"/>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Pathfinder Bancorp, Inc.</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w w:val="97"/>
              </w:rPr>
              <w:t>For the years ended 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0"/>
                <w:szCs w:val="20"/>
                <w:color w:val="auto"/>
              </w:rPr>
            </w:pPr>
          </w:p>
        </w:tc>
        <w:tc>
          <w:tcPr>
            <w:tcW w:w="2180" w:type="dxa"/>
            <w:vAlign w:val="bottom"/>
          </w:tcPr>
          <w:p>
            <w:pPr>
              <w:jc w:val="right"/>
              <w:ind w:right="1050"/>
              <w:spacing w:after="0"/>
              <w:rPr>
                <w:sz w:val="20"/>
                <w:szCs w:val="20"/>
                <w:color w:val="auto"/>
              </w:rPr>
            </w:pPr>
            <w:r>
              <w:rPr>
                <w:rFonts w:ascii="Arial" w:cs="Arial" w:eastAsia="Arial" w:hAnsi="Arial"/>
                <w:sz w:val="14"/>
                <w:szCs w:val="14"/>
                <w:color w:val="auto"/>
              </w:rPr>
              <w:t>2025</w:t>
            </w: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OPERATING ACTIVITIES</w:t>
            </w:r>
          </w:p>
        </w:tc>
        <w:tc>
          <w:tcPr>
            <w:tcW w:w="106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Net (loss) income attributable to Pathfinder Bancorp, Inc.</w:t>
            </w:r>
          </w:p>
        </w:tc>
        <w:tc>
          <w:tcPr>
            <w:tcW w:w="10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2180" w:type="dxa"/>
            <w:vAlign w:val="bottom"/>
            <w:vMerge w:val="restart"/>
          </w:tcPr>
          <w:p>
            <w:pPr>
              <w:jc w:val="right"/>
              <w:ind w:right="750"/>
              <w:spacing w:after="0"/>
              <w:rPr>
                <w:sz w:val="20"/>
                <w:szCs w:val="20"/>
                <w:color w:val="auto"/>
              </w:rPr>
            </w:pPr>
            <w:r>
              <w:rPr>
                <w:rFonts w:ascii="Arial" w:cs="Arial" w:eastAsia="Arial" w:hAnsi="Arial"/>
                <w:sz w:val="14"/>
                <w:szCs w:val="14"/>
                <w:color w:val="auto"/>
              </w:rPr>
              <w:t>(1,933 )   $</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3,383</w:t>
            </w:r>
          </w:p>
        </w:tc>
        <w:tc>
          <w:tcPr>
            <w:tcW w:w="0" w:type="dxa"/>
            <w:vAlign w:val="bottom"/>
          </w:tcPr>
          <w:p>
            <w:pPr>
              <w:spacing w:after="0"/>
              <w:rPr>
                <w:sz w:val="1"/>
                <w:szCs w:val="1"/>
                <w:color w:val="auto"/>
              </w:rPr>
            </w:pPr>
          </w:p>
        </w:tc>
      </w:tr>
      <w:tr>
        <w:trPr>
          <w:trHeight w:val="90"/>
        </w:trPr>
        <w:tc>
          <w:tcPr>
            <w:tcW w:w="55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Adjustments to reconcile net (loss) income to net cash flows from operating activities:</w:t>
            </w:r>
          </w:p>
        </w:tc>
        <w:tc>
          <w:tcPr>
            <w:tcW w:w="106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100"/>
              <w:spacing w:after="0"/>
              <w:rPr>
                <w:sz w:val="20"/>
                <w:szCs w:val="20"/>
                <w:color w:val="auto"/>
              </w:rPr>
            </w:pPr>
            <w:r>
              <w:rPr>
                <w:rFonts w:ascii="Arial" w:cs="Arial" w:eastAsia="Arial" w:hAnsi="Arial"/>
                <w:sz w:val="14"/>
                <w:szCs w:val="14"/>
                <w:color w:val="auto"/>
              </w:rPr>
              <w:t>Provision for credit losses</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16,342</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Deferred income tax benefit</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990"/>
              <w:spacing w:after="0"/>
              <w:rPr>
                <w:sz w:val="20"/>
                <w:szCs w:val="20"/>
                <w:color w:val="auto"/>
              </w:rPr>
            </w:pPr>
            <w:r>
              <w:rPr>
                <w:rFonts w:ascii="Arial" w:cs="Arial" w:eastAsia="Arial" w:hAnsi="Arial"/>
                <w:sz w:val="14"/>
                <w:szCs w:val="14"/>
                <w:color w:val="auto"/>
              </w:rPr>
              <w:t>(3,521 )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(417 )</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100"/>
              <w:spacing w:after="0"/>
              <w:rPr>
                <w:sz w:val="20"/>
                <w:szCs w:val="20"/>
                <w:color w:val="auto"/>
              </w:rPr>
            </w:pPr>
            <w:r>
              <w:rPr>
                <w:rFonts w:ascii="Arial" w:cs="Arial" w:eastAsia="Arial" w:hAnsi="Arial"/>
                <w:sz w:val="14"/>
                <w:szCs w:val="14"/>
                <w:color w:val="auto"/>
              </w:rPr>
              <w:t>Proceeds from sales of loans held-for-sale</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13,267</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Originations of loans held-for-sale</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990"/>
              <w:spacing w:after="0"/>
              <w:rPr>
                <w:sz w:val="20"/>
                <w:szCs w:val="20"/>
                <w:color w:val="auto"/>
              </w:rPr>
            </w:pPr>
            <w:r>
              <w:rPr>
                <w:rFonts w:ascii="Arial" w:cs="Arial" w:eastAsia="Arial" w:hAnsi="Arial"/>
                <w:sz w:val="14"/>
                <w:szCs w:val="14"/>
                <w:color w:val="auto"/>
              </w:rPr>
              <w:t>(12,865 )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(6,101)</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Realized (gains) losses on sales, redemptions and calls of:</w:t>
            </w: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Foreclosed real estate</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100"/>
              <w:spacing w:after="0"/>
              <w:rPr>
                <w:sz w:val="20"/>
                <w:szCs w:val="20"/>
                <w:color w:val="auto"/>
              </w:rPr>
            </w:pPr>
            <w:r>
              <w:rPr>
                <w:rFonts w:ascii="Arial" w:cs="Arial" w:eastAsia="Arial" w:hAnsi="Arial"/>
                <w:sz w:val="14"/>
                <w:szCs w:val="14"/>
                <w:color w:val="auto"/>
              </w:rPr>
              <w:t>Loss on sale of premises and equipment</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37</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Loans</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990"/>
              <w:spacing w:after="0"/>
              <w:rPr>
                <w:sz w:val="20"/>
                <w:szCs w:val="20"/>
                <w:color w:val="auto"/>
              </w:rPr>
            </w:pPr>
            <w:r>
              <w:rPr>
                <w:rFonts w:ascii="Arial" w:cs="Arial" w:eastAsia="Arial" w:hAnsi="Arial"/>
                <w:sz w:val="14"/>
                <w:szCs w:val="14"/>
                <w:color w:val="auto"/>
              </w:rPr>
              <w:t>(402 )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100"/>
              <w:spacing w:after="0"/>
              <w:rPr>
                <w:sz w:val="20"/>
                <w:szCs w:val="20"/>
                <w:color w:val="auto"/>
              </w:rPr>
            </w:pPr>
            <w:r>
              <w:rPr>
                <w:rFonts w:ascii="Arial" w:cs="Arial" w:eastAsia="Arial" w:hAnsi="Arial"/>
                <w:sz w:val="14"/>
                <w:szCs w:val="14"/>
                <w:color w:val="auto"/>
              </w:rPr>
              <w:t>Available-for-sale investment securities</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5</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Held-to-maturity investment securities</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18</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100"/>
              <w:spacing w:after="0"/>
              <w:rPr>
                <w:sz w:val="20"/>
                <w:szCs w:val="20"/>
                <w:color w:val="auto"/>
              </w:rPr>
            </w:pPr>
            <w:r>
              <w:rPr>
                <w:rFonts w:ascii="Arial" w:cs="Arial" w:eastAsia="Arial" w:hAnsi="Arial"/>
                <w:sz w:val="14"/>
                <w:szCs w:val="14"/>
                <w:color w:val="auto"/>
              </w:rPr>
              <w:t>Marketable securities</w:t>
            </w:r>
          </w:p>
        </w:tc>
        <w:tc>
          <w:tcPr>
            <w:tcW w:w="1060" w:type="dxa"/>
            <w:vAlign w:val="bottom"/>
          </w:tcPr>
          <w:p>
            <w:pPr>
              <w:spacing w:after="0"/>
              <w:rPr>
                <w:sz w:val="17"/>
                <w:szCs w:val="17"/>
                <w:color w:val="auto"/>
              </w:rPr>
            </w:pPr>
          </w:p>
        </w:tc>
        <w:tc>
          <w:tcPr>
            <w:tcW w:w="2180" w:type="dxa"/>
            <w:vAlign w:val="bottom"/>
            <w:vMerge w:val="restart"/>
          </w:tcPr>
          <w:p>
            <w:pPr>
              <w:jc w:val="right"/>
              <w:ind w:right="990"/>
              <w:spacing w:after="0"/>
              <w:rPr>
                <w:sz w:val="20"/>
                <w:szCs w:val="20"/>
                <w:color w:val="auto"/>
              </w:rPr>
            </w:pPr>
            <w:r>
              <w:rPr>
                <w:rFonts w:ascii="Arial" w:cs="Arial" w:eastAsia="Arial" w:hAnsi="Arial"/>
                <w:sz w:val="14"/>
                <w:szCs w:val="14"/>
                <w:color w:val="auto"/>
              </w:rPr>
              <w:t>(1,450 )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(197 )</w:t>
            </w:r>
          </w:p>
        </w:tc>
        <w:tc>
          <w:tcPr>
            <w:tcW w:w="0" w:type="dxa"/>
            <w:vAlign w:val="bottom"/>
          </w:tcPr>
          <w:p>
            <w:pPr>
              <w:spacing w:after="0"/>
              <w:rPr>
                <w:sz w:val="1"/>
                <w:szCs w:val="1"/>
                <w:color w:val="auto"/>
              </w:rPr>
            </w:pPr>
          </w:p>
        </w:tc>
      </w:tr>
      <w:tr>
        <w:trPr>
          <w:trHeight w:val="90"/>
        </w:trPr>
        <w:tc>
          <w:tcPr>
            <w:tcW w:w="5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Gain on sale of subsidiary, attributable to Pathfinder Bancorp, Inc.</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Depreciation</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1,379</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Amortization of mortgage servicing rights</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5</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Amortization of deferred loan fees and costs</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23</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(293 )</w:t>
            </w:r>
          </w:p>
        </w:tc>
        <w:tc>
          <w:tcPr>
            <w:tcW w:w="0" w:type="dxa"/>
            <w:vAlign w:val="bottom"/>
          </w:tcPr>
          <w:p>
            <w:pPr>
              <w:spacing w:after="0"/>
              <w:rPr>
                <w:sz w:val="1"/>
                <w:szCs w:val="1"/>
                <w:color w:val="auto"/>
              </w:rPr>
            </w:pPr>
          </w:p>
        </w:tc>
      </w:tr>
      <w:tr>
        <w:trPr>
          <w:trHeight w:val="90"/>
        </w:trPr>
        <w:tc>
          <w:tcPr>
            <w:tcW w:w="5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Amortization of operating and finance leases, net</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442</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(224 )</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Amortization of deferred financing fees from subordinated debt</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48</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Earnings on bank owned life insurance</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990"/>
              <w:spacing w:after="0"/>
              <w:rPr>
                <w:sz w:val="20"/>
                <w:szCs w:val="20"/>
                <w:color w:val="auto"/>
              </w:rPr>
            </w:pPr>
            <w:r>
              <w:rPr>
                <w:rFonts w:ascii="Arial" w:cs="Arial" w:eastAsia="Arial" w:hAnsi="Arial"/>
                <w:sz w:val="14"/>
                <w:szCs w:val="14"/>
                <w:color w:val="auto"/>
              </w:rPr>
              <w:t>(834 )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Net amortization of premiums and discounts on investment securities</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47</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90"/>
        </w:trPr>
        <w:tc>
          <w:tcPr>
            <w:tcW w:w="5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Net amortization of premiums on intangible assets</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573</w:t>
            </w:r>
          </w:p>
        </w:tc>
        <w:tc>
          <w:tcPr>
            <w:tcW w:w="58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Stock based compensation and ESOP expense</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985</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Net change in accrued interest receivable</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553</w:t>
            </w:r>
          </w:p>
        </w:tc>
        <w:tc>
          <w:tcPr>
            <w:tcW w:w="58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Net change in other assets and liabilities</w:t>
            </w:r>
          </w:p>
        </w:tc>
        <w:tc>
          <w:tcPr>
            <w:tcW w:w="1060" w:type="dxa"/>
            <w:vAlign w:val="bottom"/>
          </w:tcPr>
          <w:p>
            <w:pPr>
              <w:spacing w:after="0"/>
              <w:rPr>
                <w:sz w:val="17"/>
                <w:szCs w:val="17"/>
                <w:color w:val="auto"/>
              </w:rPr>
            </w:pPr>
          </w:p>
        </w:tc>
        <w:tc>
          <w:tcPr>
            <w:tcW w:w="2180" w:type="dxa"/>
            <w:vAlign w:val="bottom"/>
            <w:vMerge w:val="restart"/>
          </w:tcPr>
          <w:p>
            <w:pPr>
              <w:jc w:val="right"/>
              <w:ind w:right="990"/>
              <w:spacing w:after="0"/>
              <w:rPr>
                <w:sz w:val="20"/>
                <w:szCs w:val="20"/>
                <w:color w:val="auto"/>
              </w:rPr>
            </w:pPr>
            <w:r>
              <w:rPr>
                <w:rFonts w:ascii="Arial" w:cs="Arial" w:eastAsia="Arial" w:hAnsi="Arial"/>
                <w:sz w:val="14"/>
                <w:szCs w:val="14"/>
                <w:color w:val="auto"/>
              </w:rPr>
              <w:t>(1,042 )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90"/>
        </w:trPr>
        <w:tc>
          <w:tcPr>
            <w:tcW w:w="5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ind w:left="280"/>
              <w:spacing w:after="0"/>
              <w:rPr>
                <w:sz w:val="20"/>
                <w:szCs w:val="20"/>
                <w:color w:val="auto"/>
              </w:rPr>
            </w:pPr>
            <w:r>
              <w:rPr>
                <w:rFonts w:ascii="Arial" w:cs="Arial" w:eastAsia="Arial" w:hAnsi="Arial"/>
                <w:sz w:val="14"/>
                <w:szCs w:val="14"/>
                <w:b w:val="1"/>
                <w:bCs w:val="1"/>
                <w:color w:val="auto"/>
              </w:rPr>
              <w:t>Net cash inflows from operating activities</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11,677</w:t>
            </w:r>
          </w:p>
        </w:tc>
        <w:tc>
          <w:tcPr>
            <w:tcW w:w="58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color w:val="auto"/>
              </w:rPr>
              <w:t>11,209</w:t>
            </w:r>
          </w:p>
        </w:tc>
        <w:tc>
          <w:tcPr>
            <w:tcW w:w="0" w:type="dxa"/>
            <w:vAlign w:val="bottom"/>
          </w:tcPr>
          <w:p>
            <w:pPr>
              <w:spacing w:after="0"/>
              <w:rPr>
                <w:sz w:val="1"/>
                <w:szCs w:val="1"/>
                <w:color w:val="auto"/>
              </w:rPr>
            </w:pPr>
          </w:p>
        </w:tc>
      </w:tr>
      <w:tr>
        <w:trPr>
          <w:trHeight w:val="65"/>
        </w:trPr>
        <w:tc>
          <w:tcPr>
            <w:tcW w:w="558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2180" w:type="dxa"/>
            <w:vAlign w:val="bottom"/>
            <w:vMerge w:val="continue"/>
            <w:shd w:val="clear" w:color="auto" w:fill="CFF0FC"/>
          </w:tcPr>
          <w:p>
            <w:pPr>
              <w:spacing w:after="0"/>
              <w:rPr>
                <w:sz w:val="5"/>
                <w:szCs w:val="5"/>
                <w:color w:val="auto"/>
              </w:rPr>
            </w:pPr>
          </w:p>
        </w:tc>
        <w:tc>
          <w:tcPr>
            <w:tcW w:w="58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558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21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Purchase of available-for-sale securities</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990"/>
              <w:spacing w:after="0"/>
              <w:rPr>
                <w:sz w:val="20"/>
                <w:szCs w:val="20"/>
                <w:color w:val="auto"/>
              </w:rPr>
            </w:pPr>
            <w:r>
              <w:rPr>
                <w:rFonts w:ascii="Arial" w:cs="Arial" w:eastAsia="Arial" w:hAnsi="Arial"/>
                <w:sz w:val="14"/>
                <w:szCs w:val="14"/>
                <w:color w:val="auto"/>
              </w:rPr>
              <w:t>(57,842 )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5"/>
              </w:rPr>
              <w:t>(92,883)</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Purchase of held-to-maturity securities</w:t>
            </w:r>
          </w:p>
        </w:tc>
        <w:tc>
          <w:tcPr>
            <w:tcW w:w="1060" w:type="dxa"/>
            <w:vAlign w:val="bottom"/>
          </w:tcPr>
          <w:p>
            <w:pPr>
              <w:spacing w:after="0"/>
              <w:rPr>
                <w:sz w:val="17"/>
                <w:szCs w:val="17"/>
                <w:color w:val="auto"/>
              </w:rPr>
            </w:pPr>
          </w:p>
        </w:tc>
        <w:tc>
          <w:tcPr>
            <w:tcW w:w="2180" w:type="dxa"/>
            <w:vAlign w:val="bottom"/>
            <w:vMerge w:val="restart"/>
          </w:tcPr>
          <w:p>
            <w:pPr>
              <w:jc w:val="right"/>
              <w:ind w:right="990"/>
              <w:spacing w:after="0"/>
              <w:rPr>
                <w:sz w:val="20"/>
                <w:szCs w:val="20"/>
                <w:color w:val="auto"/>
              </w:rPr>
            </w:pPr>
            <w:r>
              <w:rPr>
                <w:rFonts w:ascii="Arial" w:cs="Arial" w:eastAsia="Arial" w:hAnsi="Arial"/>
                <w:sz w:val="14"/>
                <w:szCs w:val="14"/>
                <w:color w:val="auto"/>
              </w:rPr>
              <w:t>(16,858 )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5"/>
              </w:rPr>
              <w:t>(24,665)</w:t>
            </w:r>
          </w:p>
        </w:tc>
        <w:tc>
          <w:tcPr>
            <w:tcW w:w="0" w:type="dxa"/>
            <w:vAlign w:val="bottom"/>
          </w:tcPr>
          <w:p>
            <w:pPr>
              <w:spacing w:after="0"/>
              <w:rPr>
                <w:sz w:val="1"/>
                <w:szCs w:val="1"/>
                <w:color w:val="auto"/>
              </w:rPr>
            </w:pPr>
          </w:p>
        </w:tc>
      </w:tr>
      <w:tr>
        <w:trPr>
          <w:trHeight w:val="90"/>
        </w:trPr>
        <w:tc>
          <w:tcPr>
            <w:tcW w:w="5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Purchase of marketable securities</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990"/>
              <w:spacing w:after="0"/>
              <w:rPr>
                <w:sz w:val="20"/>
                <w:szCs w:val="20"/>
                <w:color w:val="auto"/>
              </w:rPr>
            </w:pPr>
            <w:r>
              <w:rPr>
                <w:rFonts w:ascii="Arial" w:cs="Arial" w:eastAsia="Arial" w:hAnsi="Arial"/>
                <w:sz w:val="14"/>
                <w:szCs w:val="14"/>
                <w:color w:val="auto"/>
              </w:rPr>
              <w:t>(508 )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(673 )</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Purchase of Federal Home Loan Bank stock</w:t>
            </w:r>
          </w:p>
        </w:tc>
        <w:tc>
          <w:tcPr>
            <w:tcW w:w="1060" w:type="dxa"/>
            <w:vAlign w:val="bottom"/>
          </w:tcPr>
          <w:p>
            <w:pPr>
              <w:spacing w:after="0"/>
              <w:rPr>
                <w:sz w:val="17"/>
                <w:szCs w:val="17"/>
                <w:color w:val="auto"/>
              </w:rPr>
            </w:pPr>
          </w:p>
        </w:tc>
        <w:tc>
          <w:tcPr>
            <w:tcW w:w="2180" w:type="dxa"/>
            <w:vAlign w:val="bottom"/>
            <w:vMerge w:val="restart"/>
          </w:tcPr>
          <w:p>
            <w:pPr>
              <w:jc w:val="right"/>
              <w:ind w:right="990"/>
              <w:spacing w:after="0"/>
              <w:rPr>
                <w:sz w:val="20"/>
                <w:szCs w:val="20"/>
                <w:color w:val="auto"/>
              </w:rPr>
            </w:pPr>
            <w:r>
              <w:rPr>
                <w:rFonts w:ascii="Arial" w:cs="Arial" w:eastAsia="Arial" w:hAnsi="Arial"/>
                <w:sz w:val="14"/>
                <w:szCs w:val="14"/>
                <w:color w:val="auto"/>
              </w:rPr>
              <w:t>(11,067 )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5"/>
              </w:rPr>
              <w:t>(14,634)</w:t>
            </w:r>
          </w:p>
        </w:tc>
        <w:tc>
          <w:tcPr>
            <w:tcW w:w="0" w:type="dxa"/>
            <w:vAlign w:val="bottom"/>
          </w:tcPr>
          <w:p>
            <w:pPr>
              <w:spacing w:after="0"/>
              <w:rPr>
                <w:sz w:val="1"/>
                <w:szCs w:val="1"/>
                <w:color w:val="auto"/>
              </w:rPr>
            </w:pPr>
          </w:p>
        </w:tc>
      </w:tr>
      <w:tr>
        <w:trPr>
          <w:trHeight w:val="90"/>
        </w:trPr>
        <w:tc>
          <w:tcPr>
            <w:tcW w:w="5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redemption of Federal Home Loan Bank stock</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13,097</w:t>
            </w:r>
          </w:p>
        </w:tc>
        <w:tc>
          <w:tcPr>
            <w:tcW w:w="58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color w:val="auto"/>
              </w:rPr>
              <w:t>18,792</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Proceeds from maturities and principal reductions of available-for-sale securities</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50,713</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78,014</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maturities and principal reductions of held-to-maturity securities</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29,521</w:t>
            </w:r>
          </w:p>
        </w:tc>
        <w:tc>
          <w:tcPr>
            <w:tcW w:w="58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color w:val="auto"/>
              </w:rPr>
              <w:t>40,527</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color w:val="auto"/>
              </w:rPr>
              <w:t>Proceeds from sale of subsidiary</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816</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Proceeds from sales, redemptions and calls of:</w:t>
            </w:r>
          </w:p>
        </w:tc>
        <w:tc>
          <w:tcPr>
            <w:tcW w:w="106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100"/>
              <w:spacing w:after="0"/>
              <w:rPr>
                <w:sz w:val="20"/>
                <w:szCs w:val="20"/>
                <w:color w:val="auto"/>
              </w:rPr>
            </w:pPr>
            <w:r>
              <w:rPr>
                <w:rFonts w:ascii="Arial" w:cs="Arial" w:eastAsia="Arial" w:hAnsi="Arial"/>
                <w:sz w:val="14"/>
                <w:szCs w:val="14"/>
                <w:color w:val="auto"/>
              </w:rPr>
              <w:t>Available-for-sale securities</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6,190</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Held-to-maturity securities</w:t>
            </w:r>
          </w:p>
        </w:tc>
        <w:tc>
          <w:tcPr>
            <w:tcW w:w="1060" w:type="dxa"/>
            <w:vAlign w:val="bottom"/>
            <w:shd w:val="clear" w:color="auto" w:fill="CFF0FC"/>
          </w:tcPr>
          <w:p>
            <w:pPr>
              <w:spacing w:after="0"/>
              <w:rPr>
                <w:sz w:val="17"/>
                <w:szCs w:val="17"/>
                <w:color w:val="auto"/>
              </w:rPr>
            </w:pPr>
          </w:p>
        </w:tc>
        <w:tc>
          <w:tcPr>
            <w:tcW w:w="2180" w:type="dxa"/>
            <w:vAlign w:val="bottom"/>
            <w:vMerge w:val="restart"/>
            <w:shd w:val="clear" w:color="auto" w:fill="CFF0FC"/>
          </w:tcPr>
          <w:p>
            <w:pPr>
              <w:jc w:val="right"/>
              <w:ind w:right="1050"/>
              <w:spacing w:after="0"/>
              <w:rPr>
                <w:sz w:val="20"/>
                <w:szCs w:val="20"/>
                <w:color w:val="auto"/>
              </w:rPr>
            </w:pPr>
            <w:r>
              <w:rPr>
                <w:rFonts w:ascii="Arial" w:cs="Arial" w:eastAsia="Arial" w:hAnsi="Arial"/>
                <w:sz w:val="14"/>
                <w:szCs w:val="14"/>
                <w:color w:val="auto"/>
              </w:rPr>
              <w:t>15,536</w:t>
            </w:r>
          </w:p>
        </w:tc>
        <w:tc>
          <w:tcPr>
            <w:tcW w:w="58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color w:val="auto"/>
              </w:rPr>
              <w:t>5,082</w:t>
            </w:r>
          </w:p>
        </w:tc>
        <w:tc>
          <w:tcPr>
            <w:tcW w:w="0" w:type="dxa"/>
            <w:vAlign w:val="bottom"/>
          </w:tcPr>
          <w:p>
            <w:pPr>
              <w:spacing w:after="0"/>
              <w:rPr>
                <w:sz w:val="1"/>
                <w:szCs w:val="1"/>
                <w:color w:val="auto"/>
              </w:rPr>
            </w:pPr>
          </w:p>
        </w:tc>
      </w:tr>
      <w:tr>
        <w:trPr>
          <w:trHeight w:val="98"/>
        </w:trPr>
        <w:tc>
          <w:tcPr>
            <w:tcW w:w="5580" w:type="dxa"/>
            <w:vAlign w:val="bottom"/>
            <w:tcBorders>
              <w:bottom w:val="single" w:sz="8" w:color="CFF0FC"/>
            </w:tcBorders>
            <w:shd w:val="clear" w:color="auto" w:fill="CFF0FC"/>
          </w:tcPr>
          <w:p>
            <w:pPr>
              <w:spacing w:after="0"/>
              <w:rPr>
                <w:sz w:val="8"/>
                <w:szCs w:val="8"/>
                <w:color w:val="auto"/>
              </w:rPr>
            </w:pPr>
          </w:p>
        </w:tc>
        <w:tc>
          <w:tcPr>
            <w:tcW w:w="1060" w:type="dxa"/>
            <w:vAlign w:val="bottom"/>
            <w:tcBorders>
              <w:bottom w:val="single" w:sz="8" w:color="CFF0FC"/>
            </w:tcBorders>
            <w:shd w:val="clear" w:color="auto" w:fill="CFF0FC"/>
          </w:tcPr>
          <w:p>
            <w:pPr>
              <w:spacing w:after="0"/>
              <w:rPr>
                <w:sz w:val="8"/>
                <w:szCs w:val="8"/>
                <w:color w:val="auto"/>
              </w:rPr>
            </w:pPr>
          </w:p>
        </w:tc>
        <w:tc>
          <w:tcPr>
            <w:tcW w:w="2180" w:type="dxa"/>
            <w:vAlign w:val="bottom"/>
            <w:tcBorders>
              <w:bottom w:val="single" w:sz="8" w:color="CFF0FC"/>
            </w:tcBorders>
            <w:vMerge w:val="continue"/>
            <w:shd w:val="clear" w:color="auto" w:fill="CFF0FC"/>
          </w:tcPr>
          <w:p>
            <w:pPr>
              <w:spacing w:after="0"/>
              <w:rPr>
                <w:sz w:val="8"/>
                <w:szCs w:val="8"/>
                <w:color w:val="auto"/>
              </w:rPr>
            </w:pPr>
          </w:p>
        </w:tc>
        <w:tc>
          <w:tcPr>
            <w:tcW w:w="58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100"/>
              <w:spacing w:after="0"/>
              <w:rPr>
                <w:sz w:val="20"/>
                <w:szCs w:val="20"/>
                <w:color w:val="auto"/>
              </w:rPr>
            </w:pPr>
            <w:r>
              <w:rPr>
                <w:rFonts w:ascii="Arial" w:cs="Arial" w:eastAsia="Arial" w:hAnsi="Arial"/>
                <w:sz w:val="14"/>
                <w:szCs w:val="14"/>
                <w:color w:val="auto"/>
              </w:rPr>
              <w:t>Loans held-for-sale</w:t>
            </w:r>
          </w:p>
        </w:tc>
        <w:tc>
          <w:tcPr>
            <w:tcW w:w="1060" w:type="dxa"/>
            <w:vAlign w:val="bottom"/>
          </w:tcPr>
          <w:p>
            <w:pPr>
              <w:spacing w:after="0"/>
              <w:rPr>
                <w:sz w:val="17"/>
                <w:szCs w:val="17"/>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4"/>
                <w:szCs w:val="14"/>
                <w:color w:val="auto"/>
              </w:rPr>
              <w:t>3,161</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5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-7833995</wp:posOffset>
            </wp:positionV>
            <wp:extent cx="192722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92722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-7684770</wp:posOffset>
            </wp:positionV>
            <wp:extent cx="596773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-2659380</wp:posOffset>
            </wp:positionV>
            <wp:extent cx="596773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-2453640</wp:posOffset>
            </wp:positionV>
            <wp:extent cx="596773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30</w:t>
      </w:r>
    </w:p>
    <w:p>
      <w:pPr>
        <w:sectPr>
          <w:pgSz w:w="11900" w:h="16838" w:orient="portrait"/>
          <w:cols w:equalWidth="0" w:num="1">
            <w:col w:w="9400"/>
          </w:cols>
          <w:pgMar w:left="1260" w:top="1440" w:right="1246" w:bottom="0" w:gutter="0" w:footer="0" w:header="0"/>
          <w:type w:val="continuous"/>
        </w:sectPr>
      </w:pPr>
    </w:p>
    <w:bookmarkStart w:id="127" w:name="page128"/>
    <w:bookmarkEnd w:id="127"/>
    <w:p>
      <w:pPr>
        <w:ind w:left="1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93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t>Real estate acquired through foreclosure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Net change in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967730" cy="1993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Acquisition of core deposit intangible asset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Proceeds from sale of assets held-for-sale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967730" cy="2057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Purchase of premises and equipment</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Net cash inflows (outflows)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967730" cy="148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7730" cy="1485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70" w:lineRule="exact"/>
        <w:rPr>
          <w:sz w:val="20"/>
          <w:szCs w:val="20"/>
          <w:color w:val="auto"/>
        </w:rPr>
      </w:pPr>
    </w:p>
    <w:p>
      <w:pPr>
        <w:ind w:left="100" w:right="1940" w:hanging="104"/>
        <w:spacing w:after="0" w:line="303" w:lineRule="auto"/>
        <w:rPr>
          <w:sz w:val="20"/>
          <w:szCs w:val="20"/>
          <w:color w:val="auto"/>
        </w:rPr>
      </w:pPr>
      <w:r>
        <w:rPr>
          <w:rFonts w:ascii="Arial" w:cs="Arial" w:eastAsia="Arial" w:hAnsi="Arial"/>
          <w:sz w:val="14"/>
          <w:szCs w:val="14"/>
          <w:color w:val="auto"/>
        </w:rPr>
        <w:t>Net change in demand deposits, NOW accounts, savings accounts, money management deposit accounts, MMDA accounts and escrow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5967730" cy="1993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Net change in time deposits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Net change in brokered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967730" cy="1993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Net change in short-term borrowings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Payments on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967730" cy="1993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Proceeds from long-term borrowings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967730" cy="1993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Cash dividends paid to common voting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Cash dividends paid to common non-voting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967730" cy="1993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Cash dividends paid on warrants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Change in noncontrolling interest,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5967730" cy="2120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67730" cy="212090"/>
                    </a:xfrm>
                    <a:prstGeom prst="rect">
                      <a:avLst/>
                    </a:prstGeom>
                    <a:noFill/>
                  </pic:spPr>
                </pic:pic>
              </a:graphicData>
            </a:graphic>
          </wp:anchor>
        </w:drawing>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Net cash outflows from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Arial" w:cs="Arial" w:eastAsia="Arial" w:hAnsi="Arial"/>
                <w:sz w:val="14"/>
                <w:szCs w:val="14"/>
                <w:b w:val="1"/>
                <w:bCs w:val="1"/>
                <w:color w:val="auto"/>
              </w:rPr>
              <w:t>Change in cash and cash equivalents</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450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00" w:type="dxa"/>
            <w:vAlign w:val="bottom"/>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4500" w:type="dxa"/>
            <w:vAlign w:val="bottom"/>
          </w:tcPr>
          <w:p>
            <w:pPr>
              <w:spacing w:after="0"/>
              <w:rPr>
                <w:sz w:val="20"/>
                <w:szCs w:val="20"/>
                <w:color w:val="auto"/>
              </w:rPr>
            </w:pPr>
            <w:r>
              <w:rPr>
                <w:rFonts w:ascii="Arial" w:cs="Arial" w:eastAsia="Arial" w:hAnsi="Arial"/>
                <w:sz w:val="14"/>
                <w:szCs w:val="14"/>
                <w:b w:val="1"/>
                <w:bCs w:val="1"/>
                <w:color w:val="auto"/>
              </w:rPr>
              <w:t>CASH PAID DURING THE YEAR FOR:</w:t>
            </w: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100"/>
              <w:spacing w:after="0"/>
              <w:rPr>
                <w:sz w:val="20"/>
                <w:szCs w:val="20"/>
                <w:color w:val="auto"/>
              </w:rPr>
            </w:pPr>
            <w:r>
              <w:rPr>
                <w:rFonts w:ascii="Arial" w:cs="Arial" w:eastAsia="Arial" w:hAnsi="Arial"/>
                <w:sz w:val="14"/>
                <w:szCs w:val="14"/>
                <w:color w:val="auto"/>
              </w:rPr>
              <w:t>Interest</w:t>
            </w: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4"/>
                <w:szCs w:val="14"/>
                <w:b w:val="1"/>
                <w:bCs w:val="1"/>
                <w:color w:val="auto"/>
              </w:rPr>
              <w:t>NON-CASH INVESTING ACTIVITY</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100"/>
              <w:spacing w:after="0"/>
              <w:rPr>
                <w:sz w:val="20"/>
                <w:szCs w:val="20"/>
                <w:color w:val="auto"/>
              </w:rPr>
            </w:pPr>
            <w:r>
              <w:rPr>
                <w:rFonts w:ascii="Arial" w:cs="Arial" w:eastAsia="Arial" w:hAnsi="Arial"/>
                <w:sz w:val="14"/>
                <w:szCs w:val="14"/>
                <w:color w:val="auto"/>
              </w:rPr>
              <w:t>Transfer of loans to loans held-for-sale</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500" w:type="dxa"/>
            <w:vAlign w:val="bottom"/>
          </w:tcPr>
          <w:p>
            <w:pPr>
              <w:ind w:left="100"/>
              <w:spacing w:after="0"/>
              <w:rPr>
                <w:sz w:val="20"/>
                <w:szCs w:val="20"/>
                <w:color w:val="auto"/>
              </w:rPr>
            </w:pPr>
            <w:r>
              <w:rPr>
                <w:rFonts w:ascii="Arial" w:cs="Arial" w:eastAsia="Arial" w:hAnsi="Arial"/>
                <w:sz w:val="14"/>
                <w:szCs w:val="14"/>
                <w:color w:val="auto"/>
              </w:rPr>
              <w:t>Real estate acquired in exchange for loans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-1242695</wp:posOffset>
            </wp:positionV>
            <wp:extent cx="5967730" cy="13182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7730" cy="131826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1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61"/>
        </w:trPr>
        <w:tc>
          <w:tcPr>
            <w:tcW w:w="900" w:type="dxa"/>
            <w:vAlign w:val="bottom"/>
          </w:tcPr>
          <w:p>
            <w:pPr>
              <w:jc w:val="right"/>
              <w:ind w:right="51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339"/>
        </w:trPr>
        <w:tc>
          <w:tcPr>
            <w:tcW w:w="900" w:type="dxa"/>
            <w:vAlign w:val="bottom"/>
          </w:tcPr>
          <w:p>
            <w:pPr>
              <w:jc w:val="right"/>
              <w:ind w:right="510"/>
              <w:spacing w:after="0"/>
              <w:rPr>
                <w:sz w:val="20"/>
                <w:szCs w:val="20"/>
                <w:color w:val="auto"/>
              </w:rPr>
            </w:pPr>
            <w:r>
              <w:rPr>
                <w:rFonts w:ascii="Arial" w:cs="Arial" w:eastAsia="Arial" w:hAnsi="Arial"/>
                <w:sz w:val="14"/>
                <w:szCs w:val="14"/>
                <w:color w:val="auto"/>
                <w:w w:val="85"/>
              </w:rPr>
              <w:t>8,946</w:t>
            </w:r>
          </w:p>
        </w:tc>
        <w:tc>
          <w:tcPr>
            <w:tcW w:w="1060" w:type="dxa"/>
            <w:vAlign w:val="bottom"/>
          </w:tcPr>
          <w:p>
            <w:pPr>
              <w:jc w:val="right"/>
              <w:spacing w:after="0"/>
              <w:rPr>
                <w:sz w:val="20"/>
                <w:szCs w:val="20"/>
                <w:color w:val="auto"/>
              </w:rPr>
            </w:pPr>
            <w:r>
              <w:rPr>
                <w:rFonts w:ascii="Arial" w:cs="Arial" w:eastAsia="Arial" w:hAnsi="Arial"/>
                <w:sz w:val="14"/>
                <w:szCs w:val="14"/>
                <w:color w:val="auto"/>
              </w:rPr>
              <w:t>(31,230)</w:t>
            </w:r>
          </w:p>
        </w:tc>
      </w:tr>
    </w:tbl>
    <w:p>
      <w:pPr>
        <w:spacing w:after="0" w:line="135" w:lineRule="exact"/>
        <w:rPr>
          <w:sz w:val="20"/>
          <w:szCs w:val="20"/>
          <w:color w:val="auto"/>
        </w:rPr>
      </w:pPr>
    </w:p>
    <w:p>
      <w:pPr>
        <w:ind w:left="1640" w:hanging="1262"/>
        <w:spacing w:after="0"/>
        <w:tabs>
          <w:tab w:leader="none" w:pos="1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(6,271)</w:t>
      </w:r>
    </w:p>
    <w:p>
      <w:pPr>
        <w:spacing w:after="0" w:line="158" w:lineRule="exact"/>
        <w:rPr>
          <w:rFonts w:ascii="Arial" w:cs="Arial" w:eastAsia="Arial" w:hAnsi="Arial"/>
          <w:sz w:val="13"/>
          <w:szCs w:val="13"/>
          <w:color w:val="auto"/>
        </w:rPr>
      </w:pPr>
    </w:p>
    <w:p>
      <w:pPr>
        <w:ind w:left="1680" w:hanging="1302"/>
        <w:spacing w:after="0"/>
        <w:tabs>
          <w:tab w:leader="none" w:pos="1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3,007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0" w:type="dxa"/>
            <w:vAlign w:val="bottom"/>
          </w:tcPr>
          <w:p>
            <w:pPr>
              <w:jc w:val="right"/>
              <w:ind w:right="30"/>
              <w:spacing w:after="0"/>
              <w:rPr>
                <w:sz w:val="20"/>
                <w:szCs w:val="20"/>
                <w:color w:val="auto"/>
              </w:rPr>
            </w:pPr>
            <w:r>
              <w:rPr>
                <w:rFonts w:ascii="Arial" w:cs="Arial" w:eastAsia="Arial" w:hAnsi="Arial"/>
                <w:sz w:val="14"/>
                <w:szCs w:val="14"/>
                <w:color w:val="auto"/>
                <w:w w:val="95"/>
              </w:rPr>
              <w:t>(1,260 )</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(2,062)</w:t>
            </w:r>
          </w:p>
        </w:tc>
      </w:tr>
      <w:tr>
        <w:trPr>
          <w:trHeight w:val="324"/>
        </w:trPr>
        <w:tc>
          <w:tcPr>
            <w:tcW w:w="580" w:type="dxa"/>
            <w:vAlign w:val="bottom"/>
          </w:tcPr>
          <w:p>
            <w:pPr>
              <w:jc w:val="right"/>
              <w:ind w:right="90"/>
              <w:spacing w:after="0"/>
              <w:rPr>
                <w:sz w:val="20"/>
                <w:szCs w:val="20"/>
                <w:color w:val="auto"/>
              </w:rPr>
            </w:pPr>
            <w:r>
              <w:rPr>
                <w:rFonts w:ascii="Arial" w:cs="Arial" w:eastAsia="Arial" w:hAnsi="Arial"/>
                <w:sz w:val="14"/>
                <w:szCs w:val="14"/>
                <w:color w:val="auto"/>
                <w:w w:val="93"/>
              </w:rPr>
              <w:t>40,445</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(22,398)</w:t>
            </w:r>
          </w:p>
        </w:tc>
      </w:tr>
      <w:tr>
        <w:trPr>
          <w:trHeight w:val="644"/>
        </w:trPr>
        <w:tc>
          <w:tcPr>
            <w:tcW w:w="580" w:type="dxa"/>
            <w:vAlign w:val="bottom"/>
          </w:tcPr>
          <w:p>
            <w:pPr>
              <w:jc w:val="right"/>
              <w:ind w:right="90"/>
              <w:spacing w:after="0"/>
              <w:rPr>
                <w:sz w:val="20"/>
                <w:szCs w:val="20"/>
                <w:color w:val="auto"/>
              </w:rPr>
            </w:pPr>
            <w:r>
              <w:rPr>
                <w:rFonts w:ascii="Arial" w:cs="Arial" w:eastAsia="Arial" w:hAnsi="Arial"/>
                <w:sz w:val="14"/>
                <w:szCs w:val="14"/>
                <w:color w:val="auto"/>
                <w:w w:val="93"/>
              </w:rPr>
              <w:t>27,840</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92,109</w:t>
            </w:r>
          </w:p>
        </w:tc>
      </w:tr>
      <w:tr>
        <w:trPr>
          <w:trHeight w:val="339"/>
        </w:trPr>
        <w:tc>
          <w:tcPr>
            <w:tcW w:w="580" w:type="dxa"/>
            <w:vAlign w:val="bottom"/>
          </w:tcPr>
          <w:p>
            <w:pPr>
              <w:jc w:val="right"/>
              <w:ind w:right="30"/>
              <w:spacing w:after="0"/>
              <w:rPr>
                <w:sz w:val="20"/>
                <w:szCs w:val="20"/>
                <w:color w:val="auto"/>
              </w:rPr>
            </w:pPr>
            <w:r>
              <w:rPr>
                <w:rFonts w:ascii="Arial" w:cs="Arial" w:eastAsia="Arial" w:hAnsi="Arial"/>
                <w:sz w:val="14"/>
                <w:szCs w:val="14"/>
                <w:color w:val="auto"/>
                <w:w w:val="82"/>
              </w:rPr>
              <w:t>(14,101 )</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98,783</w:t>
            </w:r>
          </w:p>
        </w:tc>
      </w:tr>
      <w:tr>
        <w:trPr>
          <w:trHeight w:val="314"/>
        </w:trPr>
        <w:tc>
          <w:tcPr>
            <w:tcW w:w="580" w:type="dxa"/>
            <w:vAlign w:val="bottom"/>
          </w:tcPr>
          <w:p>
            <w:pPr>
              <w:jc w:val="right"/>
              <w:ind w:right="30"/>
              <w:spacing w:after="0"/>
              <w:rPr>
                <w:sz w:val="20"/>
                <w:szCs w:val="20"/>
                <w:color w:val="auto"/>
              </w:rPr>
            </w:pPr>
            <w:r>
              <w:rPr>
                <w:rFonts w:ascii="Arial" w:cs="Arial" w:eastAsia="Arial" w:hAnsi="Arial"/>
                <w:sz w:val="14"/>
                <w:szCs w:val="14"/>
                <w:color w:val="auto"/>
                <w:w w:val="82"/>
              </w:rPr>
              <w:t>(34,415 )</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(106,435)</w:t>
            </w:r>
          </w:p>
        </w:tc>
      </w:tr>
      <w:tr>
        <w:trPr>
          <w:trHeight w:val="314"/>
        </w:trPr>
        <w:tc>
          <w:tcPr>
            <w:tcW w:w="580" w:type="dxa"/>
            <w:vAlign w:val="bottom"/>
          </w:tcPr>
          <w:p>
            <w:pPr>
              <w:jc w:val="right"/>
              <w:ind w:right="30"/>
              <w:spacing w:after="0"/>
              <w:rPr>
                <w:sz w:val="20"/>
                <w:szCs w:val="20"/>
                <w:color w:val="auto"/>
              </w:rPr>
            </w:pPr>
            <w:r>
              <w:rPr>
                <w:rFonts w:ascii="Arial" w:cs="Arial" w:eastAsia="Arial" w:hAnsi="Arial"/>
                <w:sz w:val="14"/>
                <w:szCs w:val="14"/>
                <w:color w:val="auto"/>
                <w:w w:val="82"/>
              </w:rPr>
              <w:t>(17,000 )</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(64,680)</w:t>
            </w:r>
          </w:p>
        </w:tc>
      </w:tr>
      <w:tr>
        <w:trPr>
          <w:trHeight w:val="314"/>
        </w:trPr>
        <w:tc>
          <w:tcPr>
            <w:tcW w:w="580" w:type="dxa"/>
            <w:vAlign w:val="bottom"/>
          </w:tcPr>
          <w:p>
            <w:pPr>
              <w:jc w:val="right"/>
              <w:ind w:right="30"/>
              <w:spacing w:after="0"/>
              <w:rPr>
                <w:sz w:val="20"/>
                <w:szCs w:val="20"/>
                <w:color w:val="auto"/>
              </w:rPr>
            </w:pPr>
            <w:r>
              <w:rPr>
                <w:rFonts w:ascii="Arial" w:cs="Arial" w:eastAsia="Arial" w:hAnsi="Arial"/>
                <w:sz w:val="14"/>
                <w:szCs w:val="14"/>
                <w:color w:val="auto"/>
                <w:w w:val="82"/>
              </w:rPr>
              <w:t>(23,883 )</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(33,551)</w:t>
            </w:r>
          </w:p>
        </w:tc>
      </w:tr>
      <w:tr>
        <w:trPr>
          <w:trHeight w:val="290"/>
        </w:trPr>
        <w:tc>
          <w:tcPr>
            <w:tcW w:w="580" w:type="dxa"/>
            <w:vAlign w:val="bottom"/>
          </w:tcPr>
          <w:p>
            <w:pPr>
              <w:jc w:val="right"/>
              <w:ind w:right="90"/>
              <w:spacing w:after="0"/>
              <w:rPr>
                <w:sz w:val="20"/>
                <w:szCs w:val="20"/>
                <w:color w:val="auto"/>
              </w:rPr>
            </w:pPr>
            <w:r>
              <w:rPr>
                <w:rFonts w:ascii="Arial" w:cs="Arial" w:eastAsia="Arial" w:hAnsi="Arial"/>
                <w:sz w:val="14"/>
                <w:szCs w:val="14"/>
                <w:color w:val="auto"/>
                <w:w w:val="93"/>
              </w:rPr>
              <w:t>10,889</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10,700</w:t>
            </w:r>
          </w:p>
        </w:tc>
      </w:tr>
      <w:tr>
        <w:trPr>
          <w:trHeight w:val="314"/>
        </w:trPr>
        <w:tc>
          <w:tcPr>
            <w:tcW w:w="580" w:type="dxa"/>
            <w:vAlign w:val="bottom"/>
          </w:tcPr>
          <w:p>
            <w:pPr>
              <w:jc w:val="right"/>
              <w:ind w:right="90"/>
              <w:spacing w:after="0"/>
              <w:rPr>
                <w:sz w:val="20"/>
                <w:szCs w:val="20"/>
                <w:color w:val="auto"/>
              </w:rPr>
            </w:pPr>
            <w:r>
              <w:rPr>
                <w:rFonts w:ascii="Arial" w:cs="Arial" w:eastAsia="Arial" w:hAnsi="Arial"/>
                <w:sz w:val="14"/>
                <w:szCs w:val="14"/>
                <w:color w:val="auto"/>
              </w:rPr>
              <w:t>656</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291</w:t>
            </w:r>
          </w:p>
        </w:tc>
      </w:tr>
      <w:tr>
        <w:trPr>
          <w:trHeight w:val="339"/>
        </w:trPr>
        <w:tc>
          <w:tcPr>
            <w:tcW w:w="580" w:type="dxa"/>
            <w:vAlign w:val="bottom"/>
          </w:tcPr>
          <w:p>
            <w:pPr>
              <w:jc w:val="right"/>
              <w:ind w:right="30"/>
              <w:spacing w:after="0"/>
              <w:rPr>
                <w:sz w:val="20"/>
                <w:szCs w:val="20"/>
                <w:color w:val="auto"/>
              </w:rPr>
            </w:pPr>
            <w:r>
              <w:rPr>
                <w:rFonts w:ascii="Arial" w:cs="Arial" w:eastAsia="Arial" w:hAnsi="Arial"/>
                <w:sz w:val="14"/>
                <w:szCs w:val="14"/>
                <w:color w:val="auto"/>
                <w:w w:val="95"/>
              </w:rPr>
              <w:t>(1,908 )</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(1,840)</w:t>
            </w:r>
          </w:p>
        </w:tc>
      </w:tr>
      <w:tr>
        <w:trPr>
          <w:trHeight w:val="314"/>
        </w:trPr>
        <w:tc>
          <w:tcPr>
            <w:tcW w:w="580" w:type="dxa"/>
            <w:vAlign w:val="bottom"/>
          </w:tcPr>
          <w:p>
            <w:pPr>
              <w:jc w:val="right"/>
              <w:ind w:right="30"/>
              <w:spacing w:after="0"/>
              <w:rPr>
                <w:sz w:val="20"/>
                <w:szCs w:val="20"/>
                <w:color w:val="auto"/>
              </w:rPr>
            </w:pPr>
            <w:r>
              <w:rPr>
                <w:rFonts w:ascii="Arial" w:cs="Arial" w:eastAsia="Arial" w:hAnsi="Arial"/>
                <w:sz w:val="14"/>
                <w:szCs w:val="14"/>
                <w:color w:val="auto"/>
              </w:rPr>
              <w:t>(552 )</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(538 )</w:t>
            </w:r>
          </w:p>
        </w:tc>
      </w:tr>
      <w:tr>
        <w:trPr>
          <w:trHeight w:val="314"/>
        </w:trPr>
        <w:tc>
          <w:tcPr>
            <w:tcW w:w="580" w:type="dxa"/>
            <w:vAlign w:val="bottom"/>
          </w:tcPr>
          <w:p>
            <w:pPr>
              <w:jc w:val="right"/>
              <w:ind w:right="30"/>
              <w:spacing w:after="0"/>
              <w:rPr>
                <w:sz w:val="20"/>
                <w:szCs w:val="20"/>
                <w:color w:val="auto"/>
              </w:rPr>
            </w:pPr>
            <w:r>
              <w:rPr>
                <w:rFonts w:ascii="Arial" w:cs="Arial" w:eastAsia="Arial" w:hAnsi="Arial"/>
                <w:sz w:val="14"/>
                <w:szCs w:val="14"/>
                <w:color w:val="auto"/>
              </w:rPr>
              <w:t>(50 )</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314"/>
        </w:trPr>
        <w:tc>
          <w:tcPr>
            <w:tcW w:w="5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(761 )</w:t>
            </w:r>
          </w:p>
        </w:tc>
      </w:tr>
      <w:tr>
        <w:trPr>
          <w:trHeight w:val="324"/>
        </w:trPr>
        <w:tc>
          <w:tcPr>
            <w:tcW w:w="580" w:type="dxa"/>
            <w:vAlign w:val="bottom"/>
          </w:tcPr>
          <w:p>
            <w:pPr>
              <w:jc w:val="right"/>
              <w:ind w:right="30"/>
              <w:spacing w:after="0"/>
              <w:rPr>
                <w:sz w:val="20"/>
                <w:szCs w:val="20"/>
                <w:color w:val="auto"/>
              </w:rPr>
            </w:pPr>
            <w:r>
              <w:rPr>
                <w:rFonts w:ascii="Arial" w:cs="Arial" w:eastAsia="Arial" w:hAnsi="Arial"/>
                <w:sz w:val="14"/>
                <w:szCs w:val="14"/>
                <w:color w:val="auto"/>
                <w:w w:val="82"/>
              </w:rPr>
              <w:t>(52,524 )</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(5,971)</w:t>
            </w:r>
          </w:p>
        </w:tc>
      </w:tr>
      <w:tr>
        <w:trPr>
          <w:trHeight w:val="324"/>
        </w:trPr>
        <w:tc>
          <w:tcPr>
            <w:tcW w:w="580" w:type="dxa"/>
            <w:vAlign w:val="bottom"/>
          </w:tcPr>
          <w:p>
            <w:pPr>
              <w:jc w:val="right"/>
              <w:ind w:right="30"/>
              <w:spacing w:after="0"/>
              <w:rPr>
                <w:sz w:val="20"/>
                <w:szCs w:val="20"/>
                <w:color w:val="auto"/>
              </w:rPr>
            </w:pPr>
            <w:r>
              <w:rPr>
                <w:rFonts w:ascii="Arial" w:cs="Arial" w:eastAsia="Arial" w:hAnsi="Arial"/>
                <w:sz w:val="14"/>
                <w:szCs w:val="14"/>
                <w:color w:val="auto"/>
              </w:rPr>
              <w:t>(402 )</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(17,160)</w:t>
            </w:r>
          </w:p>
        </w:tc>
      </w:tr>
      <w:tr>
        <w:trPr>
          <w:trHeight w:val="290"/>
        </w:trPr>
        <w:tc>
          <w:tcPr>
            <w:tcW w:w="580" w:type="dxa"/>
            <w:vAlign w:val="bottom"/>
          </w:tcPr>
          <w:p>
            <w:pPr>
              <w:jc w:val="right"/>
              <w:ind w:right="90"/>
              <w:spacing w:after="0"/>
              <w:rPr>
                <w:sz w:val="20"/>
                <w:szCs w:val="20"/>
                <w:color w:val="auto"/>
              </w:rPr>
            </w:pPr>
            <w:r>
              <w:rPr>
                <w:rFonts w:ascii="Arial" w:cs="Arial" w:eastAsia="Arial" w:hAnsi="Arial"/>
                <w:sz w:val="14"/>
                <w:szCs w:val="14"/>
                <w:color w:val="auto"/>
                <w:w w:val="93"/>
              </w:rPr>
              <w:t>31,572</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48,732</w:t>
            </w:r>
          </w:p>
        </w:tc>
      </w:tr>
      <w:tr>
        <w:trPr>
          <w:trHeight w:val="349"/>
        </w:trPr>
        <w:tc>
          <w:tcPr>
            <w:tcW w:w="580" w:type="dxa"/>
            <w:vAlign w:val="bottom"/>
          </w:tcPr>
          <w:p>
            <w:pPr>
              <w:jc w:val="right"/>
              <w:ind w:right="90"/>
              <w:spacing w:after="0"/>
              <w:rPr>
                <w:sz w:val="20"/>
                <w:szCs w:val="20"/>
                <w:color w:val="auto"/>
              </w:rPr>
            </w:pPr>
            <w:r>
              <w:rPr>
                <w:rFonts w:ascii="Arial" w:cs="Arial" w:eastAsia="Arial" w:hAnsi="Arial"/>
                <w:sz w:val="14"/>
                <w:szCs w:val="14"/>
                <w:color w:val="auto"/>
                <w:w w:val="93"/>
              </w:rPr>
              <w:t>31,170</w:t>
            </w:r>
          </w:p>
        </w:tc>
        <w:tc>
          <w:tcPr>
            <w:tcW w:w="5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31,572</w:t>
            </w:r>
          </w:p>
        </w:tc>
      </w:tr>
      <w:tr>
        <w:trPr>
          <w:trHeight w:val="584"/>
        </w:trPr>
        <w:tc>
          <w:tcPr>
            <w:tcW w:w="580" w:type="dxa"/>
            <w:vAlign w:val="bottom"/>
          </w:tcPr>
          <w:p>
            <w:pPr>
              <w:jc w:val="right"/>
              <w:ind w:right="90"/>
              <w:spacing w:after="0"/>
              <w:rPr>
                <w:sz w:val="20"/>
                <w:szCs w:val="20"/>
                <w:color w:val="auto"/>
              </w:rPr>
            </w:pPr>
            <w:r>
              <w:rPr>
                <w:rFonts w:ascii="Arial" w:cs="Arial" w:eastAsia="Arial" w:hAnsi="Arial"/>
                <w:sz w:val="14"/>
                <w:szCs w:val="14"/>
                <w:color w:val="auto"/>
                <w:w w:val="93"/>
              </w:rPr>
              <w:t>32,440</w:t>
            </w:r>
          </w:p>
        </w:tc>
        <w:tc>
          <w:tcPr>
            <w:tcW w:w="5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38,624</w:t>
            </w:r>
          </w:p>
        </w:tc>
      </w:tr>
      <w:tr>
        <w:trPr>
          <w:trHeight w:val="514"/>
        </w:trPr>
        <w:tc>
          <w:tcPr>
            <w:tcW w:w="580" w:type="dxa"/>
            <w:vAlign w:val="bottom"/>
          </w:tcPr>
          <w:p>
            <w:pPr>
              <w:jc w:val="right"/>
              <w:ind w:right="90"/>
              <w:spacing w:after="0"/>
              <w:rPr>
                <w:sz w:val="20"/>
                <w:szCs w:val="20"/>
                <w:color w:val="auto"/>
              </w:rPr>
            </w:pPr>
            <w:r>
              <w:rPr>
                <w:rFonts w:ascii="Arial" w:cs="Arial" w:eastAsia="Arial" w:hAnsi="Arial"/>
                <w:sz w:val="14"/>
                <w:szCs w:val="14"/>
                <w:color w:val="auto"/>
              </w:rPr>
              <w:t>5,900</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580" w:type="dxa"/>
            <w:vAlign w:val="bottom"/>
          </w:tcPr>
          <w:p>
            <w:pPr>
              <w:jc w:val="right"/>
              <w:ind w:right="90"/>
              <w:spacing w:after="0"/>
              <w:rPr>
                <w:sz w:val="20"/>
                <w:szCs w:val="20"/>
                <w:color w:val="auto"/>
              </w:rPr>
            </w:pPr>
            <w:r>
              <w:rPr>
                <w:rFonts w:ascii="Arial" w:cs="Arial" w:eastAsia="Arial" w:hAnsi="Arial"/>
                <w:sz w:val="14"/>
                <w:szCs w:val="14"/>
                <w:color w:val="auto"/>
              </w:rPr>
              <w:t>137</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-4117340</wp:posOffset>
            </wp:positionV>
            <wp:extent cx="186817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6817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-4117340</wp:posOffset>
            </wp:positionV>
            <wp:extent cx="186817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86817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-1696085</wp:posOffset>
            </wp:positionV>
            <wp:extent cx="186817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86817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-1696085</wp:posOffset>
            </wp:positionV>
            <wp:extent cx="186817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86817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-878205</wp:posOffset>
            </wp:positionV>
            <wp:extent cx="1868170" cy="285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868170" cy="2857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-878205</wp:posOffset>
            </wp:positionV>
            <wp:extent cx="1868170" cy="285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868170" cy="28575"/>
                    </a:xfrm>
                    <a:prstGeom prst="rect">
                      <a:avLst/>
                    </a:prstGeom>
                    <a:noFill/>
                  </pic:spPr>
                </pic:pic>
              </a:graphicData>
            </a:graphic>
          </wp:anchor>
        </w:drawing>
      </w:r>
    </w:p>
    <w:p>
      <w:pPr>
        <w:spacing w:after="0" w:line="1297" w:lineRule="exact"/>
        <w:rPr>
          <w:sz w:val="20"/>
          <w:szCs w:val="20"/>
          <w:color w:val="auto"/>
        </w:rPr>
      </w:pPr>
    </w:p>
    <w:p>
      <w:pPr>
        <w:sectPr>
          <w:pgSz w:w="11900" w:h="16838" w:orient="portrait"/>
          <w:cols w:equalWidth="0" w:num="2">
            <w:col w:w="6820" w:space="460"/>
            <w:col w:w="2060"/>
          </w:cols>
          <w:pgMar w:left="1260" w:top="1169"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 / 30</w:t>
      </w:r>
    </w:p>
    <w:p>
      <w:pPr>
        <w:sectPr>
          <w:pgSz w:w="11900" w:h="16838" w:orient="portrait"/>
          <w:cols w:equalWidth="0" w:num="1">
            <w:col w:w="9340"/>
          </w:cols>
          <w:pgMar w:left="1260" w:top="1169" w:right="1306" w:bottom="0"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4" w:lineRule="exact"/>
        <w:rPr>
          <w:sz w:val="20"/>
          <w:szCs w:val="20"/>
          <w:color w:val="auto"/>
        </w:rPr>
      </w:pPr>
    </w:p>
    <w:p>
      <w:pPr>
        <w:ind w:right="3300"/>
        <w:spacing w:after="0" w:line="428" w:lineRule="auto"/>
        <w:rPr>
          <w:sz w:val="20"/>
          <w:szCs w:val="20"/>
          <w:color w:val="auto"/>
        </w:rPr>
      </w:pPr>
      <w:r>
        <w:rPr>
          <w:rFonts w:ascii="Arial" w:cs="Arial" w:eastAsia="Arial" w:hAnsi="Arial"/>
          <w:sz w:val="20"/>
          <w:szCs w:val="20"/>
          <w:b w:val="1"/>
          <w:bCs w:val="1"/>
          <w:color w:val="auto"/>
        </w:rPr>
        <w:t>NOTE 1: SUMMARY OF SIGNIFICANT ACCOUNTING POLICIES Nature of Operations</w:t>
      </w:r>
    </w:p>
    <w:p>
      <w:pPr>
        <w:spacing w:after="0" w:line="20"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The accompanying consolidated financial statements include the accounts of Pathfinder Bancorp, Inc. (the “Company”) and its wholly owned subsidiary, Pathfinder Bank (the “Bank”). The Company is a Maryland corporation headquartered in Oswego, New York. On October 16, 2014, the Company completed its conversion from the mutual holding company structure and the related public offering and is now a stock holding company that is fully owned by the public. As a result of the conversion, the mutual holding company and former mid-tier holding company were merged into Pathfinder Bancorp, Inc. The primary business of the Company is its investment in Pathfinder Bank (the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previously owned, through its wholly owned subsidiary Pathfinder Risk Management Company, Inc., 51% of the membership interest in FitzGibbons Agency, LLC (“Agency”), the Company is required to consolidate 100% of the Agency within the consolidated financial statements. The 49% of the Agency which the Company did not own is accounted for separately as noncontrolling interests within the consolidated financial statements. The Company completed the sale of its majority membership interest in the FitzGibbons Agency to Marshall &amp; Sterling Enterprises, Inc. in October 2024. PRMC continues to exist as a separate legal entity, but is currently inactive.</w:t>
      </w:r>
    </w:p>
    <w:p>
      <w:pPr>
        <w:spacing w:after="0" w:line="118"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The Company has seven branch offices located in Oswego County, five branch offices in Onondaga County and one limited purpose office in Oneida County. The Company is primarily engaged in the business of attracting deposits from the general public in the Company’s market area, and investing such deposits, together with other sources of funds, in loans secured by commercial real estate, business assets, one-to-four family residential real estate and investment securities.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 in the Preparation of Consolidated Financial Statements</w:t>
      </w:r>
    </w:p>
    <w:p>
      <w:pPr>
        <w:spacing w:after="0" w:line="20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The preparation of consolidated financial statements in accordance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Management has identified the allowance for credit losses, deferred income taxes, pension obligations, the annual evaluation of the Company’s goodwill for possible impairment and the evaluation of investment securities for credit loss impairment and the estimation of fair values for accounting and disclosure purposes to be the accounting areas that require the most subjective and complex judgments, and as such, could be the most subject to revision as new information becomes available.</w:t>
      </w:r>
    </w:p>
    <w:p>
      <w:pPr>
        <w:spacing w:after="0" w:line="111"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The Company is subject to the regulations of various governmental agencies. The Company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Group Concentrations of Credit Risk</w:t>
      </w:r>
    </w:p>
    <w:p>
      <w:pPr>
        <w:spacing w:after="0" w:line="200" w:lineRule="exact"/>
        <w:rPr>
          <w:sz w:val="20"/>
          <w:szCs w:val="20"/>
          <w:color w:val="auto"/>
        </w:rPr>
      </w:pPr>
    </w:p>
    <w:p>
      <w:pPr>
        <w:jc w:val="both"/>
        <w:ind w:right="20"/>
        <w:spacing w:after="0" w:line="355" w:lineRule="auto"/>
        <w:rPr>
          <w:sz w:val="20"/>
          <w:szCs w:val="20"/>
          <w:color w:val="auto"/>
        </w:rPr>
      </w:pPr>
      <w:r>
        <w:rPr>
          <w:rFonts w:ascii="Arial" w:cs="Arial" w:eastAsia="Arial" w:hAnsi="Arial"/>
          <w:sz w:val="18"/>
          <w:szCs w:val="18"/>
          <w:color w:val="auto"/>
        </w:rPr>
        <w:t>Most of the Company’s activities are with customers located primarily in Oswego and Onondaga counties of New York State. A large portion of the Company’s portfolio is centered in residential and commercial real estate. The Company closely monitors real estate collateral values and requires additional reviews of commercial real estate</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30</w:t>
      </w:r>
    </w:p>
    <w:p>
      <w:pPr>
        <w:sectPr>
          <w:pgSz w:w="11900" w:h="16838" w:orient="portrait"/>
          <w:cols w:equalWidth="0" w:num="1">
            <w:col w:w="9340"/>
          </w:cols>
          <w:pgMar w:left="1260" w:top="1440" w:right="1306" w:bottom="0" w:gutter="0" w:footer="0" w:header="0"/>
          <w:type w:val="continuous"/>
        </w:sectPr>
      </w:pPr>
    </w:p>
    <w:bookmarkStart w:id="129" w:name="page130"/>
    <w:bookmarkEnd w:id="129"/>
    <w:p>
      <w:pPr>
        <w:jc w:val="both"/>
        <w:spacing w:after="0" w:line="351" w:lineRule="auto"/>
        <w:rPr>
          <w:sz w:val="20"/>
          <w:szCs w:val="20"/>
          <w:color w:val="auto"/>
        </w:rPr>
      </w:pPr>
      <w:r>
        <w:rPr>
          <w:rFonts w:ascii="Arial" w:cs="Arial" w:eastAsia="Arial" w:hAnsi="Arial"/>
          <w:sz w:val="18"/>
          <w:szCs w:val="18"/>
          <w:color w:val="auto"/>
        </w:rPr>
        <w:t>appraisals by a qualified third party for commercial real estate loans in excess of $400,000. All residential loan appraisals are reviewed by an individual or third party who is independent of the loan origination or approval process and was not involved in the approval of appraisers or selection of the appraiser for the transaction, and has no direct or indirect interest, financial or otherwise in the property or the transaction. Note 4 discusses the types of securities that the Company invests in. Note 5 discusses the types of lending that the Company engages in.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w:t>
      </w:r>
    </w:p>
    <w:p>
      <w:pPr>
        <w:spacing w:after="0" w:line="200"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The Company generally follows the policy of charging the costs of advertising to expense as incurred. Expenditures for new marketing and advertising material designs and/or media content, related to specifically-identifiable marketing campaigns are capitalized and expensed over the estimated life of the campaign. Such periods of time are generally 12-24 months in duration and do not exceed 36 months.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30</w:t>
      </w:r>
    </w:p>
    <w:p>
      <w:pPr>
        <w:sectPr>
          <w:pgSz w:w="11900" w:h="16838" w:orient="portrait"/>
          <w:cols w:equalWidth="0" w:num="1">
            <w:col w:w="9380"/>
          </w:cols>
          <w:pgMar w:left="1260" w:top="1173" w:right="1266" w:bottom="0" w:gutter="0" w:footer="0" w:header="0"/>
          <w:type w:val="continuous"/>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Noncontrolling Interest</w:t>
      </w:r>
    </w:p>
    <w:p>
      <w:pPr>
        <w:spacing w:after="0" w:line="200"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 xml:space="preserve">Noncontrolling interest represented the portion of ownership and profit or loss that is attributable to the minority owners of the FitzGibbons Agency. In accordance with ASC 810, </w:t>
      </w:r>
      <w:r>
        <w:rPr>
          <w:rFonts w:ascii="Arial" w:cs="Arial" w:eastAsia="Arial" w:hAnsi="Arial"/>
          <w:sz w:val="20"/>
          <w:szCs w:val="20"/>
          <w:i w:val="1"/>
          <w:iCs w:val="1"/>
          <w:color w:val="auto"/>
        </w:rPr>
        <w:t>Consolidation</w:t>
      </w:r>
      <w:r>
        <w:rPr>
          <w:rFonts w:ascii="Arial" w:cs="Arial" w:eastAsia="Arial" w:hAnsi="Arial"/>
          <w:sz w:val="20"/>
          <w:szCs w:val="20"/>
          <w:color w:val="auto"/>
        </w:rPr>
        <w:t>, the noncontrolling interest was reduced to zero on October 1, 2024 as a result of the sale of the FitzGibbons Agency and accounting treatment for deconsolidation of a subsidiary.</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00"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Cash and cash equivalents include cash on hand, amounts due from banks and interest-bearing deposits (with original maturity of three months or less).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Securities</w:t>
      </w:r>
    </w:p>
    <w:p>
      <w:pPr>
        <w:spacing w:after="0" w:line="200" w:lineRule="exact"/>
        <w:rPr>
          <w:sz w:val="20"/>
          <w:szCs w:val="20"/>
          <w:color w:val="auto"/>
        </w:rPr>
      </w:pPr>
    </w:p>
    <w:p>
      <w:pPr>
        <w:jc w:val="both"/>
        <w:ind w:right="20"/>
        <w:spacing w:after="0" w:line="352" w:lineRule="auto"/>
        <w:rPr>
          <w:sz w:val="20"/>
          <w:szCs w:val="20"/>
          <w:color w:val="auto"/>
        </w:rPr>
      </w:pPr>
      <w:r>
        <w:rPr>
          <w:rFonts w:ascii="Arial" w:cs="Arial" w:eastAsia="Arial" w:hAnsi="Arial"/>
          <w:sz w:val="18"/>
          <w:szCs w:val="18"/>
          <w:color w:val="auto"/>
        </w:rPr>
        <w:t>The Company classifies investment securities as either AFS or HTM. The Company does not hold any securities considered to be trading. AFS securities are reported at fair value, with net unrealized gains and losses reflected as a separate component of shareholders’ equity, net of the applicable income tax effect. HTM securities are those that the Company has the ability and intent to hold until maturity and are reported at amortized cost.</w:t>
      </w:r>
    </w:p>
    <w:p>
      <w:pPr>
        <w:spacing w:after="0" w:line="106"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Gains or losses on investment security transactions are based on the amortized cost of the specific securities sold. Premiums and discounts on HTM securities are amortized and accreted into income using the interest method over the period to maturity.</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The Company records its investment in marketable equity securities (“MES”) at fair value. Changes in the fair value of MES are recorded as additions to, or subtractions from, net income in the period that the change occurs. These changes in fair value are separately disclosed as gains (losses) on equity securities on the Consolidated Statements of Income.</w:t>
      </w:r>
    </w:p>
    <w:p>
      <w:pPr>
        <w:spacing w:after="0" w:line="136"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Note 4 to the consolidated financial statements includes additional information about the Company’s accounting policies with respect to the credit loss impairment of investment securities.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Home Loan Bank Stock</w:t>
      </w:r>
    </w:p>
    <w:p>
      <w:pPr>
        <w:spacing w:after="0" w:line="200"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color w:val="auto"/>
        </w:rPr>
        <w:t>Federal law requires a member institution of the Federal Home Loan Bank (“FHLB”) system to hold stock of its district FHLB according to a predetermined formula. The stock is carried at cost.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Transfers of Financial Assets and Loans Held for Sale</w:t>
      </w:r>
    </w:p>
    <w:p>
      <w:pPr>
        <w:spacing w:after="0" w:line="200" w:lineRule="exact"/>
        <w:rPr>
          <w:sz w:val="20"/>
          <w:szCs w:val="20"/>
          <w:color w:val="auto"/>
        </w:rPr>
      </w:pPr>
    </w:p>
    <w:p>
      <w:pPr>
        <w:jc w:val="both"/>
        <w:ind w:right="20"/>
        <w:spacing w:after="0" w:line="351" w:lineRule="auto"/>
        <w:rPr>
          <w:sz w:val="20"/>
          <w:szCs w:val="20"/>
          <w:color w:val="auto"/>
        </w:rPr>
      </w:pPr>
      <w:r>
        <w:rPr>
          <w:rFonts w:ascii="Arial" w:cs="Arial" w:eastAsia="Arial" w:hAnsi="Arial"/>
          <w:sz w:val="18"/>
          <w:szCs w:val="18"/>
          <w:color w:val="auto"/>
        </w:rPr>
        <w:t>Transfers of financial assets, including sales of loans and loan participations,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Loans</w:t>
      </w:r>
    </w:p>
    <w:p>
      <w:pPr>
        <w:spacing w:after="0" w:line="200" w:lineRule="exact"/>
        <w:rPr>
          <w:sz w:val="20"/>
          <w:szCs w:val="20"/>
          <w:color w:val="auto"/>
        </w:rPr>
      </w:pPr>
    </w:p>
    <w:p>
      <w:pPr>
        <w:jc w:val="both"/>
        <w:ind w:right="20"/>
        <w:spacing w:after="0" w:line="351" w:lineRule="auto"/>
        <w:rPr>
          <w:sz w:val="20"/>
          <w:szCs w:val="20"/>
          <w:color w:val="auto"/>
        </w:rPr>
      </w:pPr>
      <w:r>
        <w:rPr>
          <w:rFonts w:ascii="Arial" w:cs="Arial" w:eastAsia="Arial" w:hAnsi="Arial"/>
          <w:sz w:val="18"/>
          <w:szCs w:val="18"/>
          <w:color w:val="auto"/>
        </w:rPr>
        <w:t>The Company grants mortgage, commercial, municipal, and consumer loans to customers. Loans that management has the intent and ability to hold for the foreseeable future or until maturity or pay-off are stated at their outstanding unpaid principal balances, less the allowance for credit losses plus net deferred loan origination costs. The ability of the Company’s debtors to honor their contracts is dependent upon the real estate and general economic conditions in the market area. Interest income is generally recognized when income is earned using the interest method.</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30</w:t>
      </w:r>
    </w:p>
    <w:p>
      <w:pPr>
        <w:sectPr>
          <w:pgSz w:w="11900" w:h="16838" w:orient="portrait"/>
          <w:cols w:equalWidth="0" w:num="1">
            <w:col w:w="9360"/>
          </w:cols>
          <w:pgMar w:left="1260" w:top="1440" w:right="1286" w:bottom="0" w:gutter="0" w:footer="0" w:header="0"/>
          <w:type w:val="continuous"/>
        </w:sectPr>
      </w:pPr>
    </w:p>
    <w:bookmarkStart w:id="131" w:name="page132"/>
    <w:bookmarkEnd w:id="131"/>
    <w:p>
      <w:pPr>
        <w:jc w:val="both"/>
        <w:spacing w:after="0" w:line="355" w:lineRule="auto"/>
        <w:rPr>
          <w:sz w:val="20"/>
          <w:szCs w:val="20"/>
          <w:color w:val="auto"/>
        </w:rPr>
      </w:pPr>
      <w:r>
        <w:rPr>
          <w:rFonts w:ascii="Arial" w:cs="Arial" w:eastAsia="Arial" w:hAnsi="Arial"/>
          <w:sz w:val="18"/>
          <w:szCs w:val="18"/>
          <w:color w:val="auto"/>
        </w:rPr>
        <w:t>Nonrefundable loan fees received and related direct origination costs incurred are deferred and amortized over the life of the loan using the interest method, resulting in a constant effective yield over the loan term. Deferred fees are recognized into income and deferred costs are recorded to income immediately upon prepayment of the related loan.</w:t>
      </w:r>
    </w:p>
    <w:p>
      <w:pPr>
        <w:spacing w:after="0" w:line="102"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The loans receivable portfolio is segmented into residential mortgage, commercial and consumer loans. The residential mortgage segment consists of one-to-four family first-lien residential mortgages and construction loans. Commercial loans consist of the following classes: real estate, lines of credit, other commercial and industrial, and tax-exempt loans. Consumer loans include both home equity lines of credit and loans with junior liens and other consumer loans.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Credit Losses</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Therefore, ACL represents management’s estimate of losses inherent in credit-exposed asset portfolios, including the loan portfolio, unfunded loan commitments and the investment securities portfolio classified as HTM. The allowance is increased by the provision for credit losses, and decreased by charge-offs, net of recoveries. The ACL is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 / 30</w:t>
      </w:r>
    </w:p>
    <w:p>
      <w:pPr>
        <w:sectPr>
          <w:pgSz w:w="11900" w:h="16838" w:orient="portrait"/>
          <w:cols w:equalWidth="0" w:num="1">
            <w:col w:w="9340"/>
          </w:cols>
          <w:pgMar w:left="1260" w:top="1173" w:right="1306" w:bottom="0" w:gutter="0" w:footer="0" w:header="0"/>
          <w:type w:val="continuous"/>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spacing w:after="0" w:line="331" w:lineRule="auto"/>
        <w:rPr>
          <w:sz w:val="20"/>
          <w:szCs w:val="20"/>
          <w:color w:val="auto"/>
        </w:rPr>
      </w:pPr>
      <w:r>
        <w:rPr>
          <w:rFonts w:ascii="Arial" w:cs="Arial" w:eastAsia="Arial" w:hAnsi="Arial"/>
          <w:sz w:val="19"/>
          <w:szCs w:val="19"/>
          <w:color w:val="auto"/>
        </w:rPr>
        <w:t>established as of the date of the statement of condition and it is recorded as a reduction of either loans or HTM securities or as an other liability, in the case of unfunded loan commitments, in accordance with GAAP.</w:t>
      </w:r>
    </w:p>
    <w:p>
      <w:pPr>
        <w:spacing w:after="0" w:line="117"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The ACL is evaluated on a regular basis and established through charges to earnings in the form of a provision (benefit) for credit losses. When a loan or portion of a loan is determined to be uncollectible, the portion deemed uncollectible is charged-off against the allowance and subsequent recoveries, if any, are credited to the allowance. This evaluation is inherently subjective as it requires estimates that are susceptible to significant revision as more information becomes available.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Portfolio Segmentation and Collectively Evaluated Loans</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Loans are pooled based on their homogeneous risk characteristics. Once loans have been segmented into pools, a loss rate is applied to the amortized cost basis. The Company has divided its portfolio into discrete segments, as the loans within the segments have similar characteristics. Characteristics considered include: purpose, tenor, amortization, repayment source, payment frequency, collateral and recourse. The Company's identified portfolio segments include commercial loans/lines, commercial mortgages, consumer loans residential lines of credit, and residential loans, as well as certain subcategories of these loan types.</w:t>
      </w:r>
    </w:p>
    <w:p>
      <w:pPr>
        <w:spacing w:after="0" w:line="123"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The Company utilizes the Discounted Cash Flow (“DCF”) method for its pooled segment calculation. The DCF method implements a probability of default with loss given default and loss exposure at default estimation. The probability of default and loss given default are applied to expected future cash flows to the exposures at the projected point of loss occurrence, including estimates of borrower prepayment activity, that are adjusted to present value and these discounted expected losses become the quantitatively-derived portion of the ACL.</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DCF analysis is reliant upon a variety of loan-level data, peripheral model outputs and key assumptions. The data fields required to create the contractual portion of the forward-looking cash flow schedule relate to the terms of each loan and include information regarding payment amount, payment frequency, interest rate, interest type, maturity date, amortization term, etc. Contractual terms must be adjusted for prepayments to arrive at expected cash flows. The Company modeled amortizing/installment notes with a prepayment rate, annualized to one-year. For loans where principal collection is dominated by borrower election, e.g., lines of credit, interest-only, etc., and not by contractual obligation, the Company modeled a statistical tendency to repay as a curtailment rate, normalized to a one-year rate.</w:t>
      </w:r>
    </w:p>
    <w:p>
      <w:pPr>
        <w:spacing w:after="0" w:line="136"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The Company uses forecasts to predict how modeled economic factors will perform. The Company currently elects to forecast economic factors over a period for which it can produce a reliable and defensible forecast from widely accepted economic forecast resources. After the forecast period, the following eight quarters are reverted on a straight-line basis to the economic factor’s average. The Company uses an eight-quarter straight-line reversion to reduce the potential for a spike impact on the model caused by a rapid reversion. Additionally, as the Company is past its point of forecast, a straight-line reversion represents a most-likely scenario absent a reasonable and supportable forecast.</w:t>
      </w:r>
    </w:p>
    <w:p>
      <w:pPr>
        <w:spacing w:after="0" w:line="134"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In the Company’s analysis at the portfolio level, management found that the best model for predicting defaults considers economic metrics such as the National Unemployment Rate, the U.S. Federal Housing Finance Agency National House Price Index and the U.S. Retail Sales Index. With the large number of observations afforded by using peer data, the default curve is less sensitive to unusual loss events and has a much smoother shape. These metrics are considered to be extremely strong predictors of defaults and explain almost all variation in the default rate.</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 / 30</w:t>
      </w:r>
    </w:p>
    <w:p>
      <w:pPr>
        <w:sectPr>
          <w:pgSz w:w="11900" w:h="16838" w:orient="portrait"/>
          <w:cols w:equalWidth="0" w:num="1">
            <w:col w:w="9340"/>
          </w:cols>
          <w:pgMar w:left="1260" w:top="1440" w:right="1306" w:bottom="0" w:gutter="0" w:footer="0" w:header="0"/>
          <w:type w:val="continuous"/>
        </w:sectPr>
      </w:pPr>
    </w:p>
    <w:bookmarkStart w:id="133" w:name="page134"/>
    <w:bookmarkEnd w:id="133"/>
    <w:p>
      <w:pPr>
        <w:jc w:val="both"/>
        <w:ind w:right="20"/>
        <w:spacing w:after="0" w:line="351" w:lineRule="auto"/>
        <w:rPr>
          <w:sz w:val="20"/>
          <w:szCs w:val="20"/>
          <w:color w:val="auto"/>
        </w:rPr>
      </w:pPr>
      <w:r>
        <w:rPr>
          <w:rFonts w:ascii="Arial" w:cs="Arial" w:eastAsia="Arial" w:hAnsi="Arial"/>
          <w:sz w:val="18"/>
          <w:szCs w:val="18"/>
          <w:color w:val="auto"/>
        </w:rPr>
        <w:t>The allowance for credit loss is calculated based on a life of loan basis. The life of loan is assumed with consideration of prepayments and contractual maturity dates. If a given loan does not have a populated maturity date, based upon historical experience, the Company elected to amortize the loan for a length of time equal to the average life of the loan’s segment before the remaining balance will balloon with the exception of Commercial Demand Lines of Credit where the Company uses one year, reflecting the demand nature of these exposures.</w:t>
      </w:r>
    </w:p>
    <w:p>
      <w:pPr>
        <w:spacing w:after="0" w:line="106"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Management quarterly assesses the magnitude of QF adjustments necessary to be applied to the quantitatively-derived ACL in order to incorporate forward-looking projections in its final evaluation of current expected credit losses.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Individually Evaluated Loans</w:t>
      </w:r>
    </w:p>
    <w:p>
      <w:pPr>
        <w:spacing w:after="0" w:line="200"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Excluded from pooled analysis are loans to be individually evaluated due to the assets not maintaining similar risk characteristics to those in the designated pool segments.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30</w:t>
      </w:r>
    </w:p>
    <w:p>
      <w:pPr>
        <w:sectPr>
          <w:pgSz w:w="11900" w:h="16838" w:orient="portrait"/>
          <w:cols w:equalWidth="0" w:num="1">
            <w:col w:w="9400"/>
          </w:cols>
          <w:pgMar w:left="1260" w:top="1173" w:right="1246" w:bottom="0" w:gutter="0" w:footer="0" w:header="0"/>
          <w:type w:val="continuous"/>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Held-to-Maturity (“HTM”) Debt Securities</w:t>
      </w:r>
    </w:p>
    <w:p>
      <w:pPr>
        <w:spacing w:after="0" w:line="200"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The Company’s HTM debt securities are also required to utilize the current expected credit losses approach to estimate expected credit losses. The Company’s HTM debt securities included securities that are issued by U.S. government agencies or U.S. government-sponsored enterprises. These securities carry the explicit and/or implicit guarantee of the U.S. government, are widely recognized as “risk free,” and have a long history of zero credit loss. The Company also carries a portfolio of HTM municipal bonds and privately issued mortgage- and asset-backed securities. The Company measures its allowance for credit losses on HTM debt securities on a collective basis by major security type. The estimate of credit loss is based on historical credit losses, if any, adjusted for current conditions and reasonable and supportable forecasts. The Company considers the nature of the collateral, potential future changes in collateral values and available loss information. Adjustments to the allowance are reported in the Consolidated Statements of Income as a component of provision for credit losses.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Available-for-Sale (“AFS”) Debt Securities</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For AFS securities in an unrealized loss position, the Company first assesses whether (i) it intends to sell, or (ii) it is more likely than not that the Company will be required to sell the security before recovery of its amortized cost basis. If either case is affirmative, any previously recognized allowances are charged-off and the security’s amortized cost is written down to fair value through income. If neither case is affirmative, the security is evaluated to determine whether the decline in fair value has resulted from credit losses or other factors. In making this assessment, management considers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Adjustments to the allowance are reported in our income statement as a component of provision for credit losses. AFS securities are charged-off against the allowance or, in the absence of any allowance, written down through income when deemed uncollectible by management or when either of the aforementioned criteria regarding intent or requirement to sell is met.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Accrued Interest Receivable</w:t>
      </w:r>
    </w:p>
    <w:p>
      <w:pPr>
        <w:spacing w:after="0" w:line="200" w:lineRule="exact"/>
        <w:rPr>
          <w:sz w:val="20"/>
          <w:szCs w:val="20"/>
          <w:color w:val="auto"/>
        </w:rPr>
      </w:pPr>
    </w:p>
    <w:p>
      <w:pPr>
        <w:jc w:val="both"/>
        <w:ind w:right="60"/>
        <w:spacing w:after="0" w:line="352" w:lineRule="auto"/>
        <w:rPr>
          <w:sz w:val="20"/>
          <w:szCs w:val="20"/>
          <w:color w:val="auto"/>
        </w:rPr>
      </w:pPr>
      <w:r>
        <w:rPr>
          <w:rFonts w:ascii="Arial" w:cs="Arial" w:eastAsia="Arial" w:hAnsi="Arial"/>
          <w:sz w:val="18"/>
          <w:szCs w:val="18"/>
          <w:color w:val="auto"/>
        </w:rPr>
        <w:t>Accrued interest receivable balances are presented separately within other assets on the Consolidated Statements of Financial Condition. Accrued interest receivable that is included in the amortized cost of financial receivables and debt securities are excluded from related disclosure requirements. The Company does not measure an allowance for credit losses for accrued interest receivable as the Company writes off accrued interest receivable, in a timely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30</w:t>
      </w:r>
    </w:p>
    <w:p>
      <w:pPr>
        <w:sectPr>
          <w:pgSz w:w="11900" w:h="16838" w:orient="portrait"/>
          <w:cols w:equalWidth="0" w:num="1">
            <w:col w:w="9400"/>
          </w:cols>
          <w:pgMar w:left="1260" w:top="1440" w:right="1246" w:bottom="0" w:gutter="0" w:footer="0" w:header="0"/>
          <w:type w:val="continuous"/>
        </w:sectPr>
      </w:pPr>
    </w:p>
    <w:bookmarkStart w:id="135" w:name="page136"/>
    <w:bookmarkEnd w:id="135"/>
    <w:p>
      <w:pPr>
        <w:jc w:val="both"/>
        <w:spacing w:after="0" w:line="329" w:lineRule="auto"/>
        <w:rPr>
          <w:sz w:val="20"/>
          <w:szCs w:val="20"/>
          <w:color w:val="auto"/>
        </w:rPr>
      </w:pPr>
      <w:r>
        <w:rPr>
          <w:rFonts w:ascii="Arial" w:cs="Arial" w:eastAsia="Arial" w:hAnsi="Arial"/>
          <w:sz w:val="19"/>
          <w:szCs w:val="19"/>
          <w:color w:val="auto"/>
        </w:rPr>
        <w:t>manner, by reversing interest income. For commercial loans, the write off typically occurs upon becoming 90 days past due. For consumer loans, the write off typically occurs upon becoming 120 days past due. Historically, the Company has not experienced uncollectible accrued interest receivable on its investment securities. However, the Company would generally write off accrued interest receivable by reversing interest income if the Company does not reasonably expect to receive payments. Due to the timely manner in which accrued interest receivables are written off, the amounts of such write offs are immaterial.</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Reserve for Unfunded Commitments</w:t>
      </w:r>
    </w:p>
    <w:p>
      <w:pPr>
        <w:spacing w:after="0" w:line="20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The reserve for unfunded commitments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recognized as a component of other liabilities in the Consolidated Statements of Financial Condition, with adjustments to the reserve recognized as a provision for credit loss expense in the Consolidated Statements of Income. The unfunded reserve is determined by estimating expected future fundings, under each segment, and applying the expected loss rates. Expected future fundings are based on historical averages of funding rates (i.e., the likelihood of draws taken). Average funding rates are determined based on the most recent 20 quarters (5 years) of actual fundings on lines of credit. The average funding rate for each segment is compared to the current funding rate on each line to determine the average fundings available to be drawn. The fund up rate (the difference between the average funding rate and the current funding rate) for each segment is then applied within CECL model to the unfunded commitment balance to estimate the expected future fundings under each segment. The loss rate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30</w:t>
      </w:r>
    </w:p>
    <w:p>
      <w:pPr>
        <w:sectPr>
          <w:pgSz w:w="11900" w:h="16838" w:orient="portrait"/>
          <w:cols w:equalWidth="0" w:num="1">
            <w:col w:w="9380"/>
          </w:cols>
          <w:pgMar w:left="1260" w:top="1173" w:right="1266" w:bottom="0" w:gutter="0" w:footer="0" w:header="0"/>
          <w:type w:val="continuous"/>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color w:val="auto"/>
        </w:rPr>
        <w:t>derived for each segment in the current CECL calculation is then applied to the expected future fundings to derive the estimate of allowance for credit losses for unfunded commitments.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Recognition on Nonaccrual Loans</w:t>
      </w:r>
    </w:p>
    <w:p>
      <w:pPr>
        <w:spacing w:after="0" w:line="200"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For all classes of loans receivable, the accrual of interest is discontinued when the contractual payment of principal or interest has become 90 days past due or management has serious doubts about further collectability of principal or interest, even though the loan may be currently performing. A loan may remain on accrual status if it is either well secured or guaranteed and in the process of collection. When a loan is placed on nonaccrual status, unpaid interest is reversed and recorded against interest income. Interest received on nonaccrual loans generally is either applied against principal or reported as interest income, according to management’s judgment as to the collectability of principal. Generally, loans are restored to accrual status when the obligation is brought current, has performed in accordance with the contractual terms for a reasonable period of time, generally six months, and the ultimate collectability of the total contractual principal and interest is no longer in doubt. Nonaccrual loans that have been modified are restored to accrual status if principal and interest payments, under the modified terms, are current for six consecutive months after modification.</w:t>
      </w:r>
    </w:p>
    <w:p>
      <w:pPr>
        <w:spacing w:after="0" w:line="109"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For nonaccrual loans, when future collectability of the recorded loan balance is expected, interest income may be recognized on a cash basis when payments are made. In the case where a nonaccrual loan had been partially charged off, recognition of interest on a cash basis is limited to that which would have been recognized on the recorded loan balance at the contractual interest rate. Cash interest receipts in excess of that amount are recorded as recoveries to the allowance for credit losses until prior charge-offs have been fully recovered.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Credit Related Financial Instruments</w:t>
      </w:r>
    </w:p>
    <w:p>
      <w:pPr>
        <w:spacing w:after="0" w:line="200" w:lineRule="exact"/>
        <w:rPr>
          <w:sz w:val="20"/>
          <w:szCs w:val="20"/>
          <w:color w:val="auto"/>
        </w:rPr>
      </w:pPr>
    </w:p>
    <w:p>
      <w:pPr>
        <w:jc w:val="both"/>
        <w:ind w:right="40"/>
        <w:spacing w:after="0" w:line="363" w:lineRule="auto"/>
        <w:rPr>
          <w:sz w:val="20"/>
          <w:szCs w:val="20"/>
          <w:color w:val="auto"/>
        </w:rPr>
      </w:pPr>
      <w:r>
        <w:rPr>
          <w:rFonts w:ascii="Arial" w:cs="Arial" w:eastAsia="Arial" w:hAnsi="Arial"/>
          <w:sz w:val="18"/>
          <w:szCs w:val="18"/>
          <w:color w:val="auto"/>
        </w:rPr>
        <w:t>In the ordinary course of business, the Company enters into commitments to extend credit, including commitments under standby letters of credit. Such financial instruments are recorded to the balance sheet when they are funded.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Premises and Equipment</w:t>
      </w:r>
    </w:p>
    <w:p>
      <w:pPr>
        <w:spacing w:after="0" w:line="200"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Premises and equipment are stated at cost, less accumulated depreciation. Depreciation is computed on a straight-line basis over the estimated useful lives of the related assets, ranging up to 40 years for premises and leasehold improvements (or the lesser of the lease term) and 10 years for equipment. Maintenance and repairs are recorded to operating expenses as incurred. The asset cost and accumulated depreciation are removed from the accounts for assets sold or retired and any resulting gain or loss is included in the determination of income.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00"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The Company determines if an arrangement is a lease at inception. Right-of-use assets represent the Company’s right to use an underlying asset for the lease term and lease liabilities represent an obligation to make lease payments arising from the lease. Right-of-use assets and lease liabilities are recognized at the lease commencement date based on the present value of lease payments over the lease term. The lease may include renewal and termination options, which are included in the lease term when the Company is reasonably certain to exercise these options.</w:t>
      </w:r>
    </w:p>
    <w:p>
      <w:pPr>
        <w:spacing w:after="0" w:line="93"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For all underlying classes of assets, the Company has elected to not recognize right-of-use assets and lease liabilities for short-term leases that have a lease term of 12 months or less at lease commencement and do not include an option to purchase the underlying asset that the Company is reasonably certain to exercise. The Company recognizes fixed short-term lease cost on a straight-line basis over the lease term and variable lease cost, which could consist of maintenance, taxes, and insurance, in the period in which the obligation is incurred.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30</w:t>
      </w:r>
    </w:p>
    <w:p>
      <w:pPr>
        <w:sectPr>
          <w:pgSz w:w="11900" w:h="16838" w:orient="portrait"/>
          <w:cols w:equalWidth="0" w:num="1">
            <w:col w:w="9380"/>
          </w:cols>
          <w:pgMar w:left="1260" w:top="1440" w:right="1266" w:bottom="0" w:gutter="0" w:footer="0" w:header="0"/>
          <w:type w:val="continuous"/>
        </w:sectPr>
      </w:pPr>
    </w:p>
    <w:bookmarkStart w:id="137" w:name="page138"/>
    <w:bookmarkEnd w:id="137"/>
    <w:p>
      <w:pPr>
        <w:jc w:val="both"/>
        <w:spacing w:after="0" w:line="309" w:lineRule="auto"/>
        <w:rPr>
          <w:sz w:val="20"/>
          <w:szCs w:val="20"/>
          <w:color w:val="auto"/>
        </w:rPr>
      </w:pPr>
      <w:r>
        <w:rPr>
          <w:rFonts w:ascii="Arial" w:cs="Arial" w:eastAsia="Arial" w:hAnsi="Arial"/>
          <w:sz w:val="20"/>
          <w:szCs w:val="20"/>
          <w:color w:val="auto"/>
        </w:rPr>
        <w:t>In evaluating contracts to determine if they qualify as a lease, the Company considers factors such as if the Company obtained substantially all of the rights to the underlying asset through exclusivity if it can direct the use of the asset by making decisions about how and for what purpose the asset will be used and if the lessor has substantive substitution rights. This evaluation may require significant judgment.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Foreclosed Real Estate</w:t>
      </w:r>
    </w:p>
    <w:p>
      <w:pPr>
        <w:spacing w:after="0" w:line="200"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Physical possession of residential real estate property collateralizing a residential mortgage loan occurs when legal title is obtained upon completion of foreclosure or when the borrower conveys all interest in the property to satisfy the loan through completion of a deed-in-lieu of foreclosure or through a similar legal agreement. Properties acquired through foreclosure, or by deed-in-lieu of foreclosure, are recorded at their fair value less estimated costs to sell. Fair value is typically determined based on evaluations by third parties. Costs incurred in connection with preparing the foreclosed real estate for disposition are capitalized to the extent that they enhance the overall fair value of the property. Any write-downs on the asset’s fair value less costs to sell at the date of acquisition are recorded to the allowance for credit losses. Subsequent write downs and expenses of foreclosed real estate are included as a valuation allowance and recorded in noninterest expense.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 / 30</w:t>
      </w:r>
    </w:p>
    <w:p>
      <w:pPr>
        <w:sectPr>
          <w:pgSz w:w="11900" w:h="16838" w:orient="portrait"/>
          <w:cols w:equalWidth="0" w:num="1">
            <w:col w:w="9360"/>
          </w:cols>
          <w:pgMar w:left="1260" w:top="1173" w:right="1286" w:bottom="0" w:gutter="0" w:footer="0" w:header="0"/>
          <w:type w:val="continuous"/>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Intangible Assets</w:t>
      </w:r>
    </w:p>
    <w:p>
      <w:pPr>
        <w:spacing w:after="0" w:line="20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Goodwill represents the excess cost of an acquisition over the fair value of the net assets acquired. Goodwill is not amortized, but is evaluated annually or when there is a triggering event for impairment. Intangible assets, such as customer lists, are amortized over their useful lives, generally 15 years.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Servicing Rights</w:t>
      </w:r>
    </w:p>
    <w:p>
      <w:pPr>
        <w:spacing w:after="0" w:line="20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Originated mortgage servicing rights are recorded at their fair value at the time of transfer of the related loans and are amortized in proportion to, and over the period of, estimated net servicing income or loss. The carrying value of the originated mortgage servicing rights is periodically evaluated for impairment or between annual evaluations under certain circumstances.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00"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Compensation costs related to share-based payment transactions are recognized based on the grant-date fair value of the stock-based compensation issued. Compensation costs are recognized over the period that an employee provides service in exchange for the award. Compensation costs related to the Employee Stock Ownership Plan are dependent upon the average stock price and the shares committed to be released to plan participants through the period in which income is reported.</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Benefits</w:t>
      </w:r>
    </w:p>
    <w:p>
      <w:pPr>
        <w:spacing w:after="0" w:line="200"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The Company has a non-contributory defined benefit pension plan that covered substantially all employees.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will be no future benefit accruals after this date. Participants as of June 30, 2012 will continue to earn vesting credit with respect to their frozen accrued benefits as they continue to work. Pension expense under these plans is recorded to current operations and consists of several components of net pension cost based on various actuarial assumptions regarding future experience under the plans.</w:t>
      </w:r>
    </w:p>
    <w:p>
      <w:pPr>
        <w:spacing w:after="0" w:line="105"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Gains and losses, prior service costs and credits, and any remaining transition amounts that have not yet been recognized through net periodic benefit cost are recognized in accumulated other comprehensive loss, net of tax effects, until they are amortized as a component of net periodic cost. Plan assets and obligations are measured as of the Company’s statement of condition date.</w:t>
      </w:r>
    </w:p>
    <w:p>
      <w:pPr>
        <w:spacing w:after="0" w:line="136" w:lineRule="exact"/>
        <w:rPr>
          <w:sz w:val="20"/>
          <w:szCs w:val="20"/>
          <w:color w:val="auto"/>
        </w:rPr>
      </w:pPr>
    </w:p>
    <w:p>
      <w:pPr>
        <w:jc w:val="both"/>
        <w:ind w:right="20"/>
        <w:spacing w:after="0" w:line="330" w:lineRule="auto"/>
        <w:rPr>
          <w:sz w:val="20"/>
          <w:szCs w:val="20"/>
          <w:color w:val="auto"/>
        </w:rPr>
      </w:pPr>
      <w:r>
        <w:rPr>
          <w:rFonts w:ascii="Arial" w:cs="Arial" w:eastAsia="Arial" w:hAnsi="Arial"/>
          <w:sz w:val="19"/>
          <w:szCs w:val="19"/>
          <w:color w:val="auto"/>
        </w:rPr>
        <w:t>The Company has unfunded deferred compensation and supplemental executive retirement plans for select current and former employees and officers that provide benefits that cannot be paid from a qualified retirement plan due to Internal Revenue Code restrictions. These plans are nonqualified under the Internal Revenue Code, and assets used to fund benefit payments are not segregated from other assets of the Company, therefore, in general, a participant's or beneficiary's claim to benefits under these plans is as a general creditor.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Ownership Plan</w:t>
      </w:r>
    </w:p>
    <w:p>
      <w:pPr>
        <w:spacing w:after="0" w:line="200" w:lineRule="exact"/>
        <w:rPr>
          <w:sz w:val="20"/>
          <w:szCs w:val="20"/>
          <w:color w:val="auto"/>
        </w:rPr>
      </w:pPr>
    </w:p>
    <w:p>
      <w:pPr>
        <w:jc w:val="both"/>
        <w:ind w:right="80"/>
        <w:spacing w:after="0" w:line="352" w:lineRule="auto"/>
        <w:rPr>
          <w:sz w:val="20"/>
          <w:szCs w:val="20"/>
          <w:color w:val="auto"/>
        </w:rPr>
      </w:pPr>
      <w:r>
        <w:rPr>
          <w:rFonts w:ascii="Arial" w:cs="Arial" w:eastAsia="Arial" w:hAnsi="Arial"/>
          <w:sz w:val="18"/>
          <w:szCs w:val="18"/>
          <w:color w:val="auto"/>
        </w:rPr>
        <w:t>The Bank sponsors an Employee Stock Ownership Plan (“ESOP”) covering substantially all full time employees. The cost of shares issued to the ESOP but not committed to be released to the participants is presented in the Consolidated Statements of Condition as a reduction of shareholders’ equity. ESOP shares are released to the participants on an annual basis in accordance with a predetermined schedule. The Company records ESOP</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30</w:t>
      </w:r>
    </w:p>
    <w:p>
      <w:pPr>
        <w:sectPr>
          <w:pgSz w:w="11900" w:h="16838" w:orient="portrait"/>
          <w:cols w:equalWidth="0" w:num="1">
            <w:col w:w="9400"/>
          </w:cols>
          <w:pgMar w:left="1260" w:top="1440" w:right="1246" w:bottom="0" w:gutter="0" w:footer="0" w:header="0"/>
          <w:type w:val="continuous"/>
        </w:sectPr>
      </w:pPr>
    </w:p>
    <w:bookmarkStart w:id="139" w:name="page140"/>
    <w:bookmarkEnd w:id="139"/>
    <w:p>
      <w:pPr>
        <w:jc w:val="both"/>
        <w:ind w:left="6" w:right="60"/>
        <w:spacing w:after="0" w:line="307" w:lineRule="auto"/>
        <w:rPr>
          <w:sz w:val="20"/>
          <w:szCs w:val="20"/>
          <w:color w:val="auto"/>
        </w:rPr>
      </w:pPr>
      <w:r>
        <w:rPr>
          <w:rFonts w:ascii="Arial" w:cs="Arial" w:eastAsia="Arial" w:hAnsi="Arial"/>
          <w:sz w:val="20"/>
          <w:szCs w:val="20"/>
          <w:color w:val="auto"/>
        </w:rPr>
        <w:t>compensation expense based on the shares committed to be released and allocated to the participant’s accounts multiplied by the average share price of the Company’s stock over the period. Dividends related to unallocated shares are recorded as compensation expense.</w:t>
      </w:r>
    </w:p>
    <w:p>
      <w:pPr>
        <w:spacing w:after="0" w:line="12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Derivative Financial Instruments</w:t>
      </w:r>
    </w:p>
    <w:p>
      <w:pPr>
        <w:spacing w:after="0" w:line="200" w:lineRule="exact"/>
        <w:rPr>
          <w:sz w:val="20"/>
          <w:szCs w:val="20"/>
          <w:color w:val="auto"/>
        </w:rPr>
      </w:pPr>
    </w:p>
    <w:p>
      <w:pPr>
        <w:jc w:val="both"/>
        <w:ind w:left="6"/>
        <w:spacing w:after="0" w:line="329" w:lineRule="auto"/>
        <w:rPr>
          <w:sz w:val="20"/>
          <w:szCs w:val="20"/>
          <w:color w:val="auto"/>
        </w:rPr>
      </w:pPr>
      <w:r>
        <w:rPr>
          <w:rFonts w:ascii="Arial" w:cs="Arial" w:eastAsia="Arial" w:hAnsi="Arial"/>
          <w:sz w:val="19"/>
          <w:szCs w:val="19"/>
          <w:color w:val="auto"/>
        </w:rPr>
        <w:t>Derivative instruments are recorded on the Consolidated Statements of Condition as assets and liabilities measured at their fair value. The accounting for changes in the fair value of a derivative depends on whether or not the derivative has been designated and qualifies as part of a hedging relationship. The Company acquires derivatives with the intent of designating and qualifying those instruments as part of hedging relationships to other balance sheet assets or liabilities. The specific accounting treatment for increases and decreases in the value of derivatives further depends upon the use of the specific derivatives. There are two primary types of interest rate derivatives that may be employed by the Company:</w:t>
      </w:r>
    </w:p>
    <w:p>
      <w:pPr>
        <w:spacing w:after="0" w:line="169" w:lineRule="exact"/>
        <w:rPr>
          <w:sz w:val="20"/>
          <w:szCs w:val="20"/>
          <w:color w:val="auto"/>
        </w:rPr>
      </w:pPr>
    </w:p>
    <w:p>
      <w:pPr>
        <w:jc w:val="both"/>
        <w:ind w:left="306" w:right="40" w:hanging="306"/>
        <w:spacing w:after="0" w:line="373" w:lineRule="auto"/>
        <w:tabs>
          <w:tab w:leader="none" w:pos="306"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Fair Value Hedge - </w:t>
      </w:r>
      <w:r>
        <w:rPr>
          <w:rFonts w:ascii="Arial" w:cs="Arial" w:eastAsia="Arial" w:hAnsi="Arial"/>
          <w:sz w:val="20"/>
          <w:szCs w:val="20"/>
          <w:color w:val="auto"/>
        </w:rPr>
        <w:t>As a result of interest rate fluctuations, fixed-rate assets and liabilities will appreciate or</w:t>
      </w:r>
      <w:r>
        <w:rPr>
          <w:rFonts w:ascii="Arial" w:cs="Arial" w:eastAsia="Arial" w:hAnsi="Arial"/>
          <w:sz w:val="20"/>
          <w:szCs w:val="20"/>
          <w:i w:val="1"/>
          <w:iCs w:val="1"/>
          <w:color w:val="auto"/>
        </w:rPr>
        <w:t xml:space="preserve"> </w:t>
      </w:r>
      <w:r>
        <w:rPr>
          <w:rFonts w:ascii="Arial" w:cs="Arial" w:eastAsia="Arial" w:hAnsi="Arial"/>
          <w:sz w:val="20"/>
          <w:szCs w:val="20"/>
          <w:color w:val="auto"/>
        </w:rPr>
        <w:t>depreciate in fair value over the course of their economic lives prior to maturity. When effectively hedged, this appreciation or depreciation will generally be offset by fluctuations in the fair value of derivative instruments that are linked to the hedged assets and liabilities. This strategy is referred to as a fair value hedge. For a fair value hedge, changes in the fair value of the derivative instrument and changes in the fair value of the hedged asset or liability are expected to substantially offset each other and these changes are recognized currently in earnings.</w:t>
      </w:r>
    </w:p>
    <w:p>
      <w:pPr>
        <w:spacing w:after="0" w:line="205" w:lineRule="exact"/>
        <w:rPr>
          <w:rFonts w:ascii="Arial" w:cs="Arial" w:eastAsia="Arial" w:hAnsi="Arial"/>
          <w:sz w:val="20"/>
          <w:szCs w:val="20"/>
          <w:color w:val="auto"/>
        </w:rPr>
      </w:pPr>
    </w:p>
    <w:p>
      <w:pPr>
        <w:ind w:left="4586" w:hanging="125"/>
        <w:spacing w:after="0"/>
        <w:tabs>
          <w:tab w:leader="none" w:pos="4586" w:val="left"/>
        </w:tabs>
        <w:numPr>
          <w:ilvl w:val="1"/>
          <w:numId w:val="18"/>
        </w:numPr>
        <w:rPr>
          <w:rFonts w:ascii="Arial" w:cs="Arial" w:eastAsia="Arial" w:hAnsi="Arial"/>
          <w:sz w:val="22"/>
          <w:szCs w:val="22"/>
          <w:color w:val="auto"/>
        </w:rPr>
      </w:pPr>
      <w:r>
        <w:rPr>
          <w:rFonts w:ascii="Arial" w:cs="Arial" w:eastAsia="Arial" w:hAnsi="Arial"/>
          <w:sz w:val="22"/>
          <w:szCs w:val="22"/>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561975</wp:posOffset>
            </wp:positionV>
            <wp:extent cx="5967730"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6"/>
          </w:cols>
          <w:pgMar w:left="1254"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19 / 30</w:t>
      </w:r>
    </w:p>
    <w:p>
      <w:pPr>
        <w:sectPr>
          <w:pgSz w:w="11900" w:h="16838" w:orient="portrait"/>
          <w:cols w:equalWidth="0" w:num="1">
            <w:col w:w="9386"/>
          </w:cols>
          <w:pgMar w:left="1254" w:top="1173" w:right="1266" w:bottom="0" w:gutter="0" w:footer="0" w:header="0"/>
          <w:type w:val="continuous"/>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6" w:hanging="306"/>
        <w:spacing w:after="0" w:line="329" w:lineRule="auto"/>
        <w:tabs>
          <w:tab w:leader="none" w:pos="306"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 xml:space="preserve">Cash Flow Hedge - </w:t>
      </w:r>
      <w:r>
        <w:rPr>
          <w:rFonts w:ascii="Arial" w:cs="Arial" w:eastAsia="Arial" w:hAnsi="Arial"/>
          <w:sz w:val="19"/>
          <w:szCs w:val="19"/>
          <w:color w:val="auto"/>
        </w:rPr>
        <w:t>Cash flows related to floating rate assets and liabilities will fluctuate with changes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underlying rate index. When effectively hedged, the increases or decreases in cash flows related to the floating-rate asset or liability will generally be offset by changes in cash flows of the derivative instruments designated as a hedge. This strategy is referred to as a cash flow hedge. For a cash flow hedge, changes in the fair value of the derivative instrument, to the extent that it is effective, are recorded in other comprehensive income and subsequently reclassified to earnings as the hedged transaction impacts net income. Any ineffective portion of a cash flow hedge is recognized currently in earnings.</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Income Taxes</w:t>
      </w:r>
    </w:p>
    <w:p>
      <w:pPr>
        <w:spacing w:after="0" w:line="200" w:lineRule="exact"/>
        <w:rPr>
          <w:sz w:val="20"/>
          <w:szCs w:val="20"/>
          <w:color w:val="auto"/>
        </w:rPr>
      </w:pPr>
    </w:p>
    <w:p>
      <w:pPr>
        <w:jc w:val="both"/>
        <w:ind w:left="6" w:right="80"/>
        <w:spacing w:after="0" w:line="310" w:lineRule="auto"/>
        <w:rPr>
          <w:sz w:val="20"/>
          <w:szCs w:val="20"/>
          <w:color w:val="auto"/>
        </w:rPr>
      </w:pPr>
      <w:r>
        <w:rPr>
          <w:rFonts w:ascii="Arial" w:cs="Arial" w:eastAsia="Arial" w:hAnsi="Arial"/>
          <w:sz w:val="20"/>
          <w:szCs w:val="20"/>
          <w:color w:val="auto"/>
        </w:rPr>
        <w:t>The provision for income taxes is based on taxes currently payable or refundable and deferred income taxes on temporary differences between the tax basis of assets and liabilities and their reported amounts in the consolidated financial statements. Deferred tax assets and liabilities are reported in the consolidated financial statements at currently enacted income tax rates applicable to the period in which the deferred tax assets and liabilities are expected to be realized or settled.</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Earnings Per Share</w:t>
      </w:r>
    </w:p>
    <w:p>
      <w:pPr>
        <w:spacing w:after="0" w:line="200" w:lineRule="exact"/>
        <w:rPr>
          <w:sz w:val="20"/>
          <w:szCs w:val="20"/>
          <w:color w:val="auto"/>
        </w:rPr>
      </w:pPr>
    </w:p>
    <w:p>
      <w:pPr>
        <w:jc w:val="both"/>
        <w:ind w:left="6" w:right="40"/>
        <w:spacing w:after="0" w:line="329" w:lineRule="auto"/>
        <w:rPr>
          <w:sz w:val="20"/>
          <w:szCs w:val="20"/>
          <w:color w:val="auto"/>
        </w:rPr>
      </w:pPr>
      <w:r>
        <w:rPr>
          <w:rFonts w:ascii="Arial" w:cs="Arial" w:eastAsia="Arial" w:hAnsi="Arial"/>
          <w:sz w:val="19"/>
          <w:szCs w:val="19"/>
          <w:color w:val="auto"/>
        </w:rPr>
        <w:t>Basic net income per share is calculated using the two-class method by dividing net income (less any dividends on participating securities) by the weighted average number of shares of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 Note 3 provides more information related to earnings per share.</w:t>
      </w:r>
    </w:p>
    <w:p>
      <w:pPr>
        <w:spacing w:after="0" w:line="23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Segment Reporting</w:t>
      </w:r>
    </w:p>
    <w:p>
      <w:pPr>
        <w:spacing w:after="0" w:line="200" w:lineRule="exact"/>
        <w:rPr>
          <w:sz w:val="20"/>
          <w:szCs w:val="20"/>
          <w:color w:val="auto"/>
        </w:rPr>
      </w:pPr>
    </w:p>
    <w:p>
      <w:pPr>
        <w:jc w:val="both"/>
        <w:ind w:left="6" w:right="60"/>
        <w:spacing w:after="0" w:line="311" w:lineRule="auto"/>
        <w:rPr>
          <w:sz w:val="20"/>
          <w:szCs w:val="20"/>
          <w:color w:val="auto"/>
        </w:rPr>
      </w:pPr>
      <w:r>
        <w:rPr>
          <w:rFonts w:ascii="Arial" w:cs="Arial" w:eastAsia="Arial" w:hAnsi="Arial"/>
          <w:sz w:val="20"/>
          <w:szCs w:val="20"/>
          <w:color w:val="auto"/>
        </w:rPr>
        <w:t xml:space="preserve">The Company has evaluated the activities relating to its strategic business units. The controlling interest the Company had in the FitzGibbons Agency is dissimilar in nature and management when compared to the Company’s other strategic business units which are judged to be similar in nature and management. The Company has determined that the FitzGibbons Agency is below the reporting threshold in size in accordance with Accounting Standards Codification 280, </w:t>
      </w:r>
      <w:r>
        <w:rPr>
          <w:rFonts w:ascii="Arial" w:cs="Arial" w:eastAsia="Arial" w:hAnsi="Arial"/>
          <w:sz w:val="20"/>
          <w:szCs w:val="20"/>
          <w:i w:val="1"/>
          <w:iCs w:val="1"/>
          <w:color w:val="auto"/>
        </w:rPr>
        <w:t>Segment Reporting</w:t>
      </w:r>
      <w:r>
        <w:rPr>
          <w:rFonts w:ascii="Arial" w:cs="Arial" w:eastAsia="Arial" w:hAnsi="Arial"/>
          <w:sz w:val="20"/>
          <w:szCs w:val="20"/>
          <w:color w:val="auto"/>
        </w:rPr>
        <w:t>. Accordingly, the Company has determined it has no reportable segments.</w:t>
      </w:r>
    </w:p>
    <w:p>
      <w:pPr>
        <w:spacing w:after="0" w:line="132" w:lineRule="exact"/>
        <w:rPr>
          <w:sz w:val="20"/>
          <w:szCs w:val="20"/>
          <w:color w:val="auto"/>
        </w:rPr>
      </w:pPr>
    </w:p>
    <w:p>
      <w:pPr>
        <w:jc w:val="both"/>
        <w:ind w:left="6" w:right="60"/>
        <w:spacing w:after="0" w:line="349" w:lineRule="auto"/>
        <w:rPr>
          <w:sz w:val="20"/>
          <w:szCs w:val="20"/>
          <w:color w:val="auto"/>
        </w:rPr>
      </w:pPr>
      <w:r>
        <w:rPr>
          <w:rFonts w:ascii="Arial" w:cs="Arial" w:eastAsia="Arial" w:hAnsi="Arial"/>
          <w:sz w:val="18"/>
          <w:szCs w:val="18"/>
          <w:color w:val="auto"/>
        </w:rPr>
        <w:t>The Company’s reportable segments are determined by the Chief Executive Officer, who is designated as the chief operating decision maker (“CODM”), based on information provided about the Company’s products and services offered. A segment is distinguished by the level of information provided to the CODM, who uses information to review performance of various components of the business. The CODM will evaluate the financial performance of the Company’s business components by evaluating revenue streams, significant expenses, and budget to actual results in assessing the Company’s segments and in the determination of allocating resources. The CODM uses consolidated net income to benchmark the Company against its competitors. The benchmarking analysis along with monitoring budget to actual results are used in assessing performance. The financial information used for performance assessment by the CODM is the same as the financial information included on the accompanying Consolidated Statements of Condition and Consolidated Statements of Income.</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20 / 30</w:t>
      </w:r>
    </w:p>
    <w:p>
      <w:pPr>
        <w:sectPr>
          <w:pgSz w:w="11900" w:h="16838" w:orient="portrait"/>
          <w:cols w:equalWidth="0" w:num="1">
            <w:col w:w="9406"/>
          </w:cols>
          <w:pgMar w:left="1254" w:top="1440" w:right="1246" w:bottom="0" w:gutter="0" w:footer="0" w:header="0"/>
          <w:type w:val="continuous"/>
        </w:sectPr>
      </w:pPr>
    </w:p>
    <w:bookmarkStart w:id="141" w:name="page142"/>
    <w:bookmarkEnd w:id="141"/>
    <w:p>
      <w:pPr>
        <w:spacing w:after="0" w:line="2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30</w:t>
      </w:r>
    </w:p>
    <w:p>
      <w:pPr>
        <w:sectPr>
          <w:pgSz w:w="11900" w:h="16838" w:orient="portrait"/>
          <w:cols w:equalWidth="0" w:num="1">
            <w:col w:w="9026"/>
          </w:cols>
          <w:pgMar w:left="1440" w:top="1440" w:right="1440" w:bottom="0" w:gutter="0" w:footer="0" w:header="0"/>
          <w:type w:val="continuous"/>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 (Loss)</w:t>
      </w:r>
    </w:p>
    <w:p>
      <w:pPr>
        <w:spacing w:after="0" w:line="200"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Accounting principles generally require that recognized revenue, expenses, gains and losses be included in net income. Although certain changes in assets and liabilities are reported as a separate component of the equity section of the Consolidated Statements of Condition, such items, along with net income, are components of comprehensive income.</w:t>
      </w:r>
    </w:p>
    <w:p>
      <w:pPr>
        <w:spacing w:after="0" w:line="136"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Accumulated other comprehensive loss represents the sum of these items, with the exception of net income, as of the balance sheet date and is represented in the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As of December 31,</w:t>
            </w:r>
          </w:p>
        </w:tc>
        <w:tc>
          <w:tcPr>
            <w:tcW w:w="680" w:type="dxa"/>
            <w:vAlign w:val="bottom"/>
          </w:tcPr>
          <w:p>
            <w:pPr>
              <w:spacing w:after="0"/>
              <w:rPr>
                <w:sz w:val="17"/>
                <w:szCs w:val="17"/>
                <w:color w:val="auto"/>
              </w:rPr>
            </w:pPr>
          </w:p>
        </w:tc>
      </w:tr>
      <w:tr>
        <w:trPr>
          <w:trHeight w:val="280"/>
        </w:trPr>
        <w:tc>
          <w:tcPr>
            <w:tcW w:w="6020" w:type="dxa"/>
            <w:vAlign w:val="bottom"/>
          </w:tcPr>
          <w:p>
            <w:pPr>
              <w:spacing w:after="0"/>
              <w:rPr>
                <w:sz w:val="20"/>
                <w:szCs w:val="20"/>
                <w:color w:val="auto"/>
              </w:rPr>
            </w:pPr>
            <w:r>
              <w:rPr>
                <w:rFonts w:ascii="Arial" w:cs="Arial" w:eastAsia="Arial" w:hAnsi="Arial"/>
                <w:sz w:val="18"/>
                <w:szCs w:val="18"/>
                <w:color w:val="auto"/>
              </w:rPr>
              <w:t>Accumulated Other Comprehensive Loss By Component:</w:t>
            </w:r>
          </w:p>
        </w:tc>
        <w:tc>
          <w:tcPr>
            <w:tcW w:w="9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w:t>
            </w:r>
          </w:p>
        </w:tc>
        <w:tc>
          <w:tcPr>
            <w:tcW w:w="74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2024</w:t>
            </w:r>
          </w:p>
        </w:tc>
      </w:tr>
      <w:tr>
        <w:trPr>
          <w:trHeight w:val="46"/>
        </w:trPr>
        <w:tc>
          <w:tcPr>
            <w:tcW w:w="6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80"/>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loss for pension and other postretirement obligations</w:t>
            </w:r>
          </w:p>
        </w:tc>
        <w:tc>
          <w:tcPr>
            <w:tcW w:w="96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740" w:type="dxa"/>
            <w:vAlign w:val="bottom"/>
            <w:tcBorders>
              <w:bottom w:val="single" w:sz="8" w:color="CFF0FC"/>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(2,696)</w:t>
            </w:r>
          </w:p>
        </w:tc>
      </w:tr>
      <w:tr>
        <w:trPr>
          <w:trHeight w:val="255"/>
        </w:trPr>
        <w:tc>
          <w:tcPr>
            <w:tcW w:w="6020" w:type="dxa"/>
            <w:vAlign w:val="bottom"/>
          </w:tcPr>
          <w:p>
            <w:pPr>
              <w:spacing w:after="0"/>
              <w:rPr>
                <w:sz w:val="20"/>
                <w:szCs w:val="20"/>
                <w:color w:val="auto"/>
              </w:rPr>
            </w:pPr>
            <w:r>
              <w:rPr>
                <w:rFonts w:ascii="Arial" w:cs="Arial" w:eastAsia="Arial" w:hAnsi="Arial"/>
                <w:sz w:val="18"/>
                <w:szCs w:val="18"/>
                <w:color w:val="auto"/>
              </w:rPr>
              <w:t>Tax effect</w:t>
            </w:r>
          </w:p>
        </w:tc>
        <w:tc>
          <w:tcPr>
            <w:tcW w:w="9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w:t>
            </w:r>
          </w:p>
        </w:tc>
        <w:tc>
          <w:tcPr>
            <w:tcW w:w="74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55"/>
        </w:trPr>
        <w:tc>
          <w:tcPr>
            <w:tcW w:w="6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90"/>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loss for pension and other postretirement obligations, net of tax</w:t>
            </w:r>
          </w:p>
        </w:tc>
        <w:tc>
          <w:tcPr>
            <w:tcW w:w="9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7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(1,992)</w:t>
            </w:r>
          </w:p>
        </w:tc>
      </w:tr>
      <w:tr>
        <w:trPr>
          <w:trHeight w:val="264"/>
        </w:trPr>
        <w:tc>
          <w:tcPr>
            <w:tcW w:w="6020" w:type="dxa"/>
            <w:vAlign w:val="bottom"/>
          </w:tcPr>
          <w:p>
            <w:pPr>
              <w:spacing w:after="0"/>
              <w:rPr>
                <w:sz w:val="20"/>
                <w:szCs w:val="20"/>
                <w:color w:val="auto"/>
              </w:rPr>
            </w:pPr>
            <w:r>
              <w:rPr>
                <w:rFonts w:ascii="Arial" w:cs="Arial" w:eastAsia="Arial" w:hAnsi="Arial"/>
                <w:sz w:val="18"/>
                <w:szCs w:val="18"/>
                <w:color w:val="auto"/>
              </w:rPr>
              <w:t>Unrealized loss on available-for-sale securities</w:t>
            </w:r>
          </w:p>
        </w:tc>
        <w:tc>
          <w:tcPr>
            <w:tcW w:w="9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(5,826)</w:t>
            </w:r>
          </w:p>
        </w:tc>
        <w:tc>
          <w:tcPr>
            <w:tcW w:w="7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(10,219)</w:t>
            </w:r>
          </w:p>
        </w:tc>
      </w:tr>
      <w:tr>
        <w:trPr>
          <w:trHeight w:val="36"/>
        </w:trPr>
        <w:tc>
          <w:tcPr>
            <w:tcW w:w="6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0"/>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 effect</w:t>
            </w:r>
          </w:p>
        </w:tc>
        <w:tc>
          <w:tcPr>
            <w:tcW w:w="9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7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2,671</w:t>
            </w:r>
          </w:p>
        </w:tc>
      </w:tr>
      <w:tr>
        <w:trPr>
          <w:trHeight w:val="264"/>
        </w:trPr>
        <w:tc>
          <w:tcPr>
            <w:tcW w:w="6020" w:type="dxa"/>
            <w:vAlign w:val="bottom"/>
          </w:tcPr>
          <w:p>
            <w:pPr>
              <w:spacing w:after="0"/>
              <w:rPr>
                <w:sz w:val="20"/>
                <w:szCs w:val="20"/>
                <w:color w:val="auto"/>
              </w:rPr>
            </w:pPr>
            <w:r>
              <w:rPr>
                <w:rFonts w:ascii="Arial" w:cs="Arial" w:eastAsia="Arial" w:hAnsi="Arial"/>
                <w:sz w:val="18"/>
                <w:szCs w:val="18"/>
                <w:color w:val="auto"/>
              </w:rPr>
              <w:t>Unrealized loss on available-for-sale securities, net of tax</w:t>
            </w:r>
          </w:p>
        </w:tc>
        <w:tc>
          <w:tcPr>
            <w:tcW w:w="9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(4,303)</w:t>
            </w:r>
          </w:p>
        </w:tc>
        <w:tc>
          <w:tcPr>
            <w:tcW w:w="7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(7,548)</w:t>
            </w:r>
          </w:p>
        </w:tc>
      </w:tr>
      <w:tr>
        <w:trPr>
          <w:trHeight w:val="46"/>
        </w:trPr>
        <w:tc>
          <w:tcPr>
            <w:tcW w:w="6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80"/>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gain on hedging activities arising during the period</w:t>
            </w:r>
          </w:p>
        </w:tc>
        <w:tc>
          <w:tcPr>
            <w:tcW w:w="9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7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535</w:t>
            </w:r>
          </w:p>
        </w:tc>
      </w:tr>
      <w:tr>
        <w:trPr>
          <w:trHeight w:val="264"/>
        </w:trPr>
        <w:tc>
          <w:tcPr>
            <w:tcW w:w="6020" w:type="dxa"/>
            <w:vAlign w:val="bottom"/>
          </w:tcPr>
          <w:p>
            <w:pPr>
              <w:spacing w:after="0"/>
              <w:rPr>
                <w:sz w:val="20"/>
                <w:szCs w:val="20"/>
                <w:color w:val="auto"/>
              </w:rPr>
            </w:pPr>
            <w:r>
              <w:rPr>
                <w:rFonts w:ascii="Arial" w:cs="Arial" w:eastAsia="Arial" w:hAnsi="Arial"/>
                <w:sz w:val="18"/>
                <w:szCs w:val="18"/>
                <w:color w:val="auto"/>
              </w:rPr>
              <w:t>Tax effect</w:t>
            </w:r>
          </w:p>
        </w:tc>
        <w:tc>
          <w:tcPr>
            <w:tcW w:w="9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7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46"/>
        </w:trPr>
        <w:tc>
          <w:tcPr>
            <w:tcW w:w="6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90"/>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gain on hedging activities, net of tax</w:t>
            </w:r>
          </w:p>
        </w:tc>
        <w:tc>
          <w:tcPr>
            <w:tcW w:w="9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7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396</w:t>
            </w:r>
          </w:p>
        </w:tc>
      </w:tr>
      <w:tr>
        <w:trPr>
          <w:trHeight w:val="264"/>
        </w:trPr>
        <w:tc>
          <w:tcPr>
            <w:tcW w:w="60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(5,367)</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-2103755</wp:posOffset>
            </wp:positionV>
            <wp:extent cx="174942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4942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-1925955</wp:posOffset>
            </wp:positionV>
            <wp:extent cx="596773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-1538605</wp:posOffset>
            </wp:positionV>
            <wp:extent cx="596773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-1341755</wp:posOffset>
            </wp:positionV>
            <wp:extent cx="596773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-954405</wp:posOffset>
            </wp:positionV>
            <wp:extent cx="596773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-757555</wp:posOffset>
            </wp:positionV>
            <wp:extent cx="596773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596773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-173355</wp:posOffset>
            </wp:positionV>
            <wp:extent cx="596773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Reclassifications</w:t>
      </w:r>
    </w:p>
    <w:p>
      <w:pPr>
        <w:spacing w:after="0" w:line="200"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Certain amounts in the 2024 consolidated financial statements have been reclassified to conform to the current year presentation. These reclassifications had no effect on net income as previously reported.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30</w:t>
      </w:r>
    </w:p>
    <w:p>
      <w:pPr>
        <w:sectPr>
          <w:pgSz w:w="11900" w:h="16838" w:orient="portrait"/>
          <w:cols w:equalWidth="0" w:num="1">
            <w:col w:w="9400"/>
          </w:cols>
          <w:pgMar w:left="1260" w:top="1440" w:right="1246" w:bottom="0" w:gutter="0" w:footer="0" w:header="0"/>
          <w:type w:val="continuous"/>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NEW ACCOUNTING PRONOUNCEMENTS</w:t>
      </w:r>
    </w:p>
    <w:p>
      <w:pPr>
        <w:spacing w:after="0" w:line="200"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The Financial Accounting Standards Board (“FASB”) and, to a lesser extent, other authoritative rulemaking bodies promulgate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standards that have not yet been adopted as of December 31, 2025, but could have an impact on the Company's consolidated financial statements upon adoption.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Standards Not Yet Adopted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5930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67730" cy="5930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Standard</w:t>
            </w:r>
          </w:p>
        </w:tc>
        <w:tc>
          <w:tcPr>
            <w:tcW w:w="4380" w:type="dxa"/>
            <w:vAlign w:val="bottom"/>
            <w:shd w:val="clear" w:color="auto" w:fill="CFF0FC"/>
          </w:tcPr>
          <w:p>
            <w:pPr>
              <w:ind w:left="60"/>
              <w:spacing w:after="0"/>
              <w:rPr>
                <w:sz w:val="20"/>
                <w:szCs w:val="20"/>
                <w:color w:val="auto"/>
              </w:rPr>
            </w:pPr>
            <w:r>
              <w:rPr>
                <w:rFonts w:ascii="Arial" w:cs="Arial" w:eastAsia="Arial" w:hAnsi="Arial"/>
                <w:sz w:val="20"/>
                <w:szCs w:val="20"/>
                <w:b w:val="1"/>
                <w:bCs w:val="1"/>
                <w:color w:val="auto"/>
              </w:rPr>
              <w:t>Description</w:t>
            </w:r>
          </w:p>
        </w:tc>
        <w:tc>
          <w:tcPr>
            <w:tcW w:w="1400" w:type="dxa"/>
            <w:vAlign w:val="bottom"/>
            <w:shd w:val="clear" w:color="auto" w:fill="CFF0FC"/>
          </w:tcPr>
          <w:p>
            <w:pPr>
              <w:ind w:left="40"/>
              <w:spacing w:after="0"/>
              <w:rPr>
                <w:sz w:val="20"/>
                <w:szCs w:val="20"/>
                <w:color w:val="auto"/>
              </w:rPr>
            </w:pPr>
            <w:r>
              <w:rPr>
                <w:rFonts w:ascii="Arial" w:cs="Arial" w:eastAsia="Arial" w:hAnsi="Arial"/>
                <w:sz w:val="20"/>
                <w:szCs w:val="20"/>
                <w:b w:val="1"/>
                <w:bCs w:val="1"/>
                <w:color w:val="auto"/>
                <w:w w:val="98"/>
              </w:rPr>
              <w:t>Required Date</w:t>
            </w:r>
          </w:p>
        </w:tc>
        <w:tc>
          <w:tcPr>
            <w:tcW w:w="1920" w:type="dxa"/>
            <w:vAlign w:val="bottom"/>
            <w:shd w:val="clear" w:color="auto" w:fill="CFF0FC"/>
          </w:tcPr>
          <w:p>
            <w:pPr>
              <w:ind w:left="40"/>
              <w:spacing w:after="0"/>
              <w:rPr>
                <w:sz w:val="20"/>
                <w:szCs w:val="20"/>
                <w:color w:val="auto"/>
              </w:rPr>
            </w:pPr>
            <w:r>
              <w:rPr>
                <w:rFonts w:ascii="Arial" w:cs="Arial" w:eastAsia="Arial" w:hAnsi="Arial"/>
                <w:sz w:val="20"/>
                <w:szCs w:val="20"/>
                <w:b w:val="1"/>
                <w:bCs w:val="1"/>
                <w:color w:val="auto"/>
              </w:rPr>
              <w:t>Effect on</w:t>
            </w:r>
          </w:p>
        </w:tc>
      </w:tr>
      <w:tr>
        <w:trPr>
          <w:trHeight w:val="300"/>
        </w:trPr>
        <w:tc>
          <w:tcPr>
            <w:tcW w:w="1700" w:type="dxa"/>
            <w:vAlign w:val="bottom"/>
            <w:shd w:val="clear" w:color="auto" w:fill="CFF0FC"/>
          </w:tcPr>
          <w:p>
            <w:pPr>
              <w:spacing w:after="0"/>
              <w:rPr>
                <w:sz w:val="24"/>
                <w:szCs w:val="24"/>
                <w:color w:val="auto"/>
              </w:rPr>
            </w:pPr>
          </w:p>
        </w:tc>
        <w:tc>
          <w:tcPr>
            <w:tcW w:w="4380" w:type="dxa"/>
            <w:vAlign w:val="bottom"/>
            <w:shd w:val="clear" w:color="auto" w:fill="CFF0FC"/>
          </w:tcPr>
          <w:p>
            <w:pPr>
              <w:spacing w:after="0"/>
              <w:rPr>
                <w:sz w:val="24"/>
                <w:szCs w:val="24"/>
                <w:color w:val="auto"/>
              </w:rPr>
            </w:pPr>
          </w:p>
        </w:tc>
        <w:tc>
          <w:tcPr>
            <w:tcW w:w="1400" w:type="dxa"/>
            <w:vAlign w:val="bottom"/>
            <w:shd w:val="clear" w:color="auto" w:fill="CFF0FC"/>
          </w:tcPr>
          <w:p>
            <w:pPr>
              <w:ind w:left="40"/>
              <w:spacing w:after="0"/>
              <w:rPr>
                <w:sz w:val="20"/>
                <w:szCs w:val="20"/>
                <w:color w:val="auto"/>
              </w:rPr>
            </w:pPr>
            <w:r>
              <w:rPr>
                <w:rFonts w:ascii="Arial" w:cs="Arial" w:eastAsia="Arial" w:hAnsi="Arial"/>
                <w:sz w:val="20"/>
                <w:szCs w:val="20"/>
                <w:b w:val="1"/>
                <w:bCs w:val="1"/>
                <w:color w:val="auto"/>
              </w:rPr>
              <w:t>of</w:t>
            </w:r>
          </w:p>
        </w:tc>
        <w:tc>
          <w:tcPr>
            <w:tcW w:w="1920" w:type="dxa"/>
            <w:vAlign w:val="bottom"/>
            <w:shd w:val="clear" w:color="auto" w:fill="CFF0FC"/>
          </w:tcPr>
          <w:p>
            <w:pPr>
              <w:ind w:left="40"/>
              <w:spacing w:after="0"/>
              <w:rPr>
                <w:sz w:val="20"/>
                <w:szCs w:val="20"/>
                <w:color w:val="auto"/>
              </w:rPr>
            </w:pPr>
            <w:r>
              <w:rPr>
                <w:rFonts w:ascii="Arial" w:cs="Arial" w:eastAsia="Arial" w:hAnsi="Arial"/>
                <w:sz w:val="20"/>
                <w:szCs w:val="20"/>
                <w:b w:val="1"/>
                <w:bCs w:val="1"/>
                <w:color w:val="auto"/>
              </w:rPr>
              <w:t>Consolidated</w:t>
            </w:r>
          </w:p>
        </w:tc>
      </w:tr>
      <w:tr>
        <w:trPr>
          <w:trHeight w:val="331"/>
        </w:trPr>
        <w:tc>
          <w:tcPr>
            <w:tcW w:w="1700" w:type="dxa"/>
            <w:vAlign w:val="bottom"/>
            <w:tcBorders>
              <w:bottom w:val="single" w:sz="8" w:color="CFF0FC"/>
            </w:tcBorders>
            <w:shd w:val="clear" w:color="auto" w:fill="CFF0FC"/>
          </w:tcPr>
          <w:p>
            <w:pPr>
              <w:spacing w:after="0"/>
              <w:rPr>
                <w:sz w:val="24"/>
                <w:szCs w:val="24"/>
                <w:color w:val="auto"/>
              </w:rPr>
            </w:pPr>
          </w:p>
        </w:tc>
        <w:tc>
          <w:tcPr>
            <w:tcW w:w="4380" w:type="dxa"/>
            <w:vAlign w:val="bottom"/>
            <w:tcBorders>
              <w:bottom w:val="single" w:sz="8" w:color="CFF0FC"/>
            </w:tcBorders>
            <w:shd w:val="clear" w:color="auto" w:fill="CFF0FC"/>
          </w:tcPr>
          <w:p>
            <w:pPr>
              <w:spacing w:after="0"/>
              <w:rPr>
                <w:sz w:val="24"/>
                <w:szCs w:val="24"/>
                <w:color w:val="auto"/>
              </w:rPr>
            </w:pPr>
          </w:p>
        </w:tc>
        <w:tc>
          <w:tcPr>
            <w:tcW w:w="332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20"/>
                <w:szCs w:val="20"/>
                <w:b w:val="1"/>
                <w:bCs w:val="1"/>
                <w:color w:val="auto"/>
                <w:w w:val="92"/>
              </w:rPr>
              <w:t>Implementation Financial Statements</w:t>
            </w:r>
          </w:p>
        </w:tc>
      </w:tr>
      <w:tr>
        <w:trPr>
          <w:trHeight w:val="235"/>
        </w:trPr>
        <w:tc>
          <w:tcPr>
            <w:tcW w:w="1700" w:type="dxa"/>
            <w:vAlign w:val="bottom"/>
          </w:tcPr>
          <w:p>
            <w:pPr>
              <w:spacing w:after="0"/>
              <w:rPr>
                <w:sz w:val="20"/>
                <w:szCs w:val="20"/>
                <w:color w:val="auto"/>
              </w:rPr>
            </w:pPr>
            <w:r>
              <w:rPr>
                <w:rFonts w:ascii="Arial" w:cs="Arial" w:eastAsia="Arial" w:hAnsi="Arial"/>
                <w:sz w:val="17"/>
                <w:szCs w:val="17"/>
                <w:color w:val="auto"/>
                <w:w w:val="94"/>
              </w:rPr>
              <w:t>Income Statement ASU</w:t>
            </w:r>
          </w:p>
        </w:tc>
        <w:tc>
          <w:tcPr>
            <w:tcW w:w="5780" w:type="dxa"/>
            <w:vAlign w:val="bottom"/>
            <w:gridSpan w:val="2"/>
          </w:tcPr>
          <w:p>
            <w:pPr>
              <w:ind w:left="60"/>
              <w:spacing w:after="0"/>
              <w:rPr>
                <w:sz w:val="20"/>
                <w:szCs w:val="20"/>
                <w:color w:val="auto"/>
              </w:rPr>
            </w:pPr>
            <w:r>
              <w:rPr>
                <w:rFonts w:ascii="Arial" w:cs="Arial" w:eastAsia="Arial" w:hAnsi="Arial"/>
                <w:sz w:val="17"/>
                <w:szCs w:val="17"/>
                <w:color w:val="auto"/>
                <w:w w:val="98"/>
              </w:rPr>
              <w:t>ASU 2024-03 was issued to address requests from investors for Fiscal years</w:t>
            </w:r>
          </w:p>
        </w:tc>
        <w:tc>
          <w:tcPr>
            <w:tcW w:w="1920" w:type="dxa"/>
            <w:vAlign w:val="bottom"/>
          </w:tcPr>
          <w:p>
            <w:pPr>
              <w:ind w:left="40"/>
              <w:spacing w:after="0"/>
              <w:rPr>
                <w:sz w:val="20"/>
                <w:szCs w:val="20"/>
                <w:color w:val="auto"/>
              </w:rPr>
            </w:pPr>
            <w:r>
              <w:rPr>
                <w:rFonts w:ascii="Arial" w:cs="Arial" w:eastAsia="Arial" w:hAnsi="Arial"/>
                <w:sz w:val="17"/>
                <w:szCs w:val="17"/>
                <w:color w:val="auto"/>
                <w:w w:val="93"/>
              </w:rPr>
              <w:t>Management is evaluating</w:t>
            </w:r>
          </w:p>
        </w:tc>
      </w:tr>
      <w:tr>
        <w:trPr>
          <w:trHeight w:val="255"/>
        </w:trPr>
        <w:tc>
          <w:tcPr>
            <w:tcW w:w="1700" w:type="dxa"/>
            <w:vAlign w:val="bottom"/>
          </w:tcPr>
          <w:p>
            <w:pPr>
              <w:spacing w:after="0"/>
              <w:rPr>
                <w:sz w:val="20"/>
                <w:szCs w:val="20"/>
                <w:color w:val="auto"/>
              </w:rPr>
            </w:pPr>
            <w:r>
              <w:rPr>
                <w:rFonts w:ascii="Arial" w:cs="Arial" w:eastAsia="Arial" w:hAnsi="Arial"/>
                <w:sz w:val="17"/>
                <w:szCs w:val="17"/>
                <w:color w:val="auto"/>
              </w:rPr>
              <w:t xml:space="preserve">2024-03 </w:t>
            </w:r>
            <w:r>
              <w:rPr>
                <w:rFonts w:ascii="Arial" w:cs="Arial" w:eastAsia="Arial" w:hAnsi="Arial"/>
                <w:sz w:val="17"/>
                <w:szCs w:val="17"/>
                <w:i w:val="1"/>
                <w:iCs w:val="1"/>
                <w:color w:val="auto"/>
              </w:rPr>
              <w:t>(Subtopic</w:t>
            </w:r>
          </w:p>
        </w:tc>
        <w:tc>
          <w:tcPr>
            <w:tcW w:w="4380" w:type="dxa"/>
            <w:vAlign w:val="bottom"/>
          </w:tcPr>
          <w:p>
            <w:pPr>
              <w:ind w:left="60"/>
              <w:spacing w:after="0"/>
              <w:rPr>
                <w:sz w:val="20"/>
                <w:szCs w:val="20"/>
                <w:color w:val="auto"/>
              </w:rPr>
            </w:pPr>
            <w:r>
              <w:rPr>
                <w:rFonts w:ascii="Arial" w:cs="Arial" w:eastAsia="Arial" w:hAnsi="Arial"/>
                <w:sz w:val="17"/>
                <w:szCs w:val="17"/>
                <w:color w:val="auto"/>
              </w:rPr>
              <w:t>more detailed information about the types of expenses in</w:t>
            </w:r>
          </w:p>
        </w:tc>
        <w:tc>
          <w:tcPr>
            <w:tcW w:w="1400" w:type="dxa"/>
            <w:vAlign w:val="bottom"/>
          </w:tcPr>
          <w:p>
            <w:pPr>
              <w:ind w:left="40"/>
              <w:spacing w:after="0"/>
              <w:rPr>
                <w:sz w:val="20"/>
                <w:szCs w:val="20"/>
                <w:color w:val="auto"/>
              </w:rPr>
            </w:pPr>
            <w:r>
              <w:rPr>
                <w:rFonts w:ascii="Arial" w:cs="Arial" w:eastAsia="Arial" w:hAnsi="Arial"/>
                <w:sz w:val="17"/>
                <w:szCs w:val="17"/>
                <w:color w:val="auto"/>
              </w:rPr>
              <w:t>beginning after</w:t>
            </w:r>
          </w:p>
        </w:tc>
        <w:tc>
          <w:tcPr>
            <w:tcW w:w="1920" w:type="dxa"/>
            <w:vAlign w:val="bottom"/>
          </w:tcPr>
          <w:p>
            <w:pPr>
              <w:ind w:left="40"/>
              <w:spacing w:after="0"/>
              <w:rPr>
                <w:sz w:val="20"/>
                <w:szCs w:val="20"/>
                <w:color w:val="auto"/>
              </w:rPr>
            </w:pPr>
            <w:r>
              <w:rPr>
                <w:rFonts w:ascii="Arial" w:cs="Arial" w:eastAsia="Arial" w:hAnsi="Arial"/>
                <w:sz w:val="17"/>
                <w:szCs w:val="17"/>
                <w:color w:val="auto"/>
              </w:rPr>
              <w:t>the adoption of the ASU</w:t>
            </w:r>
          </w:p>
        </w:tc>
      </w:tr>
      <w:tr>
        <w:trPr>
          <w:trHeight w:val="255"/>
        </w:trPr>
        <w:tc>
          <w:tcPr>
            <w:tcW w:w="1700" w:type="dxa"/>
            <w:vAlign w:val="bottom"/>
          </w:tcPr>
          <w:p>
            <w:pPr>
              <w:spacing w:after="0"/>
              <w:rPr>
                <w:sz w:val="20"/>
                <w:szCs w:val="20"/>
                <w:color w:val="auto"/>
              </w:rPr>
            </w:pPr>
            <w:r>
              <w:rPr>
                <w:rFonts w:ascii="Arial" w:cs="Arial" w:eastAsia="Arial" w:hAnsi="Arial"/>
                <w:sz w:val="17"/>
                <w:szCs w:val="17"/>
                <w:i w:val="1"/>
                <w:iCs w:val="1"/>
                <w:color w:val="auto"/>
              </w:rPr>
              <w:t>220-40):</w:t>
            </w:r>
          </w:p>
        </w:tc>
        <w:tc>
          <w:tcPr>
            <w:tcW w:w="4380" w:type="dxa"/>
            <w:vAlign w:val="bottom"/>
          </w:tcPr>
          <w:p>
            <w:pPr>
              <w:ind w:left="60"/>
              <w:spacing w:after="0"/>
              <w:rPr>
                <w:sz w:val="20"/>
                <w:szCs w:val="20"/>
                <w:color w:val="auto"/>
              </w:rPr>
            </w:pPr>
            <w:r>
              <w:rPr>
                <w:rFonts w:ascii="Arial" w:cs="Arial" w:eastAsia="Arial" w:hAnsi="Arial"/>
                <w:sz w:val="17"/>
                <w:szCs w:val="17"/>
                <w:color w:val="auto"/>
                <w:w w:val="97"/>
              </w:rPr>
              <w:t>commonly presented income statement captions. The ASU</w:t>
            </w:r>
          </w:p>
        </w:tc>
        <w:tc>
          <w:tcPr>
            <w:tcW w:w="1400" w:type="dxa"/>
            <w:vAlign w:val="bottom"/>
          </w:tcPr>
          <w:p>
            <w:pPr>
              <w:ind w:left="40"/>
              <w:spacing w:after="0"/>
              <w:rPr>
                <w:sz w:val="20"/>
                <w:szCs w:val="20"/>
                <w:color w:val="auto"/>
              </w:rPr>
            </w:pPr>
            <w:r>
              <w:rPr>
                <w:rFonts w:ascii="Arial" w:cs="Arial" w:eastAsia="Arial" w:hAnsi="Arial"/>
                <w:sz w:val="17"/>
                <w:szCs w:val="17"/>
                <w:color w:val="auto"/>
              </w:rPr>
              <w:t>December 15,</w:t>
            </w:r>
          </w:p>
        </w:tc>
        <w:tc>
          <w:tcPr>
            <w:tcW w:w="1920" w:type="dxa"/>
            <w:vAlign w:val="bottom"/>
          </w:tcPr>
          <w:p>
            <w:pPr>
              <w:ind w:left="40"/>
              <w:spacing w:after="0"/>
              <w:rPr>
                <w:sz w:val="20"/>
                <w:szCs w:val="20"/>
                <w:color w:val="auto"/>
              </w:rPr>
            </w:pPr>
            <w:r>
              <w:rPr>
                <w:rFonts w:ascii="Arial" w:cs="Arial" w:eastAsia="Arial" w:hAnsi="Arial"/>
                <w:sz w:val="17"/>
                <w:szCs w:val="17"/>
                <w:color w:val="auto"/>
                <w:w w:val="97"/>
              </w:rPr>
              <w:t>but does not expect it will</w:t>
            </w:r>
          </w:p>
        </w:tc>
      </w:tr>
      <w:tr>
        <w:trPr>
          <w:trHeight w:val="255"/>
        </w:trPr>
        <w:tc>
          <w:tcPr>
            <w:tcW w:w="1700" w:type="dxa"/>
            <w:vAlign w:val="bottom"/>
          </w:tcPr>
          <w:p>
            <w:pPr>
              <w:spacing w:after="0"/>
              <w:rPr>
                <w:sz w:val="20"/>
                <w:szCs w:val="20"/>
                <w:color w:val="auto"/>
              </w:rPr>
            </w:pPr>
            <w:r>
              <w:rPr>
                <w:rFonts w:ascii="Arial" w:cs="Arial" w:eastAsia="Arial" w:hAnsi="Arial"/>
                <w:sz w:val="17"/>
                <w:szCs w:val="17"/>
                <w:i w:val="1"/>
                <w:iCs w:val="1"/>
                <w:color w:val="auto"/>
              </w:rPr>
              <w:t>Disaggregation of</w:t>
            </w:r>
          </w:p>
        </w:tc>
        <w:tc>
          <w:tcPr>
            <w:tcW w:w="4380" w:type="dxa"/>
            <w:vAlign w:val="bottom"/>
          </w:tcPr>
          <w:p>
            <w:pPr>
              <w:ind w:left="60"/>
              <w:spacing w:after="0"/>
              <w:rPr>
                <w:sz w:val="20"/>
                <w:szCs w:val="20"/>
                <w:color w:val="auto"/>
              </w:rPr>
            </w:pPr>
            <w:r>
              <w:rPr>
                <w:rFonts w:ascii="Arial" w:cs="Arial" w:eastAsia="Arial" w:hAnsi="Arial"/>
                <w:sz w:val="17"/>
                <w:szCs w:val="17"/>
                <w:color w:val="auto"/>
                <w:w w:val="94"/>
              </w:rPr>
              <w:t>requires new financial statement disclosures, disaggregating</w:t>
            </w:r>
          </w:p>
        </w:tc>
        <w:tc>
          <w:tcPr>
            <w:tcW w:w="1400" w:type="dxa"/>
            <w:vAlign w:val="bottom"/>
          </w:tcPr>
          <w:p>
            <w:pPr>
              <w:ind w:left="40"/>
              <w:spacing w:after="0"/>
              <w:rPr>
                <w:sz w:val="20"/>
                <w:szCs w:val="20"/>
                <w:color w:val="auto"/>
              </w:rPr>
            </w:pPr>
            <w:r>
              <w:rPr>
                <w:rFonts w:ascii="Arial" w:cs="Arial" w:eastAsia="Arial" w:hAnsi="Arial"/>
                <w:sz w:val="17"/>
                <w:szCs w:val="17"/>
                <w:color w:val="auto"/>
              </w:rPr>
              <w:t>2026, and interim</w:t>
            </w:r>
          </w:p>
        </w:tc>
        <w:tc>
          <w:tcPr>
            <w:tcW w:w="1920" w:type="dxa"/>
            <w:vAlign w:val="bottom"/>
          </w:tcPr>
          <w:p>
            <w:pPr>
              <w:ind w:left="40"/>
              <w:spacing w:after="0"/>
              <w:rPr>
                <w:sz w:val="20"/>
                <w:szCs w:val="20"/>
                <w:color w:val="auto"/>
              </w:rPr>
            </w:pPr>
            <w:r>
              <w:rPr>
                <w:rFonts w:ascii="Arial" w:cs="Arial" w:eastAsia="Arial" w:hAnsi="Arial"/>
                <w:sz w:val="17"/>
                <w:szCs w:val="17"/>
                <w:color w:val="auto"/>
                <w:w w:val="97"/>
              </w:rPr>
              <w:t>have a material impact to</w:t>
            </w:r>
          </w:p>
        </w:tc>
      </w:tr>
      <w:tr>
        <w:trPr>
          <w:trHeight w:val="255"/>
        </w:trPr>
        <w:tc>
          <w:tcPr>
            <w:tcW w:w="1700" w:type="dxa"/>
            <w:vAlign w:val="bottom"/>
          </w:tcPr>
          <w:p>
            <w:pPr>
              <w:spacing w:after="0"/>
              <w:rPr>
                <w:sz w:val="20"/>
                <w:szCs w:val="20"/>
                <w:color w:val="auto"/>
              </w:rPr>
            </w:pPr>
            <w:r>
              <w:rPr>
                <w:rFonts w:ascii="Arial" w:cs="Arial" w:eastAsia="Arial" w:hAnsi="Arial"/>
                <w:sz w:val="17"/>
                <w:szCs w:val="17"/>
                <w:i w:val="1"/>
                <w:iCs w:val="1"/>
                <w:color w:val="auto"/>
              </w:rPr>
              <w:t>Income Statement</w:t>
            </w:r>
          </w:p>
        </w:tc>
        <w:tc>
          <w:tcPr>
            <w:tcW w:w="5780" w:type="dxa"/>
            <w:vAlign w:val="bottom"/>
            <w:gridSpan w:val="2"/>
          </w:tcPr>
          <w:p>
            <w:pPr>
              <w:ind w:left="60"/>
              <w:spacing w:after="0"/>
              <w:rPr>
                <w:sz w:val="20"/>
                <w:szCs w:val="20"/>
                <w:color w:val="auto"/>
              </w:rPr>
            </w:pPr>
            <w:r>
              <w:rPr>
                <w:rFonts w:ascii="Arial" w:cs="Arial" w:eastAsia="Arial" w:hAnsi="Arial"/>
                <w:sz w:val="17"/>
                <w:szCs w:val="17"/>
                <w:color w:val="auto"/>
                <w:w w:val="95"/>
              </w:rPr>
              <w:t>certain expense categories, such as compensation, depreciation, periods within</w:t>
            </w:r>
          </w:p>
        </w:tc>
        <w:tc>
          <w:tcPr>
            <w:tcW w:w="1920" w:type="dxa"/>
            <w:vAlign w:val="bottom"/>
          </w:tcPr>
          <w:p>
            <w:pPr>
              <w:ind w:left="40"/>
              <w:spacing w:after="0"/>
              <w:rPr>
                <w:sz w:val="20"/>
                <w:szCs w:val="20"/>
                <w:color w:val="auto"/>
              </w:rPr>
            </w:pPr>
            <w:r>
              <w:rPr>
                <w:rFonts w:ascii="Arial" w:cs="Arial" w:eastAsia="Arial" w:hAnsi="Arial"/>
                <w:sz w:val="17"/>
                <w:szCs w:val="17"/>
                <w:color w:val="auto"/>
              </w:rPr>
              <w:t>the Company's</w:t>
            </w:r>
          </w:p>
        </w:tc>
      </w:tr>
      <w:tr>
        <w:trPr>
          <w:trHeight w:val="255"/>
        </w:trPr>
        <w:tc>
          <w:tcPr>
            <w:tcW w:w="1700" w:type="dxa"/>
            <w:vAlign w:val="bottom"/>
          </w:tcPr>
          <w:p>
            <w:pPr>
              <w:spacing w:after="0"/>
              <w:rPr>
                <w:sz w:val="20"/>
                <w:szCs w:val="20"/>
                <w:color w:val="auto"/>
              </w:rPr>
            </w:pPr>
            <w:r>
              <w:rPr>
                <w:rFonts w:ascii="Arial" w:cs="Arial" w:eastAsia="Arial" w:hAnsi="Arial"/>
                <w:sz w:val="17"/>
                <w:szCs w:val="17"/>
                <w:i w:val="1"/>
                <w:iCs w:val="1"/>
                <w:color w:val="auto"/>
              </w:rPr>
              <w:t>Expenses</w:t>
            </w:r>
          </w:p>
        </w:tc>
        <w:tc>
          <w:tcPr>
            <w:tcW w:w="4380" w:type="dxa"/>
            <w:vAlign w:val="bottom"/>
          </w:tcPr>
          <w:p>
            <w:pPr>
              <w:ind w:left="60"/>
              <w:spacing w:after="0"/>
              <w:rPr>
                <w:sz w:val="20"/>
                <w:szCs w:val="20"/>
                <w:color w:val="auto"/>
              </w:rPr>
            </w:pPr>
            <w:r>
              <w:rPr>
                <w:rFonts w:ascii="Arial" w:cs="Arial" w:eastAsia="Arial" w:hAnsi="Arial"/>
                <w:sz w:val="17"/>
                <w:szCs w:val="17"/>
                <w:color w:val="auto"/>
                <w:w w:val="91"/>
              </w:rPr>
              <w:t>and amortization of intangible assets. This disaggregation is to</w:t>
            </w:r>
          </w:p>
        </w:tc>
        <w:tc>
          <w:tcPr>
            <w:tcW w:w="1400" w:type="dxa"/>
            <w:vAlign w:val="bottom"/>
          </w:tcPr>
          <w:p>
            <w:pPr>
              <w:ind w:left="40"/>
              <w:spacing w:after="0"/>
              <w:rPr>
                <w:sz w:val="20"/>
                <w:szCs w:val="20"/>
                <w:color w:val="auto"/>
              </w:rPr>
            </w:pPr>
            <w:r>
              <w:rPr>
                <w:rFonts w:ascii="Arial" w:cs="Arial" w:eastAsia="Arial" w:hAnsi="Arial"/>
                <w:sz w:val="17"/>
                <w:szCs w:val="17"/>
                <w:color w:val="auto"/>
              </w:rPr>
              <w:t>fiscal years</w:t>
            </w:r>
          </w:p>
        </w:tc>
        <w:tc>
          <w:tcPr>
            <w:tcW w:w="1920" w:type="dxa"/>
            <w:vAlign w:val="bottom"/>
          </w:tcPr>
          <w:p>
            <w:pPr>
              <w:ind w:left="40"/>
              <w:spacing w:after="0"/>
              <w:rPr>
                <w:sz w:val="20"/>
                <w:szCs w:val="20"/>
                <w:color w:val="auto"/>
              </w:rPr>
            </w:pPr>
            <w:r>
              <w:rPr>
                <w:rFonts w:ascii="Arial" w:cs="Arial" w:eastAsia="Arial" w:hAnsi="Arial"/>
                <w:sz w:val="17"/>
                <w:szCs w:val="17"/>
                <w:color w:val="auto"/>
              </w:rPr>
              <w:t>consolidated financial</w:t>
            </w: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w w:val="90"/>
              </w:rPr>
              <w:t>be presented in a tabular format and aims to provide enhanced</w:t>
            </w:r>
          </w:p>
        </w:tc>
        <w:tc>
          <w:tcPr>
            <w:tcW w:w="1400" w:type="dxa"/>
            <w:vAlign w:val="bottom"/>
          </w:tcPr>
          <w:p>
            <w:pPr>
              <w:ind w:left="40"/>
              <w:spacing w:after="0"/>
              <w:rPr>
                <w:sz w:val="20"/>
                <w:szCs w:val="20"/>
                <w:color w:val="auto"/>
              </w:rPr>
            </w:pPr>
            <w:r>
              <w:rPr>
                <w:rFonts w:ascii="Arial" w:cs="Arial" w:eastAsia="Arial" w:hAnsi="Arial"/>
                <w:sz w:val="17"/>
                <w:szCs w:val="17"/>
                <w:color w:val="auto"/>
              </w:rPr>
              <w:t>beginning after</w:t>
            </w:r>
          </w:p>
        </w:tc>
        <w:tc>
          <w:tcPr>
            <w:tcW w:w="1920" w:type="dxa"/>
            <w:vAlign w:val="bottom"/>
          </w:tcPr>
          <w:p>
            <w:pPr>
              <w:ind w:left="40"/>
              <w:spacing w:after="0"/>
              <w:rPr>
                <w:sz w:val="20"/>
                <w:szCs w:val="20"/>
                <w:color w:val="auto"/>
              </w:rPr>
            </w:pPr>
            <w:r>
              <w:rPr>
                <w:rFonts w:ascii="Arial" w:cs="Arial" w:eastAsia="Arial" w:hAnsi="Arial"/>
                <w:sz w:val="17"/>
                <w:szCs w:val="17"/>
                <w:color w:val="auto"/>
              </w:rPr>
              <w:t>statements.</w:t>
            </w:r>
          </w:p>
        </w:tc>
      </w:tr>
      <w:tr>
        <w:trPr>
          <w:trHeight w:val="255"/>
        </w:trPr>
        <w:tc>
          <w:tcPr>
            <w:tcW w:w="1700" w:type="dxa"/>
            <w:vAlign w:val="bottom"/>
          </w:tcPr>
          <w:p>
            <w:pPr>
              <w:spacing w:after="0"/>
              <w:rPr>
                <w:sz w:val="22"/>
                <w:szCs w:val="22"/>
                <w:color w:val="auto"/>
              </w:rPr>
            </w:pPr>
          </w:p>
        </w:tc>
        <w:tc>
          <w:tcPr>
            <w:tcW w:w="5780" w:type="dxa"/>
            <w:vAlign w:val="bottom"/>
            <w:gridSpan w:val="2"/>
          </w:tcPr>
          <w:p>
            <w:pPr>
              <w:ind w:left="60"/>
              <w:spacing w:after="0"/>
              <w:rPr>
                <w:sz w:val="20"/>
                <w:szCs w:val="20"/>
                <w:color w:val="auto"/>
              </w:rPr>
            </w:pPr>
            <w:r>
              <w:rPr>
                <w:rFonts w:ascii="Arial" w:cs="Arial" w:eastAsia="Arial" w:hAnsi="Arial"/>
                <w:sz w:val="17"/>
                <w:szCs w:val="17"/>
                <w:color w:val="auto"/>
                <w:w w:val="96"/>
              </w:rPr>
              <w:t>transparency into the relevant components of income statement December 15,</w:t>
            </w:r>
          </w:p>
        </w:tc>
        <w:tc>
          <w:tcPr>
            <w:tcW w:w="1920" w:type="dxa"/>
            <w:vAlign w:val="bottom"/>
          </w:tcPr>
          <w:p>
            <w:pPr>
              <w:spacing w:after="0"/>
              <w:rPr>
                <w:sz w:val="22"/>
                <w:szCs w:val="22"/>
                <w:color w:val="auto"/>
              </w:rPr>
            </w:pP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rPr>
              <w:t>expenses.</w:t>
            </w:r>
          </w:p>
        </w:tc>
        <w:tc>
          <w:tcPr>
            <w:tcW w:w="1400" w:type="dxa"/>
            <w:vAlign w:val="bottom"/>
          </w:tcPr>
          <w:p>
            <w:pPr>
              <w:ind w:left="40"/>
              <w:spacing w:after="0"/>
              <w:rPr>
                <w:sz w:val="20"/>
                <w:szCs w:val="20"/>
                <w:color w:val="auto"/>
              </w:rPr>
            </w:pPr>
            <w:r>
              <w:rPr>
                <w:rFonts w:ascii="Arial" w:cs="Arial" w:eastAsia="Arial" w:hAnsi="Arial"/>
                <w:sz w:val="17"/>
                <w:szCs w:val="17"/>
                <w:color w:val="auto"/>
              </w:rPr>
              <w:t>2027.</w:t>
            </w:r>
          </w:p>
        </w:tc>
        <w:tc>
          <w:tcPr>
            <w:tcW w:w="1920" w:type="dxa"/>
            <w:vAlign w:val="bottom"/>
          </w:tcPr>
          <w:p>
            <w:pPr>
              <w:spacing w:after="0"/>
              <w:rPr>
                <w:sz w:val="22"/>
                <w:szCs w:val="22"/>
                <w:color w:val="auto"/>
              </w:rPr>
            </w:pPr>
          </w:p>
        </w:tc>
      </w:tr>
      <w:tr>
        <w:trPr>
          <w:trHeight w:val="44"/>
        </w:trPr>
        <w:tc>
          <w:tcPr>
            <w:tcW w:w="17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3320" w:type="dxa"/>
            <w:vAlign w:val="bottom"/>
            <w:gridSpan w:val="2"/>
          </w:tcPr>
          <w:p>
            <w:pPr>
              <w:spacing w:after="0"/>
              <w:rPr>
                <w:sz w:val="3"/>
                <w:szCs w:val="3"/>
                <w:color w:val="auto"/>
              </w:rPr>
            </w:pPr>
          </w:p>
        </w:tc>
      </w:tr>
      <w:tr>
        <w:trPr>
          <w:trHeight w:val="279"/>
        </w:trPr>
        <w:tc>
          <w:tcPr>
            <w:tcW w:w="1700" w:type="dxa"/>
            <w:vAlign w:val="bottom"/>
            <w:shd w:val="clear" w:color="auto" w:fill="CFF0FC"/>
          </w:tcPr>
          <w:p>
            <w:pPr>
              <w:spacing w:after="0"/>
              <w:rPr>
                <w:sz w:val="24"/>
                <w:szCs w:val="24"/>
                <w:color w:val="auto"/>
              </w:rPr>
            </w:pPr>
          </w:p>
        </w:tc>
        <w:tc>
          <w:tcPr>
            <w:tcW w:w="4380" w:type="dxa"/>
            <w:vAlign w:val="bottom"/>
            <w:shd w:val="clear" w:color="auto" w:fill="CFF0FC"/>
          </w:tcPr>
          <w:p>
            <w:pPr>
              <w:spacing w:after="0"/>
              <w:rPr>
                <w:sz w:val="24"/>
                <w:szCs w:val="24"/>
                <w:color w:val="auto"/>
              </w:rPr>
            </w:pPr>
          </w:p>
        </w:tc>
        <w:tc>
          <w:tcPr>
            <w:tcW w:w="3320" w:type="dxa"/>
            <w:vAlign w:val="bottom"/>
            <w:gridSpan w:val="2"/>
            <w:shd w:val="clear" w:color="auto" w:fill="CFF0FC"/>
          </w:tcPr>
          <w:p>
            <w:pPr>
              <w:spacing w:after="0"/>
              <w:rPr>
                <w:sz w:val="24"/>
                <w:szCs w:val="24"/>
                <w:color w:val="auto"/>
              </w:rPr>
            </w:pPr>
          </w:p>
        </w:tc>
      </w:tr>
      <w:tr>
        <w:trPr>
          <w:trHeight w:val="235"/>
        </w:trPr>
        <w:tc>
          <w:tcPr>
            <w:tcW w:w="1700" w:type="dxa"/>
            <w:vAlign w:val="bottom"/>
          </w:tcPr>
          <w:p>
            <w:pPr>
              <w:spacing w:after="0"/>
              <w:rPr>
                <w:sz w:val="20"/>
                <w:szCs w:val="20"/>
                <w:color w:val="auto"/>
              </w:rPr>
            </w:pPr>
            <w:r>
              <w:rPr>
                <w:rFonts w:ascii="Arial" w:cs="Arial" w:eastAsia="Arial" w:hAnsi="Arial"/>
                <w:sz w:val="17"/>
                <w:szCs w:val="17"/>
                <w:color w:val="auto"/>
                <w:w w:val="97"/>
              </w:rPr>
              <w:t>Financial Instruments -</w:t>
            </w:r>
          </w:p>
        </w:tc>
        <w:tc>
          <w:tcPr>
            <w:tcW w:w="4380" w:type="dxa"/>
            <w:vAlign w:val="bottom"/>
          </w:tcPr>
          <w:p>
            <w:pPr>
              <w:ind w:left="60"/>
              <w:spacing w:after="0"/>
              <w:rPr>
                <w:sz w:val="20"/>
                <w:szCs w:val="20"/>
                <w:color w:val="auto"/>
              </w:rPr>
            </w:pPr>
            <w:r>
              <w:rPr>
                <w:rFonts w:ascii="Arial" w:cs="Arial" w:eastAsia="Arial" w:hAnsi="Arial"/>
                <w:sz w:val="17"/>
                <w:szCs w:val="17"/>
                <w:color w:val="auto"/>
                <w:w w:val="95"/>
              </w:rPr>
              <w:t>ASU 2025-08 simplifies accounting for acquired loans under</w:t>
            </w:r>
          </w:p>
        </w:tc>
        <w:tc>
          <w:tcPr>
            <w:tcW w:w="3320" w:type="dxa"/>
            <w:vAlign w:val="bottom"/>
            <w:gridSpan w:val="2"/>
          </w:tcPr>
          <w:p>
            <w:pPr>
              <w:ind w:left="40"/>
              <w:spacing w:after="0"/>
              <w:rPr>
                <w:sz w:val="20"/>
                <w:szCs w:val="20"/>
                <w:color w:val="auto"/>
              </w:rPr>
            </w:pPr>
            <w:r>
              <w:rPr>
                <w:rFonts w:ascii="Arial" w:cs="Arial" w:eastAsia="Arial" w:hAnsi="Arial"/>
                <w:sz w:val="17"/>
                <w:szCs w:val="17"/>
                <w:color w:val="auto"/>
                <w:w w:val="95"/>
              </w:rPr>
              <w:t>The amendments in Management is currently</w:t>
            </w:r>
          </w:p>
        </w:tc>
      </w:tr>
      <w:tr>
        <w:trPr>
          <w:trHeight w:val="255"/>
        </w:trPr>
        <w:tc>
          <w:tcPr>
            <w:tcW w:w="1700" w:type="dxa"/>
            <w:vAlign w:val="bottom"/>
          </w:tcPr>
          <w:p>
            <w:pPr>
              <w:spacing w:after="0"/>
              <w:rPr>
                <w:sz w:val="20"/>
                <w:szCs w:val="20"/>
                <w:color w:val="auto"/>
              </w:rPr>
            </w:pPr>
            <w:r>
              <w:rPr>
                <w:rFonts w:ascii="Arial" w:cs="Arial" w:eastAsia="Arial" w:hAnsi="Arial"/>
                <w:sz w:val="17"/>
                <w:szCs w:val="17"/>
                <w:color w:val="auto"/>
              </w:rPr>
              <w:t>Credit Losses ASU</w:t>
            </w:r>
          </w:p>
        </w:tc>
        <w:tc>
          <w:tcPr>
            <w:tcW w:w="4380" w:type="dxa"/>
            <w:vAlign w:val="bottom"/>
          </w:tcPr>
          <w:p>
            <w:pPr>
              <w:ind w:left="60"/>
              <w:spacing w:after="0"/>
              <w:rPr>
                <w:sz w:val="20"/>
                <w:szCs w:val="20"/>
                <w:color w:val="auto"/>
              </w:rPr>
            </w:pPr>
            <w:r>
              <w:rPr>
                <w:rFonts w:ascii="Arial" w:cs="Arial" w:eastAsia="Arial" w:hAnsi="Arial"/>
                <w:sz w:val="17"/>
                <w:szCs w:val="17"/>
                <w:color w:val="auto"/>
                <w:w w:val="99"/>
              </w:rPr>
              <w:t>CECL by expanding use of the gross-up method to a new</w:t>
            </w:r>
          </w:p>
        </w:tc>
        <w:tc>
          <w:tcPr>
            <w:tcW w:w="1400" w:type="dxa"/>
            <w:vAlign w:val="bottom"/>
          </w:tcPr>
          <w:p>
            <w:pPr>
              <w:ind w:left="40"/>
              <w:spacing w:after="0"/>
              <w:rPr>
                <w:sz w:val="20"/>
                <w:szCs w:val="20"/>
                <w:color w:val="auto"/>
              </w:rPr>
            </w:pPr>
            <w:r>
              <w:rPr>
                <w:rFonts w:ascii="Arial" w:cs="Arial" w:eastAsia="Arial" w:hAnsi="Arial"/>
                <w:sz w:val="17"/>
                <w:szCs w:val="17"/>
                <w:color w:val="auto"/>
              </w:rPr>
              <w:t>this update are</w:t>
            </w:r>
          </w:p>
        </w:tc>
        <w:tc>
          <w:tcPr>
            <w:tcW w:w="1920" w:type="dxa"/>
            <w:vAlign w:val="bottom"/>
          </w:tcPr>
          <w:p>
            <w:pPr>
              <w:ind w:left="40"/>
              <w:spacing w:after="0"/>
              <w:rPr>
                <w:sz w:val="20"/>
                <w:szCs w:val="20"/>
                <w:color w:val="auto"/>
              </w:rPr>
            </w:pPr>
            <w:r>
              <w:rPr>
                <w:rFonts w:ascii="Arial" w:cs="Arial" w:eastAsia="Arial" w:hAnsi="Arial"/>
                <w:sz w:val="17"/>
                <w:szCs w:val="17"/>
                <w:color w:val="auto"/>
              </w:rPr>
              <w:t>evaluating the impact of</w:t>
            </w:r>
          </w:p>
        </w:tc>
      </w:tr>
      <w:tr>
        <w:trPr>
          <w:trHeight w:val="255"/>
        </w:trPr>
        <w:tc>
          <w:tcPr>
            <w:tcW w:w="1700" w:type="dxa"/>
            <w:vAlign w:val="bottom"/>
          </w:tcPr>
          <w:p>
            <w:pPr>
              <w:spacing w:after="0"/>
              <w:rPr>
                <w:sz w:val="20"/>
                <w:szCs w:val="20"/>
                <w:color w:val="auto"/>
              </w:rPr>
            </w:pPr>
            <w:r>
              <w:rPr>
                <w:rFonts w:ascii="Arial" w:cs="Arial" w:eastAsia="Arial" w:hAnsi="Arial"/>
                <w:sz w:val="17"/>
                <w:szCs w:val="17"/>
                <w:color w:val="auto"/>
              </w:rPr>
              <w:t xml:space="preserve">2025-08 </w:t>
            </w:r>
            <w:r>
              <w:rPr>
                <w:rFonts w:ascii="Arial" w:cs="Arial" w:eastAsia="Arial" w:hAnsi="Arial"/>
                <w:sz w:val="17"/>
                <w:szCs w:val="17"/>
                <w:i w:val="1"/>
                <w:iCs w:val="1"/>
                <w:color w:val="auto"/>
              </w:rPr>
              <w:t>(Topic 326):</w:t>
            </w:r>
          </w:p>
        </w:tc>
        <w:tc>
          <w:tcPr>
            <w:tcW w:w="4380" w:type="dxa"/>
            <w:vAlign w:val="bottom"/>
          </w:tcPr>
          <w:p>
            <w:pPr>
              <w:ind w:left="60"/>
              <w:spacing w:after="0"/>
              <w:rPr>
                <w:sz w:val="20"/>
                <w:szCs w:val="20"/>
                <w:color w:val="auto"/>
              </w:rPr>
            </w:pPr>
            <w:r>
              <w:rPr>
                <w:rFonts w:ascii="Arial" w:cs="Arial" w:eastAsia="Arial" w:hAnsi="Arial"/>
                <w:sz w:val="17"/>
                <w:szCs w:val="17"/>
                <w:color w:val="auto"/>
              </w:rPr>
              <w:t>category of purchased seasoned loans (PSLs). PSLs are</w:t>
            </w:r>
          </w:p>
        </w:tc>
        <w:tc>
          <w:tcPr>
            <w:tcW w:w="1400" w:type="dxa"/>
            <w:vAlign w:val="bottom"/>
          </w:tcPr>
          <w:p>
            <w:pPr>
              <w:ind w:left="40"/>
              <w:spacing w:after="0"/>
              <w:rPr>
                <w:sz w:val="20"/>
                <w:szCs w:val="20"/>
                <w:color w:val="auto"/>
              </w:rPr>
            </w:pPr>
            <w:r>
              <w:rPr>
                <w:rFonts w:ascii="Arial" w:cs="Arial" w:eastAsia="Arial" w:hAnsi="Arial"/>
                <w:sz w:val="17"/>
                <w:szCs w:val="17"/>
                <w:color w:val="auto"/>
              </w:rPr>
              <w:t>effective for all</w:t>
            </w:r>
          </w:p>
        </w:tc>
        <w:tc>
          <w:tcPr>
            <w:tcW w:w="1920" w:type="dxa"/>
            <w:vAlign w:val="bottom"/>
          </w:tcPr>
          <w:p>
            <w:pPr>
              <w:ind w:left="40"/>
              <w:spacing w:after="0"/>
              <w:rPr>
                <w:sz w:val="20"/>
                <w:szCs w:val="20"/>
                <w:color w:val="auto"/>
              </w:rPr>
            </w:pPr>
            <w:r>
              <w:rPr>
                <w:rFonts w:ascii="Arial" w:cs="Arial" w:eastAsia="Arial" w:hAnsi="Arial"/>
                <w:sz w:val="17"/>
                <w:szCs w:val="17"/>
                <w:color w:val="auto"/>
                <w:w w:val="95"/>
              </w:rPr>
              <w:t>adopting this guidance on</w:t>
            </w:r>
          </w:p>
        </w:tc>
      </w:tr>
      <w:tr>
        <w:trPr>
          <w:trHeight w:val="255"/>
        </w:trPr>
        <w:tc>
          <w:tcPr>
            <w:tcW w:w="1700" w:type="dxa"/>
            <w:vAlign w:val="bottom"/>
          </w:tcPr>
          <w:p>
            <w:pPr>
              <w:spacing w:after="0"/>
              <w:rPr>
                <w:sz w:val="20"/>
                <w:szCs w:val="20"/>
                <w:color w:val="auto"/>
              </w:rPr>
            </w:pPr>
            <w:r>
              <w:rPr>
                <w:rFonts w:ascii="Arial" w:cs="Arial" w:eastAsia="Arial" w:hAnsi="Arial"/>
                <w:sz w:val="17"/>
                <w:szCs w:val="17"/>
                <w:i w:val="1"/>
                <w:iCs w:val="1"/>
                <w:color w:val="auto"/>
              </w:rPr>
              <w:t>Purchased Loans</w:t>
            </w:r>
          </w:p>
        </w:tc>
        <w:tc>
          <w:tcPr>
            <w:tcW w:w="4380" w:type="dxa"/>
            <w:vAlign w:val="bottom"/>
          </w:tcPr>
          <w:p>
            <w:pPr>
              <w:ind w:left="60"/>
              <w:spacing w:after="0"/>
              <w:rPr>
                <w:sz w:val="20"/>
                <w:szCs w:val="20"/>
                <w:color w:val="auto"/>
              </w:rPr>
            </w:pPr>
            <w:r>
              <w:rPr>
                <w:rFonts w:ascii="Arial" w:cs="Arial" w:eastAsia="Arial" w:hAnsi="Arial"/>
                <w:sz w:val="17"/>
                <w:szCs w:val="17"/>
                <w:color w:val="auto"/>
                <w:w w:val="93"/>
              </w:rPr>
              <w:t>acquired loans purchased more than 90 days after origination</w:t>
            </w:r>
          </w:p>
        </w:tc>
        <w:tc>
          <w:tcPr>
            <w:tcW w:w="1400" w:type="dxa"/>
            <w:vAlign w:val="bottom"/>
          </w:tcPr>
          <w:p>
            <w:pPr>
              <w:ind w:left="40"/>
              <w:spacing w:after="0"/>
              <w:rPr>
                <w:sz w:val="20"/>
                <w:szCs w:val="20"/>
                <w:color w:val="auto"/>
              </w:rPr>
            </w:pPr>
            <w:r>
              <w:rPr>
                <w:rFonts w:ascii="Arial" w:cs="Arial" w:eastAsia="Arial" w:hAnsi="Arial"/>
                <w:sz w:val="17"/>
                <w:szCs w:val="17"/>
                <w:color w:val="auto"/>
                <w:w w:val="99"/>
              </w:rPr>
              <w:t>entities for annual</w:t>
            </w:r>
          </w:p>
        </w:tc>
        <w:tc>
          <w:tcPr>
            <w:tcW w:w="1920" w:type="dxa"/>
            <w:vAlign w:val="bottom"/>
          </w:tcPr>
          <w:p>
            <w:pPr>
              <w:ind w:left="40"/>
              <w:spacing w:after="0"/>
              <w:rPr>
                <w:sz w:val="20"/>
                <w:szCs w:val="20"/>
                <w:color w:val="auto"/>
              </w:rPr>
            </w:pPr>
            <w:r>
              <w:rPr>
                <w:rFonts w:ascii="Arial" w:cs="Arial" w:eastAsia="Arial" w:hAnsi="Arial"/>
                <w:sz w:val="17"/>
                <w:szCs w:val="17"/>
                <w:color w:val="auto"/>
              </w:rPr>
              <w:t>the Company's</w:t>
            </w: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w w:val="91"/>
              </w:rPr>
              <w:t>(or acquired in a business combination) when the acquirer was</w:t>
            </w:r>
          </w:p>
        </w:tc>
        <w:tc>
          <w:tcPr>
            <w:tcW w:w="1400" w:type="dxa"/>
            <w:vAlign w:val="bottom"/>
          </w:tcPr>
          <w:p>
            <w:pPr>
              <w:ind w:left="40"/>
              <w:spacing w:after="0"/>
              <w:rPr>
                <w:sz w:val="20"/>
                <w:szCs w:val="20"/>
                <w:color w:val="auto"/>
              </w:rPr>
            </w:pPr>
            <w:r>
              <w:rPr>
                <w:rFonts w:ascii="Arial" w:cs="Arial" w:eastAsia="Arial" w:hAnsi="Arial"/>
                <w:sz w:val="17"/>
                <w:szCs w:val="17"/>
                <w:color w:val="auto"/>
              </w:rPr>
              <w:t>reporting periods</w:t>
            </w:r>
          </w:p>
        </w:tc>
        <w:tc>
          <w:tcPr>
            <w:tcW w:w="1920" w:type="dxa"/>
            <w:vAlign w:val="bottom"/>
          </w:tcPr>
          <w:p>
            <w:pPr>
              <w:ind w:left="40"/>
              <w:spacing w:after="0"/>
              <w:rPr>
                <w:sz w:val="20"/>
                <w:szCs w:val="20"/>
                <w:color w:val="auto"/>
              </w:rPr>
            </w:pPr>
            <w:r>
              <w:rPr>
                <w:rFonts w:ascii="Arial" w:cs="Arial" w:eastAsia="Arial" w:hAnsi="Arial"/>
                <w:sz w:val="17"/>
                <w:szCs w:val="17"/>
                <w:color w:val="auto"/>
              </w:rPr>
              <w:t>consolidated financial</w:t>
            </w: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w w:val="96"/>
              </w:rPr>
              <w:t>not involved in origination. For PSLs, an ACL is recorded at</w:t>
            </w:r>
          </w:p>
        </w:tc>
        <w:tc>
          <w:tcPr>
            <w:tcW w:w="1400" w:type="dxa"/>
            <w:vAlign w:val="bottom"/>
          </w:tcPr>
          <w:p>
            <w:pPr>
              <w:ind w:left="40"/>
              <w:spacing w:after="0"/>
              <w:rPr>
                <w:sz w:val="20"/>
                <w:szCs w:val="20"/>
                <w:color w:val="auto"/>
              </w:rPr>
            </w:pPr>
            <w:r>
              <w:rPr>
                <w:rFonts w:ascii="Arial" w:cs="Arial" w:eastAsia="Arial" w:hAnsi="Arial"/>
                <w:sz w:val="17"/>
                <w:szCs w:val="17"/>
                <w:color w:val="auto"/>
              </w:rPr>
              <w:t>beginning after</w:t>
            </w:r>
          </w:p>
        </w:tc>
        <w:tc>
          <w:tcPr>
            <w:tcW w:w="1920" w:type="dxa"/>
            <w:vAlign w:val="bottom"/>
          </w:tcPr>
          <w:p>
            <w:pPr>
              <w:ind w:left="40"/>
              <w:spacing w:after="0"/>
              <w:rPr>
                <w:sz w:val="20"/>
                <w:szCs w:val="20"/>
                <w:color w:val="auto"/>
              </w:rPr>
            </w:pPr>
            <w:r>
              <w:rPr>
                <w:rFonts w:ascii="Arial" w:cs="Arial" w:eastAsia="Arial" w:hAnsi="Arial"/>
                <w:sz w:val="17"/>
                <w:szCs w:val="17"/>
                <w:color w:val="auto"/>
              </w:rPr>
              <w:t>statements.</w:t>
            </w: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rPr>
              <w:t>acquisition with an equal increase to amortized cost,</w:t>
            </w:r>
          </w:p>
        </w:tc>
        <w:tc>
          <w:tcPr>
            <w:tcW w:w="1400" w:type="dxa"/>
            <w:vAlign w:val="bottom"/>
          </w:tcPr>
          <w:p>
            <w:pPr>
              <w:ind w:left="40"/>
              <w:spacing w:after="0"/>
              <w:rPr>
                <w:sz w:val="20"/>
                <w:szCs w:val="20"/>
                <w:color w:val="auto"/>
              </w:rPr>
            </w:pPr>
            <w:r>
              <w:rPr>
                <w:rFonts w:ascii="Arial" w:cs="Arial" w:eastAsia="Arial" w:hAnsi="Arial"/>
                <w:sz w:val="17"/>
                <w:szCs w:val="17"/>
                <w:color w:val="auto"/>
              </w:rPr>
              <w:t>December 15,</w:t>
            </w:r>
          </w:p>
        </w:tc>
        <w:tc>
          <w:tcPr>
            <w:tcW w:w="1920" w:type="dxa"/>
            <w:vAlign w:val="bottom"/>
          </w:tcPr>
          <w:p>
            <w:pPr>
              <w:spacing w:after="0"/>
              <w:rPr>
                <w:sz w:val="22"/>
                <w:szCs w:val="22"/>
                <w:color w:val="auto"/>
              </w:rPr>
            </w:pP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w w:val="94"/>
              </w:rPr>
              <w:t>eliminating Day 1 credit loss expense. Excludes credit cards,</w:t>
            </w:r>
          </w:p>
        </w:tc>
        <w:tc>
          <w:tcPr>
            <w:tcW w:w="1400" w:type="dxa"/>
            <w:vAlign w:val="bottom"/>
          </w:tcPr>
          <w:p>
            <w:pPr>
              <w:ind w:left="40"/>
              <w:spacing w:after="0"/>
              <w:rPr>
                <w:sz w:val="20"/>
                <w:szCs w:val="20"/>
                <w:color w:val="auto"/>
              </w:rPr>
            </w:pPr>
            <w:r>
              <w:rPr>
                <w:rFonts w:ascii="Arial" w:cs="Arial" w:eastAsia="Arial" w:hAnsi="Arial"/>
                <w:sz w:val="17"/>
                <w:szCs w:val="17"/>
                <w:color w:val="auto"/>
              </w:rPr>
              <w:t>2026, and interim</w:t>
            </w:r>
          </w:p>
        </w:tc>
        <w:tc>
          <w:tcPr>
            <w:tcW w:w="1920" w:type="dxa"/>
            <w:vAlign w:val="bottom"/>
          </w:tcPr>
          <w:p>
            <w:pPr>
              <w:spacing w:after="0"/>
              <w:rPr>
                <w:sz w:val="22"/>
                <w:szCs w:val="22"/>
                <w:color w:val="auto"/>
              </w:rPr>
            </w:pP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rPr>
              <w:t>Topic 606 trade receivables, and debt securities.</w:t>
            </w:r>
          </w:p>
        </w:tc>
        <w:tc>
          <w:tcPr>
            <w:tcW w:w="1400" w:type="dxa"/>
            <w:vAlign w:val="bottom"/>
          </w:tcPr>
          <w:p>
            <w:pPr>
              <w:ind w:left="40"/>
              <w:spacing w:after="0"/>
              <w:rPr>
                <w:sz w:val="20"/>
                <w:szCs w:val="20"/>
                <w:color w:val="auto"/>
              </w:rPr>
            </w:pPr>
            <w:r>
              <w:rPr>
                <w:rFonts w:ascii="Arial" w:cs="Arial" w:eastAsia="Arial" w:hAnsi="Arial"/>
                <w:sz w:val="17"/>
                <w:szCs w:val="17"/>
                <w:color w:val="auto"/>
              </w:rPr>
              <w:t>reporting periods</w:t>
            </w:r>
          </w:p>
        </w:tc>
        <w:tc>
          <w:tcPr>
            <w:tcW w:w="1920" w:type="dxa"/>
            <w:vAlign w:val="bottom"/>
          </w:tcPr>
          <w:p>
            <w:pPr>
              <w:spacing w:after="0"/>
              <w:rPr>
                <w:sz w:val="22"/>
                <w:szCs w:val="22"/>
                <w:color w:val="auto"/>
              </w:rPr>
            </w:pPr>
          </w:p>
        </w:tc>
      </w:tr>
      <w:tr>
        <w:trPr>
          <w:trHeight w:val="255"/>
        </w:trPr>
        <w:tc>
          <w:tcPr>
            <w:tcW w:w="17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400" w:type="dxa"/>
            <w:vAlign w:val="bottom"/>
          </w:tcPr>
          <w:p>
            <w:pPr>
              <w:ind w:left="40"/>
              <w:spacing w:after="0"/>
              <w:rPr>
                <w:sz w:val="20"/>
                <w:szCs w:val="20"/>
                <w:color w:val="auto"/>
              </w:rPr>
            </w:pPr>
            <w:r>
              <w:rPr>
                <w:rFonts w:ascii="Arial" w:cs="Arial" w:eastAsia="Arial" w:hAnsi="Arial"/>
                <w:sz w:val="17"/>
                <w:szCs w:val="17"/>
                <w:color w:val="auto"/>
                <w:w w:val="92"/>
              </w:rPr>
              <w:t>within those annual</w:t>
            </w:r>
          </w:p>
        </w:tc>
        <w:tc>
          <w:tcPr>
            <w:tcW w:w="1920" w:type="dxa"/>
            <w:vAlign w:val="bottom"/>
          </w:tcPr>
          <w:p>
            <w:pPr>
              <w:spacing w:after="0"/>
              <w:rPr>
                <w:sz w:val="22"/>
                <w:szCs w:val="22"/>
                <w:color w:val="auto"/>
              </w:rPr>
            </w:pPr>
          </w:p>
        </w:tc>
      </w:tr>
      <w:tr>
        <w:trPr>
          <w:trHeight w:val="255"/>
        </w:trPr>
        <w:tc>
          <w:tcPr>
            <w:tcW w:w="17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400" w:type="dxa"/>
            <w:vAlign w:val="bottom"/>
          </w:tcPr>
          <w:p>
            <w:pPr>
              <w:ind w:left="40"/>
              <w:spacing w:after="0"/>
              <w:rPr>
                <w:sz w:val="20"/>
                <w:szCs w:val="20"/>
                <w:color w:val="auto"/>
              </w:rPr>
            </w:pPr>
            <w:r>
              <w:rPr>
                <w:rFonts w:ascii="Arial" w:cs="Arial" w:eastAsia="Arial" w:hAnsi="Arial"/>
                <w:sz w:val="17"/>
                <w:szCs w:val="17"/>
                <w:color w:val="auto"/>
              </w:rPr>
              <w:t>reporting periods.</w:t>
            </w:r>
          </w:p>
        </w:tc>
        <w:tc>
          <w:tcPr>
            <w:tcW w:w="1920" w:type="dxa"/>
            <w:vAlign w:val="bottom"/>
          </w:tcPr>
          <w:p>
            <w:pPr>
              <w:spacing w:after="0"/>
              <w:rPr>
                <w:sz w:val="22"/>
                <w:szCs w:val="22"/>
                <w:color w:val="auto"/>
              </w:rPr>
            </w:pPr>
          </w:p>
        </w:tc>
      </w:tr>
      <w:tr>
        <w:trPr>
          <w:trHeight w:val="44"/>
        </w:trPr>
        <w:tc>
          <w:tcPr>
            <w:tcW w:w="17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79"/>
        </w:trPr>
        <w:tc>
          <w:tcPr>
            <w:tcW w:w="1700" w:type="dxa"/>
            <w:vAlign w:val="bottom"/>
            <w:shd w:val="clear" w:color="auto" w:fill="CFF0FC"/>
          </w:tcPr>
          <w:p>
            <w:pPr>
              <w:spacing w:after="0"/>
              <w:rPr>
                <w:sz w:val="24"/>
                <w:szCs w:val="24"/>
                <w:color w:val="auto"/>
              </w:rPr>
            </w:pPr>
          </w:p>
        </w:tc>
        <w:tc>
          <w:tcPr>
            <w:tcW w:w="438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1920" w:type="dxa"/>
            <w:vAlign w:val="bottom"/>
            <w:shd w:val="clear" w:color="auto" w:fill="CFF0FC"/>
          </w:tcPr>
          <w:p>
            <w:pPr>
              <w:spacing w:after="0"/>
              <w:rPr>
                <w:sz w:val="24"/>
                <w:szCs w:val="24"/>
                <w:color w:val="auto"/>
              </w:rPr>
            </w:pPr>
          </w:p>
        </w:tc>
      </w:tr>
      <w:tr>
        <w:trPr>
          <w:trHeight w:val="235"/>
        </w:trPr>
        <w:tc>
          <w:tcPr>
            <w:tcW w:w="1700" w:type="dxa"/>
            <w:vAlign w:val="bottom"/>
          </w:tcPr>
          <w:p>
            <w:pPr>
              <w:spacing w:after="0"/>
              <w:rPr>
                <w:sz w:val="20"/>
                <w:szCs w:val="20"/>
                <w:color w:val="auto"/>
              </w:rPr>
            </w:pPr>
            <w:r>
              <w:rPr>
                <w:rFonts w:ascii="Arial" w:cs="Arial" w:eastAsia="Arial" w:hAnsi="Arial"/>
                <w:sz w:val="17"/>
                <w:szCs w:val="17"/>
                <w:color w:val="auto"/>
              </w:rPr>
              <w:t>Derivatives and</w:t>
            </w:r>
          </w:p>
        </w:tc>
        <w:tc>
          <w:tcPr>
            <w:tcW w:w="4380" w:type="dxa"/>
            <w:vAlign w:val="bottom"/>
          </w:tcPr>
          <w:p>
            <w:pPr>
              <w:ind w:left="60"/>
              <w:spacing w:after="0"/>
              <w:rPr>
                <w:sz w:val="20"/>
                <w:szCs w:val="20"/>
                <w:color w:val="auto"/>
              </w:rPr>
            </w:pPr>
            <w:r>
              <w:rPr>
                <w:rFonts w:ascii="Arial" w:cs="Arial" w:eastAsia="Arial" w:hAnsi="Arial"/>
                <w:sz w:val="17"/>
                <w:szCs w:val="17"/>
                <w:color w:val="auto"/>
                <w:w w:val="91"/>
              </w:rPr>
              <w:t>Amendments to ASC 815 provide targeted updates including a</w:t>
            </w:r>
          </w:p>
        </w:tc>
        <w:tc>
          <w:tcPr>
            <w:tcW w:w="1400" w:type="dxa"/>
            <w:vAlign w:val="bottom"/>
          </w:tcPr>
          <w:p>
            <w:pPr>
              <w:ind w:left="40"/>
              <w:spacing w:after="0"/>
              <w:rPr>
                <w:sz w:val="20"/>
                <w:szCs w:val="20"/>
                <w:color w:val="auto"/>
              </w:rPr>
            </w:pPr>
            <w:r>
              <w:rPr>
                <w:rFonts w:ascii="Arial" w:cs="Arial" w:eastAsia="Arial" w:hAnsi="Arial"/>
                <w:sz w:val="17"/>
                <w:szCs w:val="17"/>
                <w:color w:val="auto"/>
              </w:rPr>
              <w:t>Public business</w:t>
            </w:r>
          </w:p>
        </w:tc>
        <w:tc>
          <w:tcPr>
            <w:tcW w:w="1920" w:type="dxa"/>
            <w:vAlign w:val="bottom"/>
          </w:tcPr>
          <w:p>
            <w:pPr>
              <w:ind w:left="40"/>
              <w:spacing w:after="0"/>
              <w:rPr>
                <w:sz w:val="20"/>
                <w:szCs w:val="20"/>
                <w:color w:val="auto"/>
              </w:rPr>
            </w:pPr>
            <w:r>
              <w:rPr>
                <w:rFonts w:ascii="Arial" w:cs="Arial" w:eastAsia="Arial" w:hAnsi="Arial"/>
                <w:sz w:val="17"/>
                <w:szCs w:val="17"/>
                <w:color w:val="auto"/>
                <w:w w:val="99"/>
              </w:rPr>
              <w:t>Management is currently</w:t>
            </w:r>
          </w:p>
        </w:tc>
      </w:tr>
      <w:tr>
        <w:trPr>
          <w:trHeight w:val="255"/>
        </w:trPr>
        <w:tc>
          <w:tcPr>
            <w:tcW w:w="1700" w:type="dxa"/>
            <w:vAlign w:val="bottom"/>
          </w:tcPr>
          <w:p>
            <w:pPr>
              <w:spacing w:after="0"/>
              <w:rPr>
                <w:sz w:val="20"/>
                <w:szCs w:val="20"/>
                <w:color w:val="auto"/>
              </w:rPr>
            </w:pPr>
            <w:r>
              <w:rPr>
                <w:rFonts w:ascii="Arial" w:cs="Arial" w:eastAsia="Arial" w:hAnsi="Arial"/>
                <w:sz w:val="17"/>
                <w:szCs w:val="17"/>
                <w:color w:val="auto"/>
                <w:w w:val="98"/>
              </w:rPr>
              <w:t>Hedging ASU 2025-09</w:t>
            </w:r>
          </w:p>
        </w:tc>
        <w:tc>
          <w:tcPr>
            <w:tcW w:w="4380" w:type="dxa"/>
            <w:vAlign w:val="bottom"/>
          </w:tcPr>
          <w:p>
            <w:pPr>
              <w:ind w:left="60"/>
              <w:spacing w:after="0"/>
              <w:rPr>
                <w:sz w:val="20"/>
                <w:szCs w:val="20"/>
                <w:color w:val="auto"/>
              </w:rPr>
            </w:pPr>
            <w:r>
              <w:rPr>
                <w:rFonts w:ascii="Arial" w:cs="Arial" w:eastAsia="Arial" w:hAnsi="Arial"/>
                <w:sz w:val="17"/>
                <w:szCs w:val="17"/>
                <w:color w:val="auto"/>
                <w:w w:val="96"/>
              </w:rPr>
              <w:t>new “similar risk exposure” criterion for grouping forecasted</w:t>
            </w:r>
          </w:p>
        </w:tc>
        <w:tc>
          <w:tcPr>
            <w:tcW w:w="3320" w:type="dxa"/>
            <w:vAlign w:val="bottom"/>
            <w:gridSpan w:val="2"/>
          </w:tcPr>
          <w:p>
            <w:pPr>
              <w:ind w:left="40"/>
              <w:spacing w:after="0"/>
              <w:rPr>
                <w:sz w:val="20"/>
                <w:szCs w:val="20"/>
                <w:color w:val="auto"/>
              </w:rPr>
            </w:pPr>
            <w:r>
              <w:rPr>
                <w:rFonts w:ascii="Arial" w:cs="Arial" w:eastAsia="Arial" w:hAnsi="Arial"/>
                <w:sz w:val="17"/>
                <w:szCs w:val="17"/>
                <w:color w:val="auto"/>
                <w:w w:val="97"/>
              </w:rPr>
              <w:t>entities are required evaluating the impact of</w:t>
            </w:r>
          </w:p>
        </w:tc>
      </w:tr>
      <w:tr>
        <w:trPr>
          <w:trHeight w:val="255"/>
        </w:trPr>
        <w:tc>
          <w:tcPr>
            <w:tcW w:w="1700" w:type="dxa"/>
            <w:vAlign w:val="bottom"/>
          </w:tcPr>
          <w:p>
            <w:pPr>
              <w:spacing w:after="0"/>
              <w:rPr>
                <w:sz w:val="20"/>
                <w:szCs w:val="20"/>
                <w:color w:val="auto"/>
              </w:rPr>
            </w:pPr>
            <w:r>
              <w:rPr>
                <w:rFonts w:ascii="Arial" w:cs="Arial" w:eastAsia="Arial" w:hAnsi="Arial"/>
                <w:sz w:val="17"/>
                <w:szCs w:val="17"/>
                <w:i w:val="1"/>
                <w:iCs w:val="1"/>
                <w:color w:val="auto"/>
              </w:rPr>
              <w:t>(Topic 815): Hedge</w:t>
            </w:r>
          </w:p>
        </w:tc>
        <w:tc>
          <w:tcPr>
            <w:tcW w:w="4380" w:type="dxa"/>
            <w:vAlign w:val="bottom"/>
          </w:tcPr>
          <w:p>
            <w:pPr>
              <w:ind w:left="60"/>
              <w:spacing w:after="0"/>
              <w:rPr>
                <w:sz w:val="20"/>
                <w:szCs w:val="20"/>
                <w:color w:val="auto"/>
              </w:rPr>
            </w:pPr>
            <w:r>
              <w:rPr>
                <w:rFonts w:ascii="Arial" w:cs="Arial" w:eastAsia="Arial" w:hAnsi="Arial"/>
                <w:sz w:val="17"/>
                <w:szCs w:val="17"/>
                <w:color w:val="auto"/>
              </w:rPr>
              <w:t>transactions in cash flow hedges, an optional model for</w:t>
            </w:r>
          </w:p>
        </w:tc>
        <w:tc>
          <w:tcPr>
            <w:tcW w:w="1400" w:type="dxa"/>
            <w:vAlign w:val="bottom"/>
          </w:tcPr>
          <w:p>
            <w:pPr>
              <w:ind w:left="40"/>
              <w:spacing w:after="0"/>
              <w:rPr>
                <w:sz w:val="20"/>
                <w:szCs w:val="20"/>
                <w:color w:val="auto"/>
              </w:rPr>
            </w:pPr>
            <w:r>
              <w:rPr>
                <w:rFonts w:ascii="Arial" w:cs="Arial" w:eastAsia="Arial" w:hAnsi="Arial"/>
                <w:sz w:val="17"/>
                <w:szCs w:val="17"/>
                <w:color w:val="auto"/>
              </w:rPr>
              <w:t>to apply this</w:t>
            </w:r>
          </w:p>
        </w:tc>
        <w:tc>
          <w:tcPr>
            <w:tcW w:w="1920" w:type="dxa"/>
            <w:vAlign w:val="bottom"/>
          </w:tcPr>
          <w:p>
            <w:pPr>
              <w:ind w:left="40"/>
              <w:spacing w:after="0"/>
              <w:rPr>
                <w:sz w:val="20"/>
                <w:szCs w:val="20"/>
                <w:color w:val="auto"/>
              </w:rPr>
            </w:pPr>
            <w:r>
              <w:rPr>
                <w:rFonts w:ascii="Arial" w:cs="Arial" w:eastAsia="Arial" w:hAnsi="Arial"/>
                <w:sz w:val="17"/>
                <w:szCs w:val="17"/>
                <w:color w:val="auto"/>
                <w:w w:val="95"/>
              </w:rPr>
              <w:t>adopting this guidance on</w:t>
            </w:r>
          </w:p>
        </w:tc>
      </w:tr>
      <w:tr>
        <w:trPr>
          <w:trHeight w:val="255"/>
        </w:trPr>
        <w:tc>
          <w:tcPr>
            <w:tcW w:w="1700" w:type="dxa"/>
            <w:vAlign w:val="bottom"/>
          </w:tcPr>
          <w:p>
            <w:pPr>
              <w:spacing w:after="0"/>
              <w:rPr>
                <w:sz w:val="20"/>
                <w:szCs w:val="20"/>
                <w:color w:val="auto"/>
              </w:rPr>
            </w:pPr>
            <w:r>
              <w:rPr>
                <w:rFonts w:ascii="Arial" w:cs="Arial" w:eastAsia="Arial" w:hAnsi="Arial"/>
                <w:sz w:val="17"/>
                <w:szCs w:val="17"/>
                <w:i w:val="1"/>
                <w:iCs w:val="1"/>
                <w:color w:val="auto"/>
              </w:rPr>
              <w:t>Accounting</w:t>
            </w:r>
          </w:p>
        </w:tc>
        <w:tc>
          <w:tcPr>
            <w:tcW w:w="5780" w:type="dxa"/>
            <w:vAlign w:val="bottom"/>
            <w:gridSpan w:val="2"/>
          </w:tcPr>
          <w:p>
            <w:pPr>
              <w:ind w:left="60"/>
              <w:spacing w:after="0"/>
              <w:rPr>
                <w:sz w:val="20"/>
                <w:szCs w:val="20"/>
                <w:color w:val="auto"/>
              </w:rPr>
            </w:pPr>
            <w:r>
              <w:rPr>
                <w:rFonts w:ascii="Arial" w:cs="Arial" w:eastAsia="Arial" w:hAnsi="Arial"/>
                <w:sz w:val="17"/>
                <w:szCs w:val="17"/>
                <w:color w:val="auto"/>
                <w:w w:val="90"/>
              </w:rPr>
              <w:t>hedging forecasted interest payments on choose-your-rate debt, guidance to annual</w:t>
            </w:r>
          </w:p>
        </w:tc>
        <w:tc>
          <w:tcPr>
            <w:tcW w:w="1920" w:type="dxa"/>
            <w:vAlign w:val="bottom"/>
          </w:tcPr>
          <w:p>
            <w:pPr>
              <w:ind w:left="40"/>
              <w:spacing w:after="0"/>
              <w:rPr>
                <w:sz w:val="20"/>
                <w:szCs w:val="20"/>
                <w:color w:val="auto"/>
              </w:rPr>
            </w:pPr>
            <w:r>
              <w:rPr>
                <w:rFonts w:ascii="Arial" w:cs="Arial" w:eastAsia="Arial" w:hAnsi="Arial"/>
                <w:sz w:val="17"/>
                <w:szCs w:val="17"/>
                <w:color w:val="auto"/>
              </w:rPr>
              <w:t>the Company's</w:t>
            </w:r>
          </w:p>
        </w:tc>
      </w:tr>
      <w:tr>
        <w:trPr>
          <w:trHeight w:val="255"/>
        </w:trPr>
        <w:tc>
          <w:tcPr>
            <w:tcW w:w="1700" w:type="dxa"/>
            <w:vAlign w:val="bottom"/>
          </w:tcPr>
          <w:p>
            <w:pPr>
              <w:spacing w:after="0"/>
              <w:rPr>
                <w:sz w:val="20"/>
                <w:szCs w:val="20"/>
                <w:color w:val="auto"/>
              </w:rPr>
            </w:pPr>
            <w:r>
              <w:rPr>
                <w:rFonts w:ascii="Arial" w:cs="Arial" w:eastAsia="Arial" w:hAnsi="Arial"/>
                <w:sz w:val="17"/>
                <w:szCs w:val="17"/>
                <w:i w:val="1"/>
                <w:iCs w:val="1"/>
                <w:color w:val="auto"/>
              </w:rPr>
              <w:t>Improvements</w:t>
            </w:r>
          </w:p>
        </w:tc>
        <w:tc>
          <w:tcPr>
            <w:tcW w:w="4380" w:type="dxa"/>
            <w:vAlign w:val="bottom"/>
          </w:tcPr>
          <w:p>
            <w:pPr>
              <w:ind w:left="60"/>
              <w:spacing w:after="0"/>
              <w:rPr>
                <w:sz w:val="20"/>
                <w:szCs w:val="20"/>
                <w:color w:val="auto"/>
              </w:rPr>
            </w:pPr>
            <w:r>
              <w:rPr>
                <w:rFonts w:ascii="Arial" w:cs="Arial" w:eastAsia="Arial" w:hAnsi="Arial"/>
                <w:sz w:val="17"/>
                <w:szCs w:val="17"/>
                <w:color w:val="auto"/>
              </w:rPr>
              <w:t>expanded eligibility to hedge price components and</w:t>
            </w:r>
          </w:p>
        </w:tc>
        <w:tc>
          <w:tcPr>
            <w:tcW w:w="1400" w:type="dxa"/>
            <w:vAlign w:val="bottom"/>
          </w:tcPr>
          <w:p>
            <w:pPr>
              <w:ind w:left="40"/>
              <w:spacing w:after="0"/>
              <w:rPr>
                <w:sz w:val="20"/>
                <w:szCs w:val="20"/>
                <w:color w:val="auto"/>
              </w:rPr>
            </w:pPr>
            <w:r>
              <w:rPr>
                <w:rFonts w:ascii="Arial" w:cs="Arial" w:eastAsia="Arial" w:hAnsi="Arial"/>
                <w:sz w:val="17"/>
                <w:szCs w:val="17"/>
                <w:color w:val="auto"/>
              </w:rPr>
              <w:t>reporting periods</w:t>
            </w:r>
          </w:p>
        </w:tc>
        <w:tc>
          <w:tcPr>
            <w:tcW w:w="1920" w:type="dxa"/>
            <w:vAlign w:val="bottom"/>
          </w:tcPr>
          <w:p>
            <w:pPr>
              <w:ind w:left="40"/>
              <w:spacing w:after="0"/>
              <w:rPr>
                <w:sz w:val="20"/>
                <w:szCs w:val="20"/>
                <w:color w:val="auto"/>
              </w:rPr>
            </w:pPr>
            <w:r>
              <w:rPr>
                <w:rFonts w:ascii="Arial" w:cs="Arial" w:eastAsia="Arial" w:hAnsi="Arial"/>
                <w:sz w:val="17"/>
                <w:szCs w:val="17"/>
                <w:color w:val="auto"/>
              </w:rPr>
              <w:t>consolidated financial</w:t>
            </w: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w w:val="93"/>
              </w:rPr>
              <w:t>subcomponents of nonfinancial forecasted transactions using</w:t>
            </w:r>
          </w:p>
        </w:tc>
        <w:tc>
          <w:tcPr>
            <w:tcW w:w="1400" w:type="dxa"/>
            <w:vAlign w:val="bottom"/>
          </w:tcPr>
          <w:p>
            <w:pPr>
              <w:ind w:left="40"/>
              <w:spacing w:after="0"/>
              <w:rPr>
                <w:sz w:val="20"/>
                <w:szCs w:val="20"/>
                <w:color w:val="auto"/>
              </w:rPr>
            </w:pPr>
            <w:r>
              <w:rPr>
                <w:rFonts w:ascii="Arial" w:cs="Arial" w:eastAsia="Arial" w:hAnsi="Arial"/>
                <w:sz w:val="17"/>
                <w:szCs w:val="17"/>
                <w:color w:val="auto"/>
              </w:rPr>
              <w:t>beginning after</w:t>
            </w:r>
          </w:p>
        </w:tc>
        <w:tc>
          <w:tcPr>
            <w:tcW w:w="1920" w:type="dxa"/>
            <w:vAlign w:val="bottom"/>
          </w:tcPr>
          <w:p>
            <w:pPr>
              <w:ind w:left="40"/>
              <w:spacing w:after="0"/>
              <w:rPr>
                <w:sz w:val="20"/>
                <w:szCs w:val="20"/>
                <w:color w:val="auto"/>
              </w:rPr>
            </w:pPr>
            <w:r>
              <w:rPr>
                <w:rFonts w:ascii="Arial" w:cs="Arial" w:eastAsia="Arial" w:hAnsi="Arial"/>
                <w:sz w:val="17"/>
                <w:szCs w:val="17"/>
                <w:color w:val="auto"/>
              </w:rPr>
              <w:t>statements.</w:t>
            </w: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w w:val="95"/>
              </w:rPr>
              <w:t>the clearly-and-closely-related principle, revised eligibility for</w:t>
            </w:r>
          </w:p>
        </w:tc>
        <w:tc>
          <w:tcPr>
            <w:tcW w:w="1400" w:type="dxa"/>
            <w:vAlign w:val="bottom"/>
          </w:tcPr>
          <w:p>
            <w:pPr>
              <w:ind w:left="40"/>
              <w:spacing w:after="0"/>
              <w:rPr>
                <w:sz w:val="20"/>
                <w:szCs w:val="20"/>
                <w:color w:val="auto"/>
              </w:rPr>
            </w:pPr>
            <w:r>
              <w:rPr>
                <w:rFonts w:ascii="Arial" w:cs="Arial" w:eastAsia="Arial" w:hAnsi="Arial"/>
                <w:sz w:val="17"/>
                <w:szCs w:val="17"/>
                <w:color w:val="auto"/>
              </w:rPr>
              <w:t>December 15,</w:t>
            </w:r>
          </w:p>
        </w:tc>
        <w:tc>
          <w:tcPr>
            <w:tcW w:w="1920" w:type="dxa"/>
            <w:vAlign w:val="bottom"/>
          </w:tcPr>
          <w:p>
            <w:pPr>
              <w:spacing w:after="0"/>
              <w:rPr>
                <w:sz w:val="22"/>
                <w:szCs w:val="22"/>
                <w:color w:val="auto"/>
              </w:rPr>
            </w:pP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w w:val="94"/>
              </w:rPr>
              <w:t>certain compound derivatives containing written options, and</w:t>
            </w:r>
          </w:p>
        </w:tc>
        <w:tc>
          <w:tcPr>
            <w:tcW w:w="1400" w:type="dxa"/>
            <w:vAlign w:val="bottom"/>
          </w:tcPr>
          <w:p>
            <w:pPr>
              <w:ind w:left="40"/>
              <w:spacing w:after="0"/>
              <w:rPr>
                <w:sz w:val="20"/>
                <w:szCs w:val="20"/>
                <w:color w:val="auto"/>
              </w:rPr>
            </w:pPr>
            <w:r>
              <w:rPr>
                <w:rFonts w:ascii="Arial" w:cs="Arial" w:eastAsia="Arial" w:hAnsi="Arial"/>
                <w:sz w:val="17"/>
                <w:szCs w:val="17"/>
                <w:color w:val="auto"/>
              </w:rPr>
              <w:t>2026, and interim</w:t>
            </w:r>
          </w:p>
        </w:tc>
        <w:tc>
          <w:tcPr>
            <w:tcW w:w="1920" w:type="dxa"/>
            <w:vAlign w:val="bottom"/>
          </w:tcPr>
          <w:p>
            <w:pPr>
              <w:spacing w:after="0"/>
              <w:rPr>
                <w:sz w:val="22"/>
                <w:szCs w:val="22"/>
                <w:color w:val="auto"/>
              </w:rPr>
            </w:pP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w w:val="92"/>
              </w:rPr>
              <w:t>corrected effectiveness assessment for dual hedges involving</w:t>
            </w:r>
          </w:p>
        </w:tc>
        <w:tc>
          <w:tcPr>
            <w:tcW w:w="1400" w:type="dxa"/>
            <w:vAlign w:val="bottom"/>
          </w:tcPr>
          <w:p>
            <w:pPr>
              <w:ind w:left="40"/>
              <w:spacing w:after="0"/>
              <w:rPr>
                <w:sz w:val="20"/>
                <w:szCs w:val="20"/>
                <w:color w:val="auto"/>
              </w:rPr>
            </w:pPr>
            <w:r>
              <w:rPr>
                <w:rFonts w:ascii="Arial" w:cs="Arial" w:eastAsia="Arial" w:hAnsi="Arial"/>
                <w:sz w:val="17"/>
                <w:szCs w:val="17"/>
                <w:color w:val="auto"/>
              </w:rPr>
              <w:t>periods within</w:t>
            </w:r>
          </w:p>
        </w:tc>
        <w:tc>
          <w:tcPr>
            <w:tcW w:w="1920" w:type="dxa"/>
            <w:vAlign w:val="bottom"/>
          </w:tcPr>
          <w:p>
            <w:pPr>
              <w:spacing w:after="0"/>
              <w:rPr>
                <w:sz w:val="22"/>
                <w:szCs w:val="22"/>
                <w:color w:val="auto"/>
              </w:rPr>
            </w:pPr>
          </w:p>
        </w:tc>
      </w:tr>
      <w:tr>
        <w:trPr>
          <w:trHeight w:val="255"/>
        </w:trPr>
        <w:tc>
          <w:tcPr>
            <w:tcW w:w="170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17"/>
                <w:szCs w:val="17"/>
                <w:color w:val="auto"/>
              </w:rPr>
              <w:t>foreign-currency-denominated debt.</w:t>
            </w:r>
          </w:p>
        </w:tc>
        <w:tc>
          <w:tcPr>
            <w:tcW w:w="1400" w:type="dxa"/>
            <w:vAlign w:val="bottom"/>
          </w:tcPr>
          <w:p>
            <w:pPr>
              <w:ind w:left="40"/>
              <w:spacing w:after="0"/>
              <w:rPr>
                <w:sz w:val="20"/>
                <w:szCs w:val="20"/>
                <w:color w:val="auto"/>
              </w:rPr>
            </w:pPr>
            <w:r>
              <w:rPr>
                <w:rFonts w:ascii="Arial" w:cs="Arial" w:eastAsia="Arial" w:hAnsi="Arial"/>
                <w:sz w:val="17"/>
                <w:szCs w:val="17"/>
                <w:color w:val="auto"/>
              </w:rPr>
              <w:t>those annual</w:t>
            </w:r>
          </w:p>
        </w:tc>
        <w:tc>
          <w:tcPr>
            <w:tcW w:w="1920" w:type="dxa"/>
            <w:vAlign w:val="bottom"/>
          </w:tcPr>
          <w:p>
            <w:pPr>
              <w:spacing w:after="0"/>
              <w:rPr>
                <w:sz w:val="22"/>
                <w:szCs w:val="22"/>
                <w:color w:val="auto"/>
              </w:rPr>
            </w:pPr>
          </w:p>
        </w:tc>
      </w:tr>
      <w:tr>
        <w:trPr>
          <w:trHeight w:val="255"/>
        </w:trPr>
        <w:tc>
          <w:tcPr>
            <w:tcW w:w="17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400" w:type="dxa"/>
            <w:vAlign w:val="bottom"/>
          </w:tcPr>
          <w:p>
            <w:pPr>
              <w:ind w:left="40"/>
              <w:spacing w:after="0"/>
              <w:rPr>
                <w:sz w:val="20"/>
                <w:szCs w:val="20"/>
                <w:color w:val="auto"/>
              </w:rPr>
            </w:pPr>
            <w:r>
              <w:rPr>
                <w:rFonts w:ascii="Arial" w:cs="Arial" w:eastAsia="Arial" w:hAnsi="Arial"/>
                <w:sz w:val="17"/>
                <w:szCs w:val="17"/>
                <w:color w:val="auto"/>
              </w:rPr>
              <w:t>reporting periods.</w:t>
            </w:r>
          </w:p>
        </w:tc>
        <w:tc>
          <w:tcPr>
            <w:tcW w:w="1920" w:type="dxa"/>
            <w:vAlign w:val="bottom"/>
          </w:tcPr>
          <w:p>
            <w:pPr>
              <w:spacing w:after="0"/>
              <w:rPr>
                <w:sz w:val="22"/>
                <w:szCs w:val="22"/>
                <w:color w:val="auto"/>
              </w:rPr>
            </w:pPr>
          </w:p>
        </w:tc>
      </w:tr>
      <w:tr>
        <w:trPr>
          <w:trHeight w:val="44"/>
        </w:trPr>
        <w:tc>
          <w:tcPr>
            <w:tcW w:w="17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79"/>
        </w:trPr>
        <w:tc>
          <w:tcPr>
            <w:tcW w:w="1700" w:type="dxa"/>
            <w:vAlign w:val="bottom"/>
            <w:shd w:val="clear" w:color="auto" w:fill="CFF0FC"/>
          </w:tcPr>
          <w:p>
            <w:pPr>
              <w:spacing w:after="0"/>
              <w:rPr>
                <w:sz w:val="24"/>
                <w:szCs w:val="24"/>
                <w:color w:val="auto"/>
              </w:rPr>
            </w:pPr>
          </w:p>
        </w:tc>
        <w:tc>
          <w:tcPr>
            <w:tcW w:w="438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1920" w:type="dxa"/>
            <w:vAlign w:val="bottom"/>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-5597525</wp:posOffset>
            </wp:positionV>
            <wp:extent cx="5967730" cy="5598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67730" cy="559816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30</w:t>
      </w:r>
    </w:p>
    <w:p>
      <w:pPr>
        <w:sectPr>
          <w:pgSz w:w="11900" w:h="16838" w:orient="portrait"/>
          <w:cols w:equalWidth="0" w:num="1">
            <w:col w:w="9400"/>
          </w:cols>
          <w:pgMar w:left="1260" w:top="1440" w:right="1246" w:bottom="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95"/>
        </w:trPr>
        <w:tc>
          <w:tcPr>
            <w:tcW w:w="1560" w:type="dxa"/>
            <w:vAlign w:val="bottom"/>
          </w:tcPr>
          <w:p>
            <w:pPr>
              <w:spacing w:after="0"/>
              <w:rPr>
                <w:sz w:val="20"/>
                <w:szCs w:val="20"/>
                <w:color w:val="auto"/>
              </w:rPr>
            </w:pPr>
            <w:r>
              <w:rPr>
                <w:rFonts w:ascii="Arial" w:cs="Arial" w:eastAsia="Arial" w:hAnsi="Arial"/>
                <w:sz w:val="17"/>
                <w:szCs w:val="17"/>
                <w:color w:val="auto"/>
              </w:rPr>
              <w:t>Codification</w:t>
            </w:r>
          </w:p>
        </w:tc>
        <w:tc>
          <w:tcPr>
            <w:tcW w:w="4520" w:type="dxa"/>
            <w:vAlign w:val="bottom"/>
          </w:tcPr>
          <w:p>
            <w:pPr>
              <w:ind w:left="200"/>
              <w:spacing w:after="0"/>
              <w:rPr>
                <w:sz w:val="20"/>
                <w:szCs w:val="20"/>
                <w:color w:val="auto"/>
              </w:rPr>
            </w:pPr>
            <w:r>
              <w:rPr>
                <w:rFonts w:ascii="Arial" w:cs="Arial" w:eastAsia="Arial" w:hAnsi="Arial"/>
                <w:sz w:val="17"/>
                <w:szCs w:val="17"/>
                <w:color w:val="auto"/>
              </w:rPr>
              <w:t>ASU 2025-12 was issued to make focused technical</w:t>
            </w:r>
          </w:p>
        </w:tc>
        <w:tc>
          <w:tcPr>
            <w:tcW w:w="3180" w:type="dxa"/>
            <w:vAlign w:val="bottom"/>
            <w:gridSpan w:val="2"/>
          </w:tcPr>
          <w:p>
            <w:pPr>
              <w:ind w:left="40"/>
              <w:spacing w:after="0"/>
              <w:rPr>
                <w:sz w:val="20"/>
                <w:szCs w:val="20"/>
                <w:color w:val="auto"/>
              </w:rPr>
            </w:pPr>
            <w:r>
              <w:rPr>
                <w:rFonts w:ascii="Arial" w:cs="Arial" w:eastAsia="Arial" w:hAnsi="Arial"/>
                <w:sz w:val="17"/>
                <w:szCs w:val="17"/>
                <w:color w:val="auto"/>
                <w:w w:val="91"/>
              </w:rPr>
              <w:t>The amendments in Management is currently</w:t>
            </w:r>
          </w:p>
        </w:tc>
      </w:tr>
      <w:tr>
        <w:trPr>
          <w:trHeight w:val="255"/>
        </w:trPr>
        <w:tc>
          <w:tcPr>
            <w:tcW w:w="1560" w:type="dxa"/>
            <w:vAlign w:val="bottom"/>
          </w:tcPr>
          <w:p>
            <w:pPr>
              <w:spacing w:after="0"/>
              <w:rPr>
                <w:sz w:val="20"/>
                <w:szCs w:val="20"/>
                <w:color w:val="auto"/>
              </w:rPr>
            </w:pPr>
            <w:r>
              <w:rPr>
                <w:rFonts w:ascii="Arial" w:cs="Arial" w:eastAsia="Arial" w:hAnsi="Arial"/>
                <w:sz w:val="17"/>
                <w:szCs w:val="17"/>
                <w:color w:val="auto"/>
              </w:rPr>
              <w:t>Improvements ASU</w:t>
            </w:r>
          </w:p>
        </w:tc>
        <w:tc>
          <w:tcPr>
            <w:tcW w:w="4520" w:type="dxa"/>
            <w:vAlign w:val="bottom"/>
          </w:tcPr>
          <w:p>
            <w:pPr>
              <w:ind w:left="200"/>
              <w:spacing w:after="0"/>
              <w:rPr>
                <w:sz w:val="20"/>
                <w:szCs w:val="20"/>
                <w:color w:val="auto"/>
              </w:rPr>
            </w:pPr>
            <w:r>
              <w:rPr>
                <w:rFonts w:ascii="Arial" w:cs="Arial" w:eastAsia="Arial" w:hAnsi="Arial"/>
                <w:sz w:val="17"/>
                <w:szCs w:val="17"/>
                <w:color w:val="auto"/>
                <w:w w:val="91"/>
              </w:rPr>
              <w:t>corrections and clarifications across the codification to address</w:t>
            </w:r>
          </w:p>
        </w:tc>
        <w:tc>
          <w:tcPr>
            <w:tcW w:w="1400" w:type="dxa"/>
            <w:vAlign w:val="bottom"/>
          </w:tcPr>
          <w:p>
            <w:pPr>
              <w:ind w:left="40"/>
              <w:spacing w:after="0"/>
              <w:rPr>
                <w:sz w:val="20"/>
                <w:szCs w:val="20"/>
                <w:color w:val="auto"/>
              </w:rPr>
            </w:pPr>
            <w:r>
              <w:rPr>
                <w:rFonts w:ascii="Arial" w:cs="Arial" w:eastAsia="Arial" w:hAnsi="Arial"/>
                <w:sz w:val="17"/>
                <w:szCs w:val="17"/>
                <w:color w:val="auto"/>
              </w:rPr>
              <w:t>this update are</w:t>
            </w:r>
          </w:p>
        </w:tc>
        <w:tc>
          <w:tcPr>
            <w:tcW w:w="1780" w:type="dxa"/>
            <w:vAlign w:val="bottom"/>
          </w:tcPr>
          <w:p>
            <w:pPr>
              <w:ind w:left="40"/>
              <w:spacing w:after="0"/>
              <w:rPr>
                <w:sz w:val="20"/>
                <w:szCs w:val="20"/>
                <w:color w:val="auto"/>
              </w:rPr>
            </w:pPr>
            <w:r>
              <w:rPr>
                <w:rFonts w:ascii="Arial" w:cs="Arial" w:eastAsia="Arial" w:hAnsi="Arial"/>
                <w:sz w:val="17"/>
                <w:szCs w:val="17"/>
                <w:color w:val="auto"/>
                <w:w w:val="95"/>
              </w:rPr>
              <w:t>evaluating the impact of</w:t>
            </w:r>
          </w:p>
        </w:tc>
      </w:tr>
      <w:tr>
        <w:trPr>
          <w:trHeight w:val="255"/>
        </w:trPr>
        <w:tc>
          <w:tcPr>
            <w:tcW w:w="1560" w:type="dxa"/>
            <w:vAlign w:val="bottom"/>
          </w:tcPr>
          <w:p>
            <w:pPr>
              <w:spacing w:after="0"/>
              <w:rPr>
                <w:sz w:val="20"/>
                <w:szCs w:val="20"/>
                <w:color w:val="auto"/>
              </w:rPr>
            </w:pPr>
            <w:r>
              <w:rPr>
                <w:rFonts w:ascii="Arial" w:cs="Arial" w:eastAsia="Arial" w:hAnsi="Arial"/>
                <w:sz w:val="17"/>
                <w:szCs w:val="17"/>
                <w:color w:val="auto"/>
              </w:rPr>
              <w:t>2025-12</w:t>
            </w:r>
          </w:p>
        </w:tc>
        <w:tc>
          <w:tcPr>
            <w:tcW w:w="4520" w:type="dxa"/>
            <w:vAlign w:val="bottom"/>
          </w:tcPr>
          <w:p>
            <w:pPr>
              <w:ind w:left="200"/>
              <w:spacing w:after="0"/>
              <w:rPr>
                <w:sz w:val="20"/>
                <w:szCs w:val="20"/>
                <w:color w:val="auto"/>
              </w:rPr>
            </w:pPr>
            <w:r>
              <w:rPr>
                <w:rFonts w:ascii="Arial" w:cs="Arial" w:eastAsia="Arial" w:hAnsi="Arial"/>
                <w:sz w:val="17"/>
                <w:szCs w:val="17"/>
                <w:color w:val="auto"/>
              </w:rPr>
              <w:t>unintended application, outdated references, and minor</w:t>
            </w:r>
          </w:p>
        </w:tc>
        <w:tc>
          <w:tcPr>
            <w:tcW w:w="1400" w:type="dxa"/>
            <w:vAlign w:val="bottom"/>
          </w:tcPr>
          <w:p>
            <w:pPr>
              <w:ind w:left="40"/>
              <w:spacing w:after="0"/>
              <w:rPr>
                <w:sz w:val="20"/>
                <w:szCs w:val="20"/>
                <w:color w:val="auto"/>
              </w:rPr>
            </w:pPr>
            <w:r>
              <w:rPr>
                <w:rFonts w:ascii="Arial" w:cs="Arial" w:eastAsia="Arial" w:hAnsi="Arial"/>
                <w:sz w:val="17"/>
                <w:szCs w:val="17"/>
                <w:color w:val="auto"/>
              </w:rPr>
              <w:t>effective for all</w:t>
            </w:r>
          </w:p>
        </w:tc>
        <w:tc>
          <w:tcPr>
            <w:tcW w:w="1780" w:type="dxa"/>
            <w:vAlign w:val="bottom"/>
          </w:tcPr>
          <w:p>
            <w:pPr>
              <w:ind w:left="40"/>
              <w:spacing w:after="0"/>
              <w:rPr>
                <w:sz w:val="20"/>
                <w:szCs w:val="20"/>
                <w:color w:val="auto"/>
              </w:rPr>
            </w:pPr>
            <w:r>
              <w:rPr>
                <w:rFonts w:ascii="Arial" w:cs="Arial" w:eastAsia="Arial" w:hAnsi="Arial"/>
                <w:sz w:val="17"/>
                <w:szCs w:val="17"/>
                <w:color w:val="auto"/>
                <w:w w:val="88"/>
              </w:rPr>
              <w:t>adopting this guidance on</w:t>
            </w:r>
          </w:p>
        </w:tc>
      </w:tr>
      <w:tr>
        <w:trPr>
          <w:trHeight w:val="255"/>
        </w:trPr>
        <w:tc>
          <w:tcPr>
            <w:tcW w:w="1560" w:type="dxa"/>
            <w:vAlign w:val="bottom"/>
          </w:tcPr>
          <w:p>
            <w:pPr>
              <w:spacing w:after="0"/>
              <w:rPr>
                <w:sz w:val="22"/>
                <w:szCs w:val="22"/>
                <w:color w:val="auto"/>
              </w:rPr>
            </w:pPr>
          </w:p>
        </w:tc>
        <w:tc>
          <w:tcPr>
            <w:tcW w:w="4520" w:type="dxa"/>
            <w:vAlign w:val="bottom"/>
          </w:tcPr>
          <w:p>
            <w:pPr>
              <w:ind w:left="200"/>
              <w:spacing w:after="0"/>
              <w:rPr>
                <w:sz w:val="20"/>
                <w:szCs w:val="20"/>
                <w:color w:val="auto"/>
              </w:rPr>
            </w:pPr>
            <w:r>
              <w:rPr>
                <w:rFonts w:ascii="Arial" w:cs="Arial" w:eastAsia="Arial" w:hAnsi="Arial"/>
                <w:sz w:val="17"/>
                <w:szCs w:val="17"/>
                <w:color w:val="auto"/>
                <w:w w:val="93"/>
              </w:rPr>
              <w:t>inconsistencies. The ASU affects 33 issues spanning multiple</w:t>
            </w:r>
          </w:p>
        </w:tc>
        <w:tc>
          <w:tcPr>
            <w:tcW w:w="1400" w:type="dxa"/>
            <w:vAlign w:val="bottom"/>
          </w:tcPr>
          <w:p>
            <w:pPr>
              <w:ind w:left="40"/>
              <w:spacing w:after="0"/>
              <w:rPr>
                <w:sz w:val="20"/>
                <w:szCs w:val="20"/>
                <w:color w:val="auto"/>
              </w:rPr>
            </w:pPr>
            <w:r>
              <w:rPr>
                <w:rFonts w:ascii="Arial" w:cs="Arial" w:eastAsia="Arial" w:hAnsi="Arial"/>
                <w:sz w:val="17"/>
                <w:szCs w:val="17"/>
                <w:color w:val="auto"/>
                <w:w w:val="99"/>
              </w:rPr>
              <w:t>entities for annual</w:t>
            </w:r>
          </w:p>
        </w:tc>
        <w:tc>
          <w:tcPr>
            <w:tcW w:w="1780" w:type="dxa"/>
            <w:vAlign w:val="bottom"/>
          </w:tcPr>
          <w:p>
            <w:pPr>
              <w:ind w:left="40"/>
              <w:spacing w:after="0"/>
              <w:rPr>
                <w:sz w:val="20"/>
                <w:szCs w:val="20"/>
                <w:color w:val="auto"/>
              </w:rPr>
            </w:pPr>
            <w:r>
              <w:rPr>
                <w:rFonts w:ascii="Arial" w:cs="Arial" w:eastAsia="Arial" w:hAnsi="Arial"/>
                <w:sz w:val="17"/>
                <w:szCs w:val="17"/>
                <w:color w:val="auto"/>
              </w:rPr>
              <w:t>the Company's</w:t>
            </w:r>
          </w:p>
        </w:tc>
      </w:tr>
      <w:tr>
        <w:trPr>
          <w:trHeight w:val="255"/>
        </w:trPr>
        <w:tc>
          <w:tcPr>
            <w:tcW w:w="1560" w:type="dxa"/>
            <w:vAlign w:val="bottom"/>
          </w:tcPr>
          <w:p>
            <w:pPr>
              <w:spacing w:after="0"/>
              <w:rPr>
                <w:sz w:val="22"/>
                <w:szCs w:val="22"/>
                <w:color w:val="auto"/>
              </w:rPr>
            </w:pPr>
          </w:p>
        </w:tc>
        <w:tc>
          <w:tcPr>
            <w:tcW w:w="4520" w:type="dxa"/>
            <w:vAlign w:val="bottom"/>
          </w:tcPr>
          <w:p>
            <w:pPr>
              <w:ind w:left="200"/>
              <w:spacing w:after="0"/>
              <w:rPr>
                <w:sz w:val="20"/>
                <w:szCs w:val="20"/>
                <w:color w:val="auto"/>
              </w:rPr>
            </w:pPr>
            <w:r>
              <w:rPr>
                <w:rFonts w:ascii="Arial" w:cs="Arial" w:eastAsia="Arial" w:hAnsi="Arial"/>
                <w:sz w:val="17"/>
                <w:szCs w:val="17"/>
                <w:color w:val="auto"/>
              </w:rPr>
              <w:t>topics, including earnings per share, beneficial interests,</w:t>
            </w:r>
          </w:p>
        </w:tc>
        <w:tc>
          <w:tcPr>
            <w:tcW w:w="1400" w:type="dxa"/>
            <w:vAlign w:val="bottom"/>
          </w:tcPr>
          <w:p>
            <w:pPr>
              <w:ind w:left="40"/>
              <w:spacing w:after="0"/>
              <w:rPr>
                <w:sz w:val="20"/>
                <w:szCs w:val="20"/>
                <w:color w:val="auto"/>
              </w:rPr>
            </w:pPr>
            <w:r>
              <w:rPr>
                <w:rFonts w:ascii="Arial" w:cs="Arial" w:eastAsia="Arial" w:hAnsi="Arial"/>
                <w:sz w:val="17"/>
                <w:szCs w:val="17"/>
                <w:color w:val="auto"/>
              </w:rPr>
              <w:t>reporting periods</w:t>
            </w:r>
          </w:p>
        </w:tc>
        <w:tc>
          <w:tcPr>
            <w:tcW w:w="1780" w:type="dxa"/>
            <w:vAlign w:val="bottom"/>
          </w:tcPr>
          <w:p>
            <w:pPr>
              <w:ind w:left="40"/>
              <w:spacing w:after="0"/>
              <w:rPr>
                <w:sz w:val="20"/>
                <w:szCs w:val="20"/>
                <w:color w:val="auto"/>
              </w:rPr>
            </w:pPr>
            <w:r>
              <w:rPr>
                <w:rFonts w:ascii="Arial" w:cs="Arial" w:eastAsia="Arial" w:hAnsi="Arial"/>
                <w:sz w:val="17"/>
                <w:szCs w:val="17"/>
                <w:color w:val="auto"/>
              </w:rPr>
              <w:t>consolidated financial</w:t>
            </w:r>
          </w:p>
        </w:tc>
      </w:tr>
      <w:tr>
        <w:trPr>
          <w:trHeight w:val="255"/>
        </w:trPr>
        <w:tc>
          <w:tcPr>
            <w:tcW w:w="1560" w:type="dxa"/>
            <w:vAlign w:val="bottom"/>
          </w:tcPr>
          <w:p>
            <w:pPr>
              <w:spacing w:after="0"/>
              <w:rPr>
                <w:sz w:val="22"/>
                <w:szCs w:val="22"/>
                <w:color w:val="auto"/>
              </w:rPr>
            </w:pPr>
          </w:p>
        </w:tc>
        <w:tc>
          <w:tcPr>
            <w:tcW w:w="4520" w:type="dxa"/>
            <w:vAlign w:val="bottom"/>
          </w:tcPr>
          <w:p>
            <w:pPr>
              <w:ind w:left="200"/>
              <w:spacing w:after="0"/>
              <w:rPr>
                <w:sz w:val="20"/>
                <w:szCs w:val="20"/>
                <w:color w:val="auto"/>
              </w:rPr>
            </w:pPr>
            <w:r>
              <w:rPr>
                <w:rFonts w:ascii="Arial" w:cs="Arial" w:eastAsia="Arial" w:hAnsi="Arial"/>
                <w:sz w:val="17"/>
                <w:szCs w:val="17"/>
                <w:color w:val="auto"/>
              </w:rPr>
              <w:t>receivables, transfers and servicing, and not-for-profit</w:t>
            </w:r>
          </w:p>
        </w:tc>
        <w:tc>
          <w:tcPr>
            <w:tcW w:w="1400" w:type="dxa"/>
            <w:vAlign w:val="bottom"/>
          </w:tcPr>
          <w:p>
            <w:pPr>
              <w:ind w:left="40"/>
              <w:spacing w:after="0"/>
              <w:rPr>
                <w:sz w:val="20"/>
                <w:szCs w:val="20"/>
                <w:color w:val="auto"/>
              </w:rPr>
            </w:pPr>
            <w:r>
              <w:rPr>
                <w:rFonts w:ascii="Arial" w:cs="Arial" w:eastAsia="Arial" w:hAnsi="Arial"/>
                <w:sz w:val="17"/>
                <w:szCs w:val="17"/>
                <w:color w:val="auto"/>
              </w:rPr>
              <w:t>beginning after</w:t>
            </w:r>
          </w:p>
        </w:tc>
        <w:tc>
          <w:tcPr>
            <w:tcW w:w="1780" w:type="dxa"/>
            <w:vAlign w:val="bottom"/>
          </w:tcPr>
          <w:p>
            <w:pPr>
              <w:ind w:left="40"/>
              <w:spacing w:after="0"/>
              <w:rPr>
                <w:sz w:val="20"/>
                <w:szCs w:val="20"/>
                <w:color w:val="auto"/>
              </w:rPr>
            </w:pPr>
            <w:r>
              <w:rPr>
                <w:rFonts w:ascii="Arial" w:cs="Arial" w:eastAsia="Arial" w:hAnsi="Arial"/>
                <w:sz w:val="17"/>
                <w:szCs w:val="17"/>
                <w:color w:val="auto"/>
              </w:rPr>
              <w:t>statements.</w:t>
            </w:r>
          </w:p>
        </w:tc>
      </w:tr>
      <w:tr>
        <w:trPr>
          <w:trHeight w:val="255"/>
        </w:trPr>
        <w:tc>
          <w:tcPr>
            <w:tcW w:w="1560" w:type="dxa"/>
            <w:vAlign w:val="bottom"/>
          </w:tcPr>
          <w:p>
            <w:pPr>
              <w:spacing w:after="0"/>
              <w:rPr>
                <w:sz w:val="22"/>
                <w:szCs w:val="22"/>
                <w:color w:val="auto"/>
              </w:rPr>
            </w:pPr>
          </w:p>
        </w:tc>
        <w:tc>
          <w:tcPr>
            <w:tcW w:w="4520" w:type="dxa"/>
            <w:vAlign w:val="bottom"/>
          </w:tcPr>
          <w:p>
            <w:pPr>
              <w:ind w:left="200"/>
              <w:spacing w:after="0"/>
              <w:rPr>
                <w:sz w:val="20"/>
                <w:szCs w:val="20"/>
                <w:color w:val="auto"/>
              </w:rPr>
            </w:pPr>
            <w:r>
              <w:rPr>
                <w:rFonts w:ascii="Arial" w:cs="Arial" w:eastAsia="Arial" w:hAnsi="Arial"/>
                <w:sz w:val="17"/>
                <w:szCs w:val="17"/>
                <w:color w:val="auto"/>
              </w:rPr>
              <w:t>accounting, and generally is not expected to significantly</w:t>
            </w:r>
          </w:p>
        </w:tc>
        <w:tc>
          <w:tcPr>
            <w:tcW w:w="1400" w:type="dxa"/>
            <w:vAlign w:val="bottom"/>
          </w:tcPr>
          <w:p>
            <w:pPr>
              <w:ind w:left="40"/>
              <w:spacing w:after="0"/>
              <w:rPr>
                <w:sz w:val="20"/>
                <w:szCs w:val="20"/>
                <w:color w:val="auto"/>
              </w:rPr>
            </w:pPr>
            <w:r>
              <w:rPr>
                <w:rFonts w:ascii="Arial" w:cs="Arial" w:eastAsia="Arial" w:hAnsi="Arial"/>
                <w:sz w:val="17"/>
                <w:szCs w:val="17"/>
                <w:color w:val="auto"/>
              </w:rPr>
              <w:t>December 15,</w:t>
            </w:r>
          </w:p>
        </w:tc>
        <w:tc>
          <w:tcPr>
            <w:tcW w:w="1780" w:type="dxa"/>
            <w:vAlign w:val="bottom"/>
          </w:tcPr>
          <w:p>
            <w:pPr>
              <w:spacing w:after="0"/>
              <w:rPr>
                <w:sz w:val="22"/>
                <w:szCs w:val="22"/>
                <w:color w:val="auto"/>
              </w:rPr>
            </w:pPr>
          </w:p>
        </w:tc>
      </w:tr>
      <w:tr>
        <w:trPr>
          <w:trHeight w:val="255"/>
        </w:trPr>
        <w:tc>
          <w:tcPr>
            <w:tcW w:w="1560" w:type="dxa"/>
            <w:vAlign w:val="bottom"/>
          </w:tcPr>
          <w:p>
            <w:pPr>
              <w:spacing w:after="0"/>
              <w:rPr>
                <w:sz w:val="22"/>
                <w:szCs w:val="22"/>
                <w:color w:val="auto"/>
              </w:rPr>
            </w:pPr>
          </w:p>
        </w:tc>
        <w:tc>
          <w:tcPr>
            <w:tcW w:w="4520" w:type="dxa"/>
            <w:vAlign w:val="bottom"/>
          </w:tcPr>
          <w:p>
            <w:pPr>
              <w:ind w:left="200"/>
              <w:spacing w:after="0"/>
              <w:rPr>
                <w:sz w:val="20"/>
                <w:szCs w:val="20"/>
                <w:color w:val="auto"/>
              </w:rPr>
            </w:pPr>
            <w:r>
              <w:rPr>
                <w:rFonts w:ascii="Arial" w:cs="Arial" w:eastAsia="Arial" w:hAnsi="Arial"/>
                <w:sz w:val="17"/>
                <w:szCs w:val="17"/>
                <w:color w:val="auto"/>
              </w:rPr>
              <w:t>change current practice.</w:t>
            </w:r>
          </w:p>
        </w:tc>
        <w:tc>
          <w:tcPr>
            <w:tcW w:w="1400" w:type="dxa"/>
            <w:vAlign w:val="bottom"/>
          </w:tcPr>
          <w:p>
            <w:pPr>
              <w:ind w:left="40"/>
              <w:spacing w:after="0"/>
              <w:rPr>
                <w:sz w:val="20"/>
                <w:szCs w:val="20"/>
                <w:color w:val="auto"/>
              </w:rPr>
            </w:pPr>
            <w:r>
              <w:rPr>
                <w:rFonts w:ascii="Arial" w:cs="Arial" w:eastAsia="Arial" w:hAnsi="Arial"/>
                <w:sz w:val="17"/>
                <w:szCs w:val="17"/>
                <w:color w:val="auto"/>
              </w:rPr>
              <w:t>2026, and interim</w:t>
            </w:r>
          </w:p>
        </w:tc>
        <w:tc>
          <w:tcPr>
            <w:tcW w:w="1780" w:type="dxa"/>
            <w:vAlign w:val="bottom"/>
          </w:tcPr>
          <w:p>
            <w:pPr>
              <w:spacing w:after="0"/>
              <w:rPr>
                <w:sz w:val="22"/>
                <w:szCs w:val="22"/>
                <w:color w:val="auto"/>
              </w:rPr>
            </w:pPr>
          </w:p>
        </w:tc>
      </w:tr>
      <w:tr>
        <w:trPr>
          <w:trHeight w:val="255"/>
        </w:trPr>
        <w:tc>
          <w:tcPr>
            <w:tcW w:w="1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400" w:type="dxa"/>
            <w:vAlign w:val="bottom"/>
          </w:tcPr>
          <w:p>
            <w:pPr>
              <w:ind w:left="40"/>
              <w:spacing w:after="0"/>
              <w:rPr>
                <w:sz w:val="20"/>
                <w:szCs w:val="20"/>
                <w:color w:val="auto"/>
              </w:rPr>
            </w:pPr>
            <w:r>
              <w:rPr>
                <w:rFonts w:ascii="Arial" w:cs="Arial" w:eastAsia="Arial" w:hAnsi="Arial"/>
                <w:sz w:val="17"/>
                <w:szCs w:val="17"/>
                <w:color w:val="auto"/>
              </w:rPr>
              <w:t>reporting periods</w:t>
            </w:r>
          </w:p>
        </w:tc>
        <w:tc>
          <w:tcPr>
            <w:tcW w:w="1780" w:type="dxa"/>
            <w:vAlign w:val="bottom"/>
          </w:tcPr>
          <w:p>
            <w:pPr>
              <w:spacing w:after="0"/>
              <w:rPr>
                <w:sz w:val="22"/>
                <w:szCs w:val="22"/>
                <w:color w:val="auto"/>
              </w:rPr>
            </w:pPr>
          </w:p>
        </w:tc>
      </w:tr>
      <w:tr>
        <w:trPr>
          <w:trHeight w:val="255"/>
        </w:trPr>
        <w:tc>
          <w:tcPr>
            <w:tcW w:w="1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400" w:type="dxa"/>
            <w:vAlign w:val="bottom"/>
          </w:tcPr>
          <w:p>
            <w:pPr>
              <w:ind w:left="40"/>
              <w:spacing w:after="0"/>
              <w:rPr>
                <w:sz w:val="20"/>
                <w:szCs w:val="20"/>
                <w:color w:val="auto"/>
              </w:rPr>
            </w:pPr>
            <w:r>
              <w:rPr>
                <w:rFonts w:ascii="Arial" w:cs="Arial" w:eastAsia="Arial" w:hAnsi="Arial"/>
                <w:sz w:val="17"/>
                <w:szCs w:val="17"/>
                <w:color w:val="auto"/>
                <w:w w:val="92"/>
              </w:rPr>
              <w:t>within those annual</w:t>
            </w:r>
          </w:p>
        </w:tc>
        <w:tc>
          <w:tcPr>
            <w:tcW w:w="1780" w:type="dxa"/>
            <w:vAlign w:val="bottom"/>
          </w:tcPr>
          <w:p>
            <w:pPr>
              <w:spacing w:after="0"/>
              <w:rPr>
                <w:sz w:val="22"/>
                <w:szCs w:val="22"/>
                <w:color w:val="auto"/>
              </w:rPr>
            </w:pPr>
          </w:p>
        </w:tc>
      </w:tr>
      <w:tr>
        <w:trPr>
          <w:trHeight w:val="255"/>
        </w:trPr>
        <w:tc>
          <w:tcPr>
            <w:tcW w:w="1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400" w:type="dxa"/>
            <w:vAlign w:val="bottom"/>
          </w:tcPr>
          <w:p>
            <w:pPr>
              <w:ind w:left="40"/>
              <w:spacing w:after="0"/>
              <w:rPr>
                <w:sz w:val="20"/>
                <w:szCs w:val="20"/>
                <w:color w:val="auto"/>
              </w:rPr>
            </w:pPr>
            <w:r>
              <w:rPr>
                <w:rFonts w:ascii="Arial" w:cs="Arial" w:eastAsia="Arial" w:hAnsi="Arial"/>
                <w:sz w:val="17"/>
                <w:szCs w:val="17"/>
                <w:color w:val="auto"/>
              </w:rPr>
              <w:t>reporting periods.</w:t>
            </w:r>
          </w:p>
        </w:tc>
        <w:tc>
          <w:tcPr>
            <w:tcW w:w="1780" w:type="dxa"/>
            <w:vAlign w:val="bottom"/>
          </w:tcPr>
          <w:p>
            <w:pPr>
              <w:spacing w:after="0"/>
              <w:rPr>
                <w:sz w:val="22"/>
                <w:szCs w:val="22"/>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7964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7730" cy="1796415"/>
                    </a:xfrm>
                    <a:prstGeom prst="rect">
                      <a:avLst/>
                    </a:prstGeom>
                    <a:noFill/>
                  </pic:spPr>
                </pic:pic>
              </a:graphicData>
            </a:graphic>
          </wp:anchor>
        </w:drawing>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173"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24 / 30</w:t>
      </w:r>
    </w:p>
    <w:p>
      <w:pPr>
        <w:sectPr>
          <w:pgSz w:w="11900" w:h="16838" w:orient="portrait"/>
          <w:cols w:equalWidth="0" w:num="1">
            <w:col w:w="9260"/>
          </w:cols>
          <w:pgMar w:left="1260" w:top="1173" w:right="1386" w:bottom="0" w:gutter="0" w:footer="0" w:header="0"/>
          <w:type w:val="continuous"/>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EARNINGS PER SHARE</w:t>
      </w:r>
    </w:p>
    <w:p>
      <w:pPr>
        <w:spacing w:after="0" w:line="200"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color w:val="auto"/>
        </w:rPr>
        <w:t>Following shareholder approval received on June 4, 2021, the Company converted 1,380,283 shares of its Series B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35"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35"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In applying the two-class method, basic net income per share was calculated by dividing net income (less any dividends on participating securities) by the weighted average number of shares of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111"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Anti-dilutive shares are common stock equivalents with average exercise prices in excess of the weighted average market price for the period presented. There were no anti-dilutive stock options exercised for the years ended 2025 and 2024, respectively.</w:t>
      </w:r>
    </w:p>
    <w:p>
      <w:pPr>
        <w:spacing w:after="0" w:line="137"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The following table sets forth the calculation of basic and diluted earnings per share for the years ended December 31:</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057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Net (loss) income attributable to Pathfinder Bancorp, Inc.</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Series A Non-Voting Common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5967730" cy="1993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Warrant dividends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Undistributed (losses) earnings allocated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967730" cy="2343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7730" cy="23431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Net (loss) income available to common shareholders -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5967730" cy="1993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Net (loss) income attributable to Pathfinder Bancorp, Inc.</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Voting Common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5967730" cy="1993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Warrant dividends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Undistributed (losses) earnings allocated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967730" cy="2343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7730" cy="23431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Net (loss) income available to common shareholders - Non-Voting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2520" w:type="dxa"/>
            <w:vAlign w:val="bottom"/>
            <w:gridSpan w:val="2"/>
          </w:tcPr>
          <w:p>
            <w:pPr>
              <w:jc w:val="right"/>
              <w:spacing w:after="0"/>
              <w:rPr>
                <w:sz w:val="20"/>
                <w:szCs w:val="20"/>
                <w:color w:val="auto"/>
              </w:rPr>
            </w:pPr>
            <w:r>
              <w:rPr>
                <w:rFonts w:ascii="Arial" w:cs="Arial" w:eastAsia="Arial" w:hAnsi="Arial"/>
                <w:sz w:val="16"/>
                <w:szCs w:val="16"/>
                <w:color w:val="auto"/>
                <w:w w:val="97"/>
              </w:rPr>
              <w:t>For the years ended December 31,</w:t>
            </w:r>
          </w:p>
        </w:tc>
        <w:tc>
          <w:tcPr>
            <w:tcW w:w="460" w:type="dxa"/>
            <w:vAlign w:val="bottom"/>
          </w:tcPr>
          <w:p>
            <w:pPr>
              <w:spacing w:after="0"/>
              <w:rPr>
                <w:sz w:val="16"/>
                <w:szCs w:val="16"/>
                <w:color w:val="auto"/>
              </w:rPr>
            </w:pPr>
          </w:p>
        </w:tc>
      </w:tr>
      <w:tr>
        <w:trPr>
          <w:trHeight w:val="264"/>
        </w:trPr>
        <w:tc>
          <w:tcPr>
            <w:tcW w:w="300" w:type="dxa"/>
            <w:vAlign w:val="bottom"/>
          </w:tcPr>
          <w:p>
            <w:pPr>
              <w:spacing w:after="0"/>
              <w:rPr>
                <w:sz w:val="22"/>
                <w:szCs w:val="22"/>
                <w:color w:val="auto"/>
              </w:rPr>
            </w:pP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2025</w:t>
            </w:r>
          </w:p>
        </w:tc>
        <w:tc>
          <w:tcPr>
            <w:tcW w:w="11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2024</w:t>
            </w:r>
          </w:p>
        </w:tc>
      </w:tr>
      <w:tr>
        <w:trPr>
          <w:trHeight w:val="324"/>
        </w:trPr>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80"/>
              <w:spacing w:after="0"/>
              <w:rPr>
                <w:sz w:val="20"/>
                <w:szCs w:val="20"/>
                <w:color w:val="auto"/>
              </w:rPr>
            </w:pPr>
            <w:r>
              <w:rPr>
                <w:rFonts w:ascii="Arial" w:cs="Arial" w:eastAsia="Arial" w:hAnsi="Arial"/>
                <w:sz w:val="16"/>
                <w:szCs w:val="16"/>
                <w:color w:val="auto"/>
              </w:rPr>
              <w:t>(1,933)</w:t>
            </w:r>
          </w:p>
        </w:tc>
        <w:tc>
          <w:tcPr>
            <w:tcW w:w="114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3,383</w:t>
            </w:r>
          </w:p>
        </w:tc>
      </w:tr>
      <w:tr>
        <w:trPr>
          <w:trHeight w:val="298"/>
        </w:trPr>
        <w:tc>
          <w:tcPr>
            <w:tcW w:w="30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552</w:t>
            </w:r>
          </w:p>
        </w:tc>
        <w:tc>
          <w:tcPr>
            <w:tcW w:w="1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314"/>
        </w:trPr>
        <w:tc>
          <w:tcPr>
            <w:tcW w:w="30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50</w:t>
            </w:r>
          </w:p>
        </w:tc>
        <w:tc>
          <w:tcPr>
            <w:tcW w:w="1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1"/>
        </w:trPr>
        <w:tc>
          <w:tcPr>
            <w:tcW w:w="300" w:type="dxa"/>
            <w:vAlign w:val="bottom"/>
          </w:tcPr>
          <w:p>
            <w:pPr>
              <w:spacing w:after="0"/>
              <w:rPr>
                <w:sz w:val="24"/>
                <w:szCs w:val="24"/>
                <w:color w:val="auto"/>
              </w:rPr>
            </w:pPr>
          </w:p>
        </w:tc>
        <w:tc>
          <w:tcPr>
            <w:tcW w:w="1380" w:type="dxa"/>
            <w:vAlign w:val="bottom"/>
          </w:tcPr>
          <w:p>
            <w:pPr>
              <w:jc w:val="right"/>
              <w:ind w:right="180"/>
              <w:spacing w:after="0"/>
              <w:rPr>
                <w:sz w:val="20"/>
                <w:szCs w:val="20"/>
                <w:color w:val="auto"/>
              </w:rPr>
            </w:pPr>
            <w:r>
              <w:rPr>
                <w:rFonts w:ascii="Arial" w:cs="Arial" w:eastAsia="Arial" w:hAnsi="Arial"/>
                <w:sz w:val="16"/>
                <w:szCs w:val="16"/>
                <w:color w:val="auto"/>
              </w:rPr>
              <w:t>(1,066)</w:t>
            </w:r>
          </w:p>
        </w:tc>
        <w:tc>
          <w:tcPr>
            <w:tcW w:w="1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324"/>
        </w:trPr>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80"/>
              <w:spacing w:after="0"/>
              <w:rPr>
                <w:sz w:val="20"/>
                <w:szCs w:val="20"/>
                <w:color w:val="auto"/>
              </w:rPr>
            </w:pPr>
            <w:r>
              <w:rPr>
                <w:rFonts w:ascii="Arial" w:cs="Arial" w:eastAsia="Arial" w:hAnsi="Arial"/>
                <w:sz w:val="16"/>
                <w:szCs w:val="16"/>
                <w:color w:val="auto"/>
              </w:rPr>
              <w:t>(1,469)</w:t>
            </w:r>
          </w:p>
        </w:tc>
        <w:tc>
          <w:tcPr>
            <w:tcW w:w="114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2,565</w:t>
            </w:r>
          </w:p>
        </w:tc>
      </w:tr>
      <w:tr>
        <w:trPr>
          <w:trHeight w:val="614"/>
        </w:trPr>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80"/>
              <w:spacing w:after="0"/>
              <w:rPr>
                <w:sz w:val="20"/>
                <w:szCs w:val="20"/>
                <w:color w:val="auto"/>
              </w:rPr>
            </w:pPr>
            <w:r>
              <w:rPr>
                <w:rFonts w:ascii="Arial" w:cs="Arial" w:eastAsia="Arial" w:hAnsi="Arial"/>
                <w:sz w:val="16"/>
                <w:szCs w:val="16"/>
                <w:color w:val="auto"/>
              </w:rPr>
              <w:t>(1,933)</w:t>
            </w:r>
          </w:p>
        </w:tc>
        <w:tc>
          <w:tcPr>
            <w:tcW w:w="114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3,383</w:t>
            </w:r>
          </w:p>
        </w:tc>
      </w:tr>
      <w:tr>
        <w:trPr>
          <w:trHeight w:val="298"/>
        </w:trPr>
        <w:tc>
          <w:tcPr>
            <w:tcW w:w="30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1,915</w:t>
            </w:r>
          </w:p>
        </w:tc>
        <w:tc>
          <w:tcPr>
            <w:tcW w:w="1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1,888</w:t>
            </w:r>
          </w:p>
        </w:tc>
      </w:tr>
      <w:tr>
        <w:trPr>
          <w:trHeight w:val="314"/>
        </w:trPr>
        <w:tc>
          <w:tcPr>
            <w:tcW w:w="30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50</w:t>
            </w:r>
          </w:p>
        </w:tc>
        <w:tc>
          <w:tcPr>
            <w:tcW w:w="1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1"/>
        </w:trPr>
        <w:tc>
          <w:tcPr>
            <w:tcW w:w="300" w:type="dxa"/>
            <w:vAlign w:val="bottom"/>
          </w:tcPr>
          <w:p>
            <w:pPr>
              <w:spacing w:after="0"/>
              <w:rPr>
                <w:sz w:val="24"/>
                <w:szCs w:val="24"/>
                <w:color w:val="auto"/>
              </w:rPr>
            </w:pPr>
          </w:p>
        </w:tc>
        <w:tc>
          <w:tcPr>
            <w:tcW w:w="1380" w:type="dxa"/>
            <w:vAlign w:val="bottom"/>
          </w:tcPr>
          <w:p>
            <w:pPr>
              <w:jc w:val="right"/>
              <w:ind w:right="180"/>
              <w:spacing w:after="0"/>
              <w:rPr>
                <w:sz w:val="20"/>
                <w:szCs w:val="20"/>
                <w:color w:val="auto"/>
              </w:rPr>
            </w:pPr>
            <w:r>
              <w:rPr>
                <w:rFonts w:ascii="Arial" w:cs="Arial" w:eastAsia="Arial" w:hAnsi="Arial"/>
                <w:sz w:val="16"/>
                <w:szCs w:val="16"/>
                <w:color w:val="auto"/>
              </w:rPr>
              <w:t>(3,472)</w:t>
            </w:r>
          </w:p>
        </w:tc>
        <w:tc>
          <w:tcPr>
            <w:tcW w:w="1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324"/>
        </w:trPr>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80"/>
              <w:spacing w:after="0"/>
              <w:rPr>
                <w:sz w:val="20"/>
                <w:szCs w:val="20"/>
                <w:color w:val="auto"/>
              </w:rPr>
            </w:pPr>
            <w:r>
              <w:rPr>
                <w:rFonts w:ascii="Arial" w:cs="Arial" w:eastAsia="Arial" w:hAnsi="Arial"/>
                <w:sz w:val="16"/>
                <w:szCs w:val="16"/>
                <w:color w:val="auto"/>
              </w:rPr>
              <w:t>(426)</w:t>
            </w:r>
          </w:p>
        </w:tc>
        <w:tc>
          <w:tcPr>
            <w:tcW w:w="114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-2352675</wp:posOffset>
            </wp:positionV>
            <wp:extent cx="215773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7730" cy="635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-2184400</wp:posOffset>
            </wp:positionV>
            <wp:extent cx="245364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-2184400</wp:posOffset>
            </wp:positionV>
            <wp:extent cx="245364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-1379855</wp:posOffset>
            </wp:positionV>
            <wp:extent cx="245364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-1379855</wp:posOffset>
            </wp:positionV>
            <wp:extent cx="245364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-184785</wp:posOffset>
            </wp:positionV>
            <wp:extent cx="245364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-184785</wp:posOffset>
            </wp:positionV>
            <wp:extent cx="245364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5364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3400"/>
          </w:cols>
          <w:pgMar w:left="1260" w:top="1440" w:right="1246" w:bottom="0" w:gutter="0" w:footer="0" w:header="0"/>
          <w:type w:val="continuous"/>
        </w:sectPr>
      </w:pP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Basic weighted average common shares outstanding - Voting</w:t>
            </w:r>
          </w:p>
        </w:tc>
        <w:tc>
          <w:tcPr>
            <w:tcW w:w="2680" w:type="dxa"/>
            <w:vAlign w:val="bottom"/>
            <w:shd w:val="clear" w:color="auto" w:fill="CFF0FC"/>
          </w:tcPr>
          <w:p>
            <w:pPr>
              <w:jc w:val="right"/>
              <w:ind w:right="700"/>
              <w:spacing w:after="0"/>
              <w:rPr>
                <w:sz w:val="20"/>
                <w:szCs w:val="20"/>
                <w:color w:val="auto"/>
              </w:rPr>
            </w:pPr>
            <w:r>
              <w:rPr>
                <w:rFonts w:ascii="Arial" w:cs="Arial" w:eastAsia="Arial" w:hAnsi="Arial"/>
                <w:sz w:val="16"/>
                <w:szCs w:val="16"/>
                <w:color w:val="auto"/>
              </w:rPr>
              <w:t>4,777</w:t>
            </w: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4,714</w:t>
            </w:r>
          </w:p>
        </w:tc>
      </w:tr>
      <w:tr>
        <w:trPr>
          <w:trHeight w:val="32"/>
        </w:trPr>
        <w:tc>
          <w:tcPr>
            <w:tcW w:w="5460" w:type="dxa"/>
            <w:vAlign w:val="bottom"/>
            <w:shd w:val="clear" w:color="auto" w:fill="CFF0FC"/>
          </w:tcPr>
          <w:p>
            <w:pPr>
              <w:spacing w:after="0"/>
              <w:rPr>
                <w:sz w:val="2"/>
                <w:szCs w:val="2"/>
                <w:color w:val="auto"/>
              </w:rPr>
            </w:pPr>
          </w:p>
        </w:tc>
        <w:tc>
          <w:tcPr>
            <w:tcW w:w="268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type w:val="continuous"/>
        </w:sect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30</w:t>
      </w:r>
    </w:p>
    <w:p>
      <w:pPr>
        <w:sectPr>
          <w:pgSz w:w="11900" w:h="16838" w:orient="portrait"/>
          <w:cols w:equalWidth="0" w:num="1">
            <w:col w:w="9400"/>
          </w:cols>
          <w:pgMar w:left="1260" w:top="1440" w:right="1246" w:bottom="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00"/>
        </w:trPr>
        <w:tc>
          <w:tcPr>
            <w:tcW w:w="5480" w:type="dxa"/>
            <w:vAlign w:val="bottom"/>
          </w:tcPr>
          <w:p>
            <w:pPr>
              <w:spacing w:after="0"/>
              <w:rPr>
                <w:sz w:val="20"/>
                <w:szCs w:val="20"/>
                <w:color w:val="auto"/>
              </w:rPr>
            </w:pPr>
            <w:r>
              <w:rPr>
                <w:rFonts w:ascii="Arial" w:cs="Arial" w:eastAsia="Arial" w:hAnsi="Arial"/>
                <w:sz w:val="16"/>
                <w:szCs w:val="16"/>
                <w:color w:val="auto"/>
              </w:rPr>
              <w:t>Basic weighted average common shares outstanding - Series A Non-Voting</w:t>
            </w:r>
          </w:p>
        </w:tc>
        <w:tc>
          <w:tcPr>
            <w:tcW w:w="1060" w:type="dxa"/>
            <w:vAlign w:val="bottom"/>
          </w:tcPr>
          <w:p>
            <w:pPr>
              <w:spacing w:after="0"/>
              <w:rPr>
                <w:sz w:val="17"/>
                <w:szCs w:val="17"/>
                <w:color w:val="auto"/>
              </w:rPr>
            </w:pPr>
          </w:p>
        </w:tc>
        <w:tc>
          <w:tcPr>
            <w:tcW w:w="1140" w:type="dxa"/>
            <w:vAlign w:val="bottom"/>
          </w:tcPr>
          <w:p>
            <w:pPr>
              <w:jc w:val="right"/>
              <w:ind w:right="240"/>
              <w:spacing w:after="0"/>
              <w:rPr>
                <w:sz w:val="20"/>
                <w:szCs w:val="20"/>
                <w:color w:val="auto"/>
              </w:rPr>
            </w:pPr>
            <w:r>
              <w:rPr>
                <w:rFonts w:ascii="Arial" w:cs="Arial" w:eastAsia="Arial" w:hAnsi="Arial"/>
                <w:sz w:val="16"/>
                <w:szCs w:val="16"/>
                <w:color w:val="auto"/>
              </w:rPr>
              <w:t>1,380</w:t>
            </w:r>
          </w:p>
        </w:tc>
        <w:tc>
          <w:tcPr>
            <w:tcW w:w="78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1,380</w:t>
            </w:r>
          </w:p>
        </w:tc>
      </w:tr>
      <w:tr>
        <w:trPr>
          <w:trHeight w:val="32"/>
        </w:trPr>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4"/>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Diluted weighted average common shares outstanding - Voting</w:t>
            </w:r>
          </w:p>
        </w:tc>
        <w:tc>
          <w:tcPr>
            <w:tcW w:w="10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16"/>
                <w:szCs w:val="16"/>
                <w:color w:val="auto"/>
              </w:rPr>
              <w:t>4,831</w:t>
            </w:r>
          </w:p>
        </w:tc>
        <w:tc>
          <w:tcPr>
            <w:tcW w:w="7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4,714</w:t>
            </w:r>
          </w:p>
        </w:tc>
      </w:tr>
      <w:tr>
        <w:trPr>
          <w:trHeight w:val="282"/>
        </w:trPr>
        <w:tc>
          <w:tcPr>
            <w:tcW w:w="5480" w:type="dxa"/>
            <w:vAlign w:val="bottom"/>
          </w:tcPr>
          <w:p>
            <w:pPr>
              <w:spacing w:after="0"/>
              <w:rPr>
                <w:sz w:val="20"/>
                <w:szCs w:val="20"/>
                <w:color w:val="auto"/>
              </w:rPr>
            </w:pPr>
            <w:r>
              <w:rPr>
                <w:rFonts w:ascii="Arial" w:cs="Arial" w:eastAsia="Arial" w:hAnsi="Arial"/>
                <w:sz w:val="16"/>
                <w:szCs w:val="16"/>
                <w:color w:val="auto"/>
              </w:rPr>
              <w:t>Diluted weighted average common shares outstanding - Series A Non-Voting</w:t>
            </w:r>
          </w:p>
        </w:tc>
        <w:tc>
          <w:tcPr>
            <w:tcW w:w="1060" w:type="dxa"/>
            <w:vAlign w:val="bottom"/>
          </w:tcPr>
          <w:p>
            <w:pPr>
              <w:spacing w:after="0"/>
              <w:rPr>
                <w:sz w:val="24"/>
                <w:szCs w:val="24"/>
                <w:color w:val="auto"/>
              </w:rPr>
            </w:pPr>
          </w:p>
        </w:tc>
        <w:tc>
          <w:tcPr>
            <w:tcW w:w="1140" w:type="dxa"/>
            <w:vAlign w:val="bottom"/>
          </w:tcPr>
          <w:p>
            <w:pPr>
              <w:jc w:val="right"/>
              <w:ind w:right="240"/>
              <w:spacing w:after="0"/>
              <w:rPr>
                <w:sz w:val="20"/>
                <w:szCs w:val="20"/>
                <w:color w:val="auto"/>
              </w:rPr>
            </w:pPr>
            <w:r>
              <w:rPr>
                <w:rFonts w:ascii="Arial" w:cs="Arial" w:eastAsia="Arial" w:hAnsi="Arial"/>
                <w:sz w:val="16"/>
                <w:szCs w:val="16"/>
                <w:color w:val="auto"/>
              </w:rPr>
              <w:t>1,380</w:t>
            </w:r>
          </w:p>
        </w:tc>
        <w:tc>
          <w:tcPr>
            <w:tcW w:w="78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1,380</w:t>
            </w:r>
          </w:p>
        </w:tc>
      </w:tr>
      <w:tr>
        <w:trPr>
          <w:trHeight w:val="32"/>
        </w:trPr>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4"/>
        </w:trPr>
        <w:tc>
          <w:tcPr>
            <w:tcW w:w="54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r>
      <w:tr>
        <w:trPr>
          <w:trHeight w:val="282"/>
        </w:trPr>
        <w:tc>
          <w:tcPr>
            <w:tcW w:w="5480" w:type="dxa"/>
            <w:vAlign w:val="bottom"/>
          </w:tcPr>
          <w:p>
            <w:pPr>
              <w:spacing w:after="0"/>
              <w:rPr>
                <w:sz w:val="20"/>
                <w:szCs w:val="20"/>
                <w:color w:val="auto"/>
              </w:rPr>
            </w:pPr>
            <w:r>
              <w:rPr>
                <w:rFonts w:ascii="Arial" w:cs="Arial" w:eastAsia="Arial" w:hAnsi="Arial"/>
                <w:sz w:val="16"/>
                <w:szCs w:val="16"/>
                <w:color w:val="auto"/>
              </w:rPr>
              <w:t>Basic and diluted earnings per common share - Voting</w:t>
            </w:r>
          </w:p>
        </w:tc>
        <w:tc>
          <w:tcPr>
            <w:tcW w:w="106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(0.31)</w:t>
            </w:r>
          </w:p>
        </w:tc>
        <w:tc>
          <w:tcPr>
            <w:tcW w:w="7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0.54</w:t>
            </w:r>
          </w:p>
        </w:tc>
      </w:tr>
      <w:tr>
        <w:trPr>
          <w:trHeight w:val="32"/>
        </w:trPr>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2"/>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earnings per common share - Series A Non-Voting</w:t>
            </w:r>
          </w:p>
        </w:tc>
        <w:tc>
          <w:tcPr>
            <w:tcW w:w="1060" w:type="dxa"/>
            <w:vAlign w:val="bottom"/>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(0.31)</w:t>
            </w:r>
          </w:p>
        </w:tc>
        <w:tc>
          <w:tcPr>
            <w:tcW w:w="780" w:type="dxa"/>
            <w:vAlign w:val="bottom"/>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0.54</w:t>
            </w:r>
          </w:p>
        </w:tc>
      </w:tr>
      <w:tr>
        <w:trPr>
          <w:trHeight w:val="32"/>
        </w:trPr>
        <w:tc>
          <w:tcPr>
            <w:tcW w:w="54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1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30</w:t>
      </w:r>
    </w:p>
    <w:p>
      <w:pPr>
        <w:sectPr>
          <w:pgSz w:w="11900" w:h="16838" w:orient="portrait"/>
          <w:cols w:equalWidth="0" w:num="1">
            <w:col w:w="9400"/>
          </w:cols>
          <w:pgMar w:left="1260" w:top="1215" w:right="1246" w:bottom="0" w:gutter="0" w:footer="0" w:header="0"/>
          <w:type w:val="continuous"/>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INVESTMENT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are summarized as follows as of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3"/>
          </w:tcPr>
          <w:p>
            <w:pPr>
              <w:jc w:val="right"/>
              <w:ind w:right="500"/>
              <w:spacing w:after="0"/>
              <w:rPr>
                <w:sz w:val="20"/>
                <w:szCs w:val="20"/>
                <w:color w:val="auto"/>
              </w:rPr>
            </w:pPr>
            <w:r>
              <w:rPr>
                <w:rFonts w:ascii="Arial" w:cs="Arial" w:eastAsia="Arial" w:hAnsi="Arial"/>
                <w:sz w:val="20"/>
                <w:szCs w:val="20"/>
                <w:color w:val="auto"/>
              </w:rPr>
              <w:t>December 31, 2025</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24"/>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0"/>
              <w:spacing w:after="0"/>
              <w:rPr>
                <w:sz w:val="20"/>
                <w:szCs w:val="20"/>
                <w:color w:val="auto"/>
              </w:rPr>
            </w:pPr>
            <w:r>
              <w:rPr>
                <w:rFonts w:ascii="Arial" w:cs="Arial" w:eastAsia="Arial" w:hAnsi="Arial"/>
                <w:sz w:val="20"/>
                <w:szCs w:val="20"/>
                <w:color w:val="auto"/>
              </w:rPr>
              <w:t>Gross</w:t>
            </w:r>
          </w:p>
        </w:tc>
        <w:tc>
          <w:tcPr>
            <w:tcW w:w="300" w:type="dxa"/>
            <w:vAlign w:val="bottom"/>
          </w:tcPr>
          <w:p>
            <w:pPr>
              <w:spacing w:after="0"/>
              <w:rPr>
                <w:sz w:val="24"/>
                <w:szCs w:val="24"/>
                <w:color w:val="auto"/>
              </w:rPr>
            </w:pPr>
          </w:p>
        </w:tc>
        <w:tc>
          <w:tcPr>
            <w:tcW w:w="1160" w:type="dxa"/>
            <w:vAlign w:val="bottom"/>
          </w:tcPr>
          <w:p>
            <w:pPr>
              <w:jc w:val="right"/>
              <w:ind w:right="100"/>
              <w:spacing w:after="0"/>
              <w:rPr>
                <w:sz w:val="20"/>
                <w:szCs w:val="20"/>
                <w:color w:val="auto"/>
              </w:rPr>
            </w:pPr>
            <w:r>
              <w:rPr>
                <w:rFonts w:ascii="Arial" w:cs="Arial" w:eastAsia="Arial" w:hAnsi="Arial"/>
                <w:sz w:val="20"/>
                <w:szCs w:val="20"/>
                <w:color w:val="auto"/>
              </w:rPr>
              <w:t>Gross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0"/>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20"/>
                <w:szCs w:val="20"/>
                <w:color w:val="auto"/>
              </w:rPr>
              <w:t>Amortized</w:t>
            </w:r>
          </w:p>
        </w:tc>
        <w:tc>
          <w:tcPr>
            <w:tcW w:w="260" w:type="dxa"/>
            <w:vAlign w:val="bottom"/>
          </w:tcPr>
          <w:p>
            <w:pPr>
              <w:spacing w:after="0"/>
              <w:rPr>
                <w:sz w:val="24"/>
                <w:szCs w:val="24"/>
                <w:color w:val="auto"/>
              </w:rPr>
            </w:pPr>
          </w:p>
        </w:tc>
        <w:tc>
          <w:tcPr>
            <w:tcW w:w="1080" w:type="dxa"/>
            <w:vAlign w:val="bottom"/>
          </w:tcPr>
          <w:p>
            <w:pPr>
              <w:jc w:val="right"/>
              <w:ind w:right="40"/>
              <w:spacing w:after="0"/>
              <w:rPr>
                <w:sz w:val="20"/>
                <w:szCs w:val="20"/>
                <w:color w:val="auto"/>
              </w:rPr>
            </w:pPr>
            <w:r>
              <w:rPr>
                <w:rFonts w:ascii="Arial" w:cs="Arial" w:eastAsia="Arial" w:hAnsi="Arial"/>
                <w:sz w:val="20"/>
                <w:szCs w:val="20"/>
                <w:color w:val="auto"/>
                <w:w w:val="96"/>
              </w:rPr>
              <w:t>Unrealized</w:t>
            </w:r>
          </w:p>
        </w:tc>
        <w:tc>
          <w:tcPr>
            <w:tcW w:w="300" w:type="dxa"/>
            <w:vAlign w:val="bottom"/>
          </w:tcPr>
          <w:p>
            <w:pPr>
              <w:spacing w:after="0"/>
              <w:rPr>
                <w:sz w:val="24"/>
                <w:szCs w:val="24"/>
                <w:color w:val="auto"/>
              </w:rPr>
            </w:pPr>
          </w:p>
        </w:tc>
        <w:tc>
          <w:tcPr>
            <w:tcW w:w="1160" w:type="dxa"/>
            <w:vAlign w:val="bottom"/>
          </w:tcPr>
          <w:p>
            <w:pPr>
              <w:jc w:val="right"/>
              <w:ind w:right="100"/>
              <w:spacing w:after="0"/>
              <w:rPr>
                <w:sz w:val="20"/>
                <w:szCs w:val="20"/>
                <w:color w:val="auto"/>
              </w:rPr>
            </w:pPr>
            <w:r>
              <w:rPr>
                <w:rFonts w:ascii="Arial" w:cs="Arial" w:eastAsia="Arial" w:hAnsi="Arial"/>
                <w:sz w:val="20"/>
                <w:szCs w:val="20"/>
                <w:color w:val="auto"/>
                <w:w w:val="98"/>
              </w:rPr>
              <w:t>Unrealized</w:t>
            </w:r>
          </w:p>
        </w:tc>
        <w:tc>
          <w:tcPr>
            <w:tcW w:w="18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20"/>
                <w:szCs w:val="20"/>
                <w:color w:val="auto"/>
              </w:rPr>
              <w:t>Estimated</w:t>
            </w:r>
          </w:p>
        </w:tc>
      </w:tr>
      <w:tr>
        <w:trPr>
          <w:trHeight w:val="300"/>
        </w:trPr>
        <w:tc>
          <w:tcPr>
            <w:tcW w:w="4260" w:type="dxa"/>
            <w:vAlign w:val="bottom"/>
            <w:gridSpan w:val="3"/>
          </w:tcPr>
          <w:p>
            <w:pPr>
              <w:spacing w:after="0"/>
              <w:rPr>
                <w:sz w:val="20"/>
                <w:szCs w:val="20"/>
                <w:color w:val="auto"/>
              </w:rPr>
            </w:pPr>
            <w:r>
              <w:rPr>
                <w:rFonts w:ascii="Arial" w:cs="Arial" w:eastAsia="Arial" w:hAnsi="Arial"/>
                <w:sz w:val="20"/>
                <w:szCs w:val="20"/>
                <w:i w:val="1"/>
                <w:iCs w:val="1"/>
                <w:color w:val="auto"/>
              </w:rPr>
              <w:t>(In thousands)</w:t>
            </w:r>
          </w:p>
        </w:tc>
        <w:tc>
          <w:tcPr>
            <w:tcW w:w="34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Cost</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Gains</w:t>
            </w:r>
          </w:p>
        </w:tc>
        <w:tc>
          <w:tcPr>
            <w:tcW w:w="30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Losses</w:t>
            </w:r>
          </w:p>
        </w:tc>
        <w:tc>
          <w:tcPr>
            <w:tcW w:w="18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20"/>
                <w:szCs w:val="20"/>
                <w:color w:val="auto"/>
              </w:rPr>
              <w:t>Fair Value</w:t>
            </w:r>
          </w:p>
        </w:tc>
      </w:tr>
      <w:tr>
        <w:trPr>
          <w:trHeight w:val="51"/>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42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20"/>
                <w:szCs w:val="20"/>
                <w:b w:val="1"/>
                <w:bCs w:val="1"/>
                <w:i w:val="1"/>
                <w:iCs w:val="1"/>
                <w:color w:val="auto"/>
              </w:rPr>
              <w:t>Available-for-Sale Portfolio</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54"/>
        </w:trPr>
        <w:tc>
          <w:tcPr>
            <w:tcW w:w="4260" w:type="dxa"/>
            <w:vAlign w:val="bottom"/>
            <w:gridSpan w:val="3"/>
          </w:tcPr>
          <w:p>
            <w:pPr>
              <w:spacing w:after="0"/>
              <w:rPr>
                <w:sz w:val="20"/>
                <w:szCs w:val="20"/>
                <w:color w:val="auto"/>
              </w:rPr>
            </w:pPr>
            <w:r>
              <w:rPr>
                <w:rFonts w:ascii="Arial" w:cs="Arial" w:eastAsia="Arial" w:hAnsi="Arial"/>
                <w:sz w:val="20"/>
                <w:szCs w:val="20"/>
                <w:color w:val="auto"/>
              </w:rPr>
              <w:t>Debt investment securities:</w:t>
            </w: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1"/>
        </w:trPr>
        <w:tc>
          <w:tcPr>
            <w:tcW w:w="21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US Treasury, agencies and GSEs</w:t>
            </w:r>
          </w:p>
        </w:tc>
        <w:tc>
          <w:tcPr>
            <w:tcW w:w="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67,067</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408</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(2,460)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65,015</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State and political subdivisions</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35,580</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94</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(1,756)</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33,918</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Corporate</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7,737</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286</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(81)</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7,942</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Asset backed securities</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15,705</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(112)</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15,612</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Residential mortgage-backed - US agency</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49,632</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437</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(1,054)</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49,015</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w w:val="97"/>
              </w:rPr>
              <w:t>Collateralized mortgage obligations - US agency</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18,882</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183</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(682)</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18,383</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w w:val="94"/>
              </w:rPr>
              <w:t>Collateralized mortgage obligations - Private label</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87,832</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513</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(1,621)</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86,724</w:t>
            </w:r>
          </w:p>
        </w:tc>
      </w:tr>
      <w:tr>
        <w:trPr>
          <w:trHeight w:val="274"/>
        </w:trPr>
        <w:tc>
          <w:tcPr>
            <w:tcW w:w="4260" w:type="dxa"/>
            <w:vAlign w:val="bottom"/>
            <w:gridSpan w:val="3"/>
          </w:tcPr>
          <w:p>
            <w:pPr>
              <w:ind w:left="160"/>
              <w:spacing w:after="0"/>
              <w:rPr>
                <w:sz w:val="20"/>
                <w:szCs w:val="20"/>
                <w:color w:val="auto"/>
              </w:rPr>
            </w:pPr>
            <w:r>
              <w:rPr>
                <w:rFonts w:ascii="Arial" w:cs="Arial" w:eastAsia="Arial" w:hAnsi="Arial"/>
                <w:sz w:val="20"/>
                <w:szCs w:val="20"/>
                <w:color w:val="auto"/>
              </w:rPr>
              <w:t>Total</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w w:val="96"/>
              </w:rPr>
              <w:t>282,435</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1,940</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(7,766)</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276,609</w:t>
            </w:r>
          </w:p>
        </w:tc>
      </w:tr>
      <w:tr>
        <w:trPr>
          <w:trHeight w:val="51"/>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23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20"/>
                <w:szCs w:val="20"/>
                <w:color w:val="auto"/>
                <w:w w:val="90"/>
              </w:rPr>
              <w:t>Equity investment securities:</w:t>
            </w:r>
          </w:p>
        </w:tc>
        <w:tc>
          <w:tcPr>
            <w:tcW w:w="19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Common stock - financial services industry</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206</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206</w:t>
            </w:r>
          </w:p>
        </w:tc>
      </w:tr>
      <w:tr>
        <w:trPr>
          <w:trHeight w:val="51"/>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FF0FC"/>
            </w:tcBorders>
            <w:gridSpan w:val="3"/>
            <w:shd w:val="clear" w:color="auto" w:fill="CFF0FC"/>
          </w:tcPr>
          <w:p>
            <w:pPr>
              <w:ind w:left="160"/>
              <w:spacing w:after="0"/>
              <w:rPr>
                <w:sz w:val="20"/>
                <w:szCs w:val="20"/>
                <w:color w:val="auto"/>
              </w:rPr>
            </w:pPr>
            <w:r>
              <w:rPr>
                <w:rFonts w:ascii="Arial" w:cs="Arial" w:eastAsia="Arial" w:hAnsi="Arial"/>
                <w:sz w:val="20"/>
                <w:szCs w:val="20"/>
                <w:color w:val="auto"/>
              </w:rPr>
              <w:t>Total</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206</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206</w:t>
            </w:r>
          </w:p>
        </w:tc>
      </w:tr>
      <w:tr>
        <w:trPr>
          <w:trHeight w:val="274"/>
        </w:trPr>
        <w:tc>
          <w:tcPr>
            <w:tcW w:w="4260" w:type="dxa"/>
            <w:vAlign w:val="bottom"/>
            <w:gridSpan w:val="3"/>
          </w:tcPr>
          <w:p>
            <w:pPr>
              <w:spacing w:after="0"/>
              <w:rPr>
                <w:sz w:val="20"/>
                <w:szCs w:val="20"/>
                <w:color w:val="auto"/>
              </w:rPr>
            </w:pPr>
            <w:r>
              <w:rPr>
                <w:rFonts w:ascii="Arial" w:cs="Arial" w:eastAsia="Arial" w:hAnsi="Arial"/>
                <w:sz w:val="20"/>
                <w:szCs w:val="20"/>
                <w:color w:val="auto"/>
              </w:rPr>
              <w:t>Total available-for-sale</w:t>
            </w:r>
          </w:p>
        </w:tc>
        <w:tc>
          <w:tcPr>
            <w:tcW w:w="340" w:type="dxa"/>
            <w:vAlign w:val="bottom"/>
          </w:tcPr>
          <w:p>
            <w:pPr>
              <w:ind w:left="16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w w:val="96"/>
              </w:rPr>
              <w:t>282,641</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1,940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(7,766)</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276,815</w:t>
            </w:r>
          </w:p>
        </w:tc>
      </w:tr>
      <w:tr>
        <w:trPr>
          <w:trHeight w:val="86"/>
        </w:trPr>
        <w:tc>
          <w:tcPr>
            <w:tcW w:w="2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314"/>
        </w:trPr>
        <w:tc>
          <w:tcPr>
            <w:tcW w:w="21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9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r>
      <w:tr>
        <w:trPr>
          <w:trHeight w:val="274"/>
        </w:trPr>
        <w:tc>
          <w:tcPr>
            <w:tcW w:w="42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Held-to-Maturity Portfolio</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2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Debt investment securities:</w:t>
            </w:r>
          </w:p>
        </w:tc>
        <w:tc>
          <w:tcPr>
            <w:tcW w:w="208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US Treasury, agencies and GSEs</w:t>
            </w:r>
          </w:p>
        </w:tc>
        <w:tc>
          <w:tcPr>
            <w:tcW w:w="340" w:type="dxa"/>
            <w:vAlign w:val="bottom"/>
          </w:tcPr>
          <w:p>
            <w:pPr>
              <w:ind w:left="16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3,559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(162)</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3,397</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State and political subdivisions</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14,594</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(1,241)</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13,375</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Corporate</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25,530</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(1,345)</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24,199</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Asset backed securities</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15,064</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(874)</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14,206</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Residential mortgage-backed - US agency</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7,640</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42</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(371)</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7,311</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w w:val="97"/>
              </w:rPr>
              <w:t>Collateralized mortgage obligations - US agency</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10,035</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(913)</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9,124</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w w:val="94"/>
              </w:rPr>
              <w:t>Collateralized mortgage obligations - Private label</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54,078</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294</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(786)</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53,586</w:t>
            </w:r>
          </w:p>
        </w:tc>
      </w:tr>
      <w:tr>
        <w:trPr>
          <w:trHeight w:val="51"/>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Total</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6"/>
              </w:rPr>
              <w:t>130,500</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390</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(5,692)</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125,198</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Less: Allowance for credit losses</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176</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51"/>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4"/>
        </w:trPr>
        <w:tc>
          <w:tcPr>
            <w:tcW w:w="42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held-to-maturity</w:t>
            </w:r>
          </w:p>
        </w:tc>
        <w:tc>
          <w:tcPr>
            <w:tcW w:w="3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w w:val="96"/>
              </w:rPr>
              <w:t>130,324</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(5,692)</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125,198</w:t>
            </w:r>
          </w:p>
        </w:tc>
      </w:tr>
      <w:tr>
        <w:trPr>
          <w:trHeight w:val="86"/>
        </w:trPr>
        <w:tc>
          <w:tcPr>
            <w:tcW w:w="21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94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1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-6078220</wp:posOffset>
            </wp:positionV>
            <wp:extent cx="3154045"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15404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-5491480</wp:posOffset>
            </wp:positionV>
            <wp:extent cx="596773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-3688080</wp:posOffset>
            </wp:positionV>
            <wp:extent cx="596773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-3482340</wp:posOffset>
            </wp:positionV>
            <wp:extent cx="596773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-3076575</wp:posOffset>
            </wp:positionV>
            <wp:extent cx="596773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-2870835</wp:posOffset>
            </wp:positionV>
            <wp:extent cx="596773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-2664460</wp:posOffset>
            </wp:positionV>
            <wp:extent cx="5967730" cy="285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-639445</wp:posOffset>
            </wp:positionV>
            <wp:extent cx="596773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30</w:t>
      </w:r>
    </w:p>
    <w:p>
      <w:pPr>
        <w:sectPr>
          <w:pgSz w:w="11900" w:h="16838" w:orient="portrait"/>
          <w:cols w:equalWidth="0" w:num="1">
            <w:col w:w="9400"/>
          </w:cols>
          <w:pgMar w:left="1260" w:top="1440" w:right="1246" w:bottom="0"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3"/>
          </w:tcPr>
          <w:p>
            <w:pPr>
              <w:jc w:val="right"/>
              <w:ind w:right="500"/>
              <w:spacing w:after="0"/>
              <w:rPr>
                <w:sz w:val="20"/>
                <w:szCs w:val="20"/>
                <w:color w:val="auto"/>
              </w:rPr>
            </w:pPr>
            <w:r>
              <w:rPr>
                <w:rFonts w:ascii="Arial" w:cs="Arial" w:eastAsia="Arial" w:hAnsi="Arial"/>
                <w:sz w:val="20"/>
                <w:szCs w:val="20"/>
                <w:color w:val="auto"/>
              </w:rPr>
              <w:t>December 31, 2024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24"/>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Arial" w:cs="Arial" w:eastAsia="Arial" w:hAnsi="Arial"/>
                <w:sz w:val="20"/>
                <w:szCs w:val="20"/>
                <w:color w:val="auto"/>
              </w:rPr>
              <w:t>Gross</w:t>
            </w:r>
          </w:p>
        </w:tc>
        <w:tc>
          <w:tcPr>
            <w:tcW w:w="280" w:type="dxa"/>
            <w:vAlign w:val="bottom"/>
          </w:tcPr>
          <w:p>
            <w:pPr>
              <w:spacing w:after="0"/>
              <w:rPr>
                <w:sz w:val="24"/>
                <w:szCs w:val="24"/>
                <w:color w:val="auto"/>
              </w:rPr>
            </w:pPr>
          </w:p>
        </w:tc>
        <w:tc>
          <w:tcPr>
            <w:tcW w:w="1160" w:type="dxa"/>
            <w:vAlign w:val="bottom"/>
          </w:tcPr>
          <w:p>
            <w:pPr>
              <w:jc w:val="right"/>
              <w:ind w:right="100"/>
              <w:spacing w:after="0"/>
              <w:rPr>
                <w:sz w:val="20"/>
                <w:szCs w:val="20"/>
                <w:color w:val="auto"/>
              </w:rPr>
            </w:pPr>
            <w:r>
              <w:rPr>
                <w:rFonts w:ascii="Arial" w:cs="Arial" w:eastAsia="Arial" w:hAnsi="Arial"/>
                <w:sz w:val="20"/>
                <w:szCs w:val="20"/>
                <w:color w:val="auto"/>
              </w:rPr>
              <w:t>Gross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0"/>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Arial" w:cs="Arial" w:eastAsia="Arial" w:hAnsi="Arial"/>
                <w:sz w:val="20"/>
                <w:szCs w:val="20"/>
                <w:color w:val="auto"/>
              </w:rPr>
              <w:t>Amortized</w:t>
            </w:r>
          </w:p>
        </w:tc>
        <w:tc>
          <w:tcPr>
            <w:tcW w:w="28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Arial" w:cs="Arial" w:eastAsia="Arial" w:hAnsi="Arial"/>
                <w:sz w:val="20"/>
                <w:szCs w:val="20"/>
                <w:color w:val="auto"/>
                <w:w w:val="96"/>
              </w:rPr>
              <w:t>Unrealized</w:t>
            </w:r>
          </w:p>
        </w:tc>
        <w:tc>
          <w:tcPr>
            <w:tcW w:w="280" w:type="dxa"/>
            <w:vAlign w:val="bottom"/>
          </w:tcPr>
          <w:p>
            <w:pPr>
              <w:spacing w:after="0"/>
              <w:rPr>
                <w:sz w:val="24"/>
                <w:szCs w:val="24"/>
                <w:color w:val="auto"/>
              </w:rPr>
            </w:pPr>
          </w:p>
        </w:tc>
        <w:tc>
          <w:tcPr>
            <w:tcW w:w="1160" w:type="dxa"/>
            <w:vAlign w:val="bottom"/>
          </w:tcPr>
          <w:p>
            <w:pPr>
              <w:jc w:val="right"/>
              <w:ind w:right="100"/>
              <w:spacing w:after="0"/>
              <w:rPr>
                <w:sz w:val="20"/>
                <w:szCs w:val="20"/>
                <w:color w:val="auto"/>
              </w:rPr>
            </w:pPr>
            <w:r>
              <w:rPr>
                <w:rFonts w:ascii="Arial" w:cs="Arial" w:eastAsia="Arial" w:hAnsi="Arial"/>
                <w:sz w:val="20"/>
                <w:szCs w:val="20"/>
                <w:color w:val="auto"/>
                <w:w w:val="98"/>
              </w:rPr>
              <w:t>Unrealized</w:t>
            </w:r>
          </w:p>
        </w:tc>
        <w:tc>
          <w:tcPr>
            <w:tcW w:w="18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20"/>
                <w:szCs w:val="20"/>
                <w:color w:val="auto"/>
              </w:rPr>
              <w:t>Estimated</w:t>
            </w:r>
          </w:p>
        </w:tc>
      </w:tr>
      <w:tr>
        <w:trPr>
          <w:trHeight w:val="300"/>
        </w:trPr>
        <w:tc>
          <w:tcPr>
            <w:tcW w:w="4260" w:type="dxa"/>
            <w:vAlign w:val="bottom"/>
            <w:gridSpan w:val="3"/>
          </w:tcPr>
          <w:p>
            <w:pPr>
              <w:spacing w:after="0"/>
              <w:rPr>
                <w:sz w:val="20"/>
                <w:szCs w:val="20"/>
                <w:color w:val="auto"/>
              </w:rPr>
            </w:pPr>
            <w:r>
              <w:rPr>
                <w:rFonts w:ascii="Arial" w:cs="Arial" w:eastAsia="Arial" w:hAnsi="Arial"/>
                <w:sz w:val="20"/>
                <w:szCs w:val="20"/>
                <w:i w:val="1"/>
                <w:iCs w:val="1"/>
                <w:color w:val="auto"/>
              </w:rPr>
              <w:t>(In thousands)</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Cost</w:t>
            </w:r>
          </w:p>
        </w:tc>
        <w:tc>
          <w:tcPr>
            <w:tcW w:w="28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Gains</w:t>
            </w:r>
          </w:p>
        </w:tc>
        <w:tc>
          <w:tcPr>
            <w:tcW w:w="28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Losses</w:t>
            </w:r>
          </w:p>
        </w:tc>
        <w:tc>
          <w:tcPr>
            <w:tcW w:w="18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20"/>
                <w:szCs w:val="20"/>
                <w:color w:val="auto"/>
              </w:rPr>
              <w:t>Fair Value</w:t>
            </w:r>
          </w:p>
        </w:tc>
      </w:tr>
      <w:tr>
        <w:trPr>
          <w:trHeight w:val="324"/>
        </w:trPr>
        <w:tc>
          <w:tcPr>
            <w:tcW w:w="42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Available-for-Sale Portfolio</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2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Debt investment securities:</w:t>
            </w:r>
          </w:p>
        </w:tc>
        <w:tc>
          <w:tcPr>
            <w:tcW w:w="208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US Treasury, agencies and GSEs</w:t>
            </w:r>
          </w:p>
        </w:tc>
        <w:tc>
          <w:tcPr>
            <w:tcW w:w="340" w:type="dxa"/>
            <w:vAlign w:val="bottom"/>
          </w:tcPr>
          <w:p>
            <w:pPr>
              <w:ind w:left="1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73,888</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371</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(3,834)</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70,425</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State and political subdivisions</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35,128</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122</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(1,928)</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33,322</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Corporate</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10,956</w:t>
            </w:r>
          </w:p>
        </w:tc>
        <w:tc>
          <w:tcPr>
            <w:tcW w:w="28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209</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(284)</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10,881</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Asset backed securities</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18,934</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(473)</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18,487</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Residential mortgage-backed - US agency</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40,636</w:t>
            </w:r>
          </w:p>
        </w:tc>
        <w:tc>
          <w:tcPr>
            <w:tcW w:w="28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35</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(1,500)</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39,171</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w w:val="97"/>
              </w:rPr>
              <w:t>Collateralized mortgage obligations - US agency</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14,376</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45</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(891)</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13,530</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w w:val="94"/>
              </w:rPr>
              <w:t>Collateralized mortgage obligations - Private label</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85,426</w:t>
            </w:r>
          </w:p>
        </w:tc>
        <w:tc>
          <w:tcPr>
            <w:tcW w:w="28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158</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(2,275)</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83,309</w:t>
            </w:r>
          </w:p>
        </w:tc>
      </w:tr>
      <w:tr>
        <w:trPr>
          <w:trHeight w:val="51"/>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FF0FC"/>
            </w:tcBorders>
            <w:gridSpan w:val="3"/>
            <w:shd w:val="clear" w:color="auto" w:fill="CFF0FC"/>
          </w:tcPr>
          <w:p>
            <w:pPr>
              <w:ind w:left="160"/>
              <w:spacing w:after="0"/>
              <w:rPr>
                <w:sz w:val="20"/>
                <w:szCs w:val="20"/>
                <w:color w:val="auto"/>
              </w:rPr>
            </w:pPr>
            <w:r>
              <w:rPr>
                <w:rFonts w:ascii="Arial" w:cs="Arial" w:eastAsia="Arial" w:hAnsi="Arial"/>
                <w:sz w:val="20"/>
                <w:szCs w:val="20"/>
                <w:color w:val="auto"/>
              </w:rPr>
              <w:t>Total</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6"/>
              </w:rPr>
              <w:t>279,344</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966</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(11,185)</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269,125</w:t>
            </w:r>
          </w:p>
        </w:tc>
      </w:tr>
      <w:tr>
        <w:trPr>
          <w:trHeight w:val="254"/>
        </w:trPr>
        <w:tc>
          <w:tcPr>
            <w:tcW w:w="4260" w:type="dxa"/>
            <w:vAlign w:val="bottom"/>
            <w:gridSpan w:val="3"/>
          </w:tcPr>
          <w:p>
            <w:pPr>
              <w:spacing w:after="0"/>
              <w:rPr>
                <w:sz w:val="20"/>
                <w:szCs w:val="20"/>
                <w:color w:val="auto"/>
              </w:rPr>
            </w:pPr>
            <w:r>
              <w:rPr>
                <w:rFonts w:ascii="Arial" w:cs="Arial" w:eastAsia="Arial" w:hAnsi="Arial"/>
                <w:sz w:val="20"/>
                <w:szCs w:val="20"/>
                <w:color w:val="auto"/>
              </w:rPr>
              <w:t>Equity investment securities:</w:t>
            </w: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1"/>
        </w:trPr>
        <w:tc>
          <w:tcPr>
            <w:tcW w:w="21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Common stock - financial services industry</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206</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206</w:t>
            </w:r>
          </w:p>
        </w:tc>
      </w:tr>
      <w:tr>
        <w:trPr>
          <w:trHeight w:val="274"/>
        </w:trPr>
        <w:tc>
          <w:tcPr>
            <w:tcW w:w="4260" w:type="dxa"/>
            <w:vAlign w:val="bottom"/>
            <w:gridSpan w:val="3"/>
          </w:tcPr>
          <w:p>
            <w:pPr>
              <w:ind w:left="160"/>
              <w:spacing w:after="0"/>
              <w:rPr>
                <w:sz w:val="20"/>
                <w:szCs w:val="20"/>
                <w:color w:val="auto"/>
              </w:rPr>
            </w:pPr>
            <w:r>
              <w:rPr>
                <w:rFonts w:ascii="Arial" w:cs="Arial" w:eastAsia="Arial" w:hAnsi="Arial"/>
                <w:sz w:val="20"/>
                <w:szCs w:val="20"/>
                <w:color w:val="auto"/>
              </w:rPr>
              <w:t>Total</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206</w:t>
            </w:r>
          </w:p>
        </w:tc>
        <w:tc>
          <w:tcPr>
            <w:tcW w:w="28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206</w:t>
            </w:r>
          </w:p>
        </w:tc>
      </w:tr>
      <w:tr>
        <w:trPr>
          <w:trHeight w:val="51"/>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4"/>
        </w:trPr>
        <w:tc>
          <w:tcPr>
            <w:tcW w:w="42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available-for-sale</w:t>
            </w:r>
          </w:p>
        </w:tc>
        <w:tc>
          <w:tcPr>
            <w:tcW w:w="3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279,550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966</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(11,185)</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269,331</w:t>
            </w:r>
          </w:p>
        </w:tc>
      </w:tr>
      <w:tr>
        <w:trPr>
          <w:trHeight w:val="86"/>
        </w:trPr>
        <w:tc>
          <w:tcPr>
            <w:tcW w:w="21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94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1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r>
      <w:tr>
        <w:trPr>
          <w:trHeight w:val="314"/>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4"/>
        </w:trPr>
        <w:tc>
          <w:tcPr>
            <w:tcW w:w="42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20"/>
                <w:szCs w:val="20"/>
                <w:b w:val="1"/>
                <w:bCs w:val="1"/>
                <w:i w:val="1"/>
                <w:iCs w:val="1"/>
                <w:color w:val="auto"/>
              </w:rPr>
              <w:t>Held-to-Maturity Portfolio</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54"/>
        </w:trPr>
        <w:tc>
          <w:tcPr>
            <w:tcW w:w="4260" w:type="dxa"/>
            <w:vAlign w:val="bottom"/>
            <w:gridSpan w:val="3"/>
          </w:tcPr>
          <w:p>
            <w:pPr>
              <w:spacing w:after="0"/>
              <w:rPr>
                <w:sz w:val="20"/>
                <w:szCs w:val="20"/>
                <w:color w:val="auto"/>
              </w:rPr>
            </w:pPr>
            <w:r>
              <w:rPr>
                <w:rFonts w:ascii="Arial" w:cs="Arial" w:eastAsia="Arial" w:hAnsi="Arial"/>
                <w:sz w:val="20"/>
                <w:szCs w:val="20"/>
                <w:color w:val="auto"/>
              </w:rPr>
              <w:t>Debt investment securities:</w:t>
            </w: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1"/>
        </w:trPr>
        <w:tc>
          <w:tcPr>
            <w:tcW w:w="21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US Treasury, agencies and GSEs</w:t>
            </w:r>
          </w:p>
        </w:tc>
        <w:tc>
          <w:tcPr>
            <w:tcW w:w="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3,648</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(282)</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3,366</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State and political subdivisions</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17,153</w:t>
            </w:r>
          </w:p>
        </w:tc>
        <w:tc>
          <w:tcPr>
            <w:tcW w:w="28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10</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(1,833)</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15,330</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Corporate</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43,628</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23</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(1,740)</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41,911</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Asset backed securities</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13,050</w:t>
            </w:r>
          </w:p>
        </w:tc>
        <w:tc>
          <w:tcPr>
            <w:tcW w:w="28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8</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(557)</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12,501</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Residential mortgage-backed - US agency</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9,575</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32</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(728)</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8,879</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w w:val="97"/>
              </w:rPr>
              <w:t>Collateralized mortgage obligations - US agency</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11,940</w:t>
            </w:r>
          </w:p>
        </w:tc>
        <w:tc>
          <w:tcPr>
            <w:tcW w:w="28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3</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(1,223)</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10,720</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w w:val="94"/>
              </w:rPr>
              <w:t>Collateralized mortgage obligations - Private label</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59,946</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40</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(1,670)</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58,316</w:t>
            </w:r>
          </w:p>
        </w:tc>
      </w:tr>
      <w:tr>
        <w:trPr>
          <w:trHeight w:val="274"/>
        </w:trPr>
        <w:tc>
          <w:tcPr>
            <w:tcW w:w="4260" w:type="dxa"/>
            <w:vAlign w:val="bottom"/>
            <w:gridSpan w:val="3"/>
          </w:tcPr>
          <w:p>
            <w:pPr>
              <w:ind w:left="80"/>
              <w:spacing w:after="0"/>
              <w:rPr>
                <w:sz w:val="20"/>
                <w:szCs w:val="20"/>
                <w:color w:val="auto"/>
              </w:rPr>
            </w:pPr>
            <w:r>
              <w:rPr>
                <w:rFonts w:ascii="Arial" w:cs="Arial" w:eastAsia="Arial" w:hAnsi="Arial"/>
                <w:sz w:val="20"/>
                <w:szCs w:val="20"/>
                <w:color w:val="auto"/>
              </w:rPr>
              <w:t>Total</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6"/>
              </w:rPr>
              <w:t>158,940</w:t>
            </w:r>
          </w:p>
        </w:tc>
        <w:tc>
          <w:tcPr>
            <w:tcW w:w="28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116</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(8,033)</w:t>
            </w:r>
          </w:p>
        </w:tc>
        <w:tc>
          <w:tcPr>
            <w:tcW w:w="1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151,023</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26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Less: Allowance for credit losses</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257</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4260" w:type="dxa"/>
            <w:vAlign w:val="bottom"/>
            <w:gridSpan w:val="3"/>
          </w:tcPr>
          <w:p>
            <w:pPr>
              <w:spacing w:after="0"/>
              <w:rPr>
                <w:sz w:val="20"/>
                <w:szCs w:val="20"/>
                <w:color w:val="auto"/>
              </w:rPr>
            </w:pPr>
            <w:r>
              <w:rPr>
                <w:rFonts w:ascii="Arial" w:cs="Arial" w:eastAsia="Arial" w:hAnsi="Arial"/>
                <w:sz w:val="20"/>
                <w:szCs w:val="20"/>
                <w:color w:val="auto"/>
              </w:rPr>
              <w:t>Total held-to-maturity</w:t>
            </w:r>
          </w:p>
        </w:tc>
        <w:tc>
          <w:tcPr>
            <w:tcW w:w="340" w:type="dxa"/>
            <w:vAlign w:val="bottom"/>
          </w:tcPr>
          <w:p>
            <w:pPr>
              <w:ind w:left="1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6"/>
              </w:rPr>
              <w:t>158,683</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116</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(8,033)</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151,023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-6024245</wp:posOffset>
            </wp:positionV>
            <wp:extent cx="315658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15658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-5436870</wp:posOffset>
            </wp:positionV>
            <wp:extent cx="596773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-3634105</wp:posOffset>
            </wp:positionV>
            <wp:extent cx="596773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-3427730</wp:posOffset>
            </wp:positionV>
            <wp:extent cx="5967730"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-3021965</wp:posOffset>
            </wp:positionV>
            <wp:extent cx="596773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-2816225</wp:posOffset>
            </wp:positionV>
            <wp:extent cx="596773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-2610485</wp:posOffset>
            </wp:positionV>
            <wp:extent cx="5967730" cy="285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-585470</wp:posOffset>
            </wp:positionV>
            <wp:extent cx="5967730"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45" w:lineRule="exact"/>
        <w:rPr>
          <w:sz w:val="20"/>
          <w:szCs w:val="20"/>
          <w:color w:val="auto"/>
        </w:rPr>
      </w:pPr>
    </w:p>
    <w:p>
      <w:pPr>
        <w:jc w:val="both"/>
        <w:ind w:right="60"/>
        <w:spacing w:after="0" w:line="359" w:lineRule="auto"/>
        <w:rPr>
          <w:sz w:val="20"/>
          <w:szCs w:val="20"/>
          <w:color w:val="auto"/>
        </w:rPr>
      </w:pPr>
      <w:r>
        <w:rPr>
          <w:rFonts w:ascii="Arial" w:cs="Arial" w:eastAsia="Arial" w:hAnsi="Arial"/>
          <w:sz w:val="18"/>
          <w:szCs w:val="18"/>
          <w:color w:val="auto"/>
        </w:rPr>
        <w:t>A substantial percentage of the Company’s investments in mortgage-backed securities include pass-through securities and collateralized mortgage obligations issued and guaranteed by Fannie Mae, Freddie Mac, and Ginnie Mae. At December 31, 2025, the Company also held a total of 114 private-label mortgage-backed securities, collateralized mortgage obligations or asset-backed securities with an aggregate book balance of $172.7 million. At December 31, 2024, the Company also held a total of 115 private-label mortgage-backed securities, collateralized mortgage obligations or asset-backed securities with an aggregate book balance of $177.4 million. These investments are relatively short-duration securities with significant credit enhancements. The Company’s investments in state and political obligation securities are generally municipal obligations that are categorized as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30</w:t>
      </w:r>
    </w:p>
    <w:p>
      <w:pPr>
        <w:sectPr>
          <w:pgSz w:w="11900" w:h="16838" w:orient="portrait"/>
          <w:cols w:equalWidth="0" w:num="1">
            <w:col w:w="9400"/>
          </w:cols>
          <w:pgMar w:left="1260" w:top="1440" w:right="1246" w:bottom="0" w:gutter="0" w:footer="0" w:header="0"/>
          <w:type w:val="continuous"/>
        </w:sectPr>
      </w:pPr>
    </w:p>
    <w:bookmarkStart w:id="149" w:name="page150"/>
    <w:bookmarkEnd w:id="149"/>
    <w:p>
      <w:pPr>
        <w:jc w:val="both"/>
        <w:spacing w:after="0" w:line="307" w:lineRule="auto"/>
        <w:rPr>
          <w:sz w:val="20"/>
          <w:szCs w:val="20"/>
          <w:color w:val="auto"/>
        </w:rPr>
      </w:pPr>
      <w:r>
        <w:rPr>
          <w:rFonts w:ascii="Arial" w:cs="Arial" w:eastAsia="Arial" w:hAnsi="Arial"/>
          <w:sz w:val="20"/>
          <w:szCs w:val="20"/>
          <w:color w:val="auto"/>
        </w:rPr>
        <w:t>general obligations of the issuer that are supported by the overall taxing authority of the issuer, and in some cases are insured. The obligations issued by school districts are generally supported by state administered insurance funds or credit enhancement programs.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 / 30</w:t>
      </w:r>
    </w:p>
    <w:p>
      <w:pPr>
        <w:sectPr>
          <w:pgSz w:w="11900" w:h="16838" w:orient="portrait"/>
          <w:cols w:equalWidth="0" w:num="1">
            <w:col w:w="9360"/>
          </w:cols>
          <w:pgMar w:left="1260" w:top="1173" w:right="1286" w:bottom="0" w:gutter="0" w:footer="0" w:header="0"/>
          <w:type w:val="continuous"/>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amortized cost and estimated fair value of debt investment securities at December 31, 2025 by contractual maturity are shown below. Expected maturities may differ from contractual maturities because borrowers may have the right to call or prepay obligations with or without penalties.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gridSpan w:val="3"/>
          </w:tcPr>
          <w:p>
            <w:pPr>
              <w:jc w:val="right"/>
              <w:ind w:right="300"/>
              <w:spacing w:after="0"/>
              <w:rPr>
                <w:sz w:val="20"/>
                <w:szCs w:val="20"/>
                <w:color w:val="auto"/>
              </w:rPr>
            </w:pPr>
            <w:r>
              <w:rPr>
                <w:rFonts w:ascii="Arial" w:cs="Arial" w:eastAsia="Arial" w:hAnsi="Arial"/>
                <w:sz w:val="20"/>
                <w:szCs w:val="20"/>
                <w:b w:val="1"/>
                <w:bCs w:val="1"/>
                <w:color w:val="auto"/>
              </w:rPr>
              <w:t>Available-for-Sale</w:t>
            </w:r>
          </w:p>
        </w:tc>
        <w:tc>
          <w:tcPr>
            <w:tcW w:w="240" w:type="dxa"/>
            <w:vAlign w:val="bottom"/>
          </w:tcPr>
          <w:p>
            <w:pPr>
              <w:spacing w:after="0"/>
              <w:rPr>
                <w:sz w:val="19"/>
                <w:szCs w:val="19"/>
                <w:color w:val="auto"/>
              </w:rPr>
            </w:pPr>
          </w:p>
        </w:tc>
        <w:tc>
          <w:tcPr>
            <w:tcW w:w="2140" w:type="dxa"/>
            <w:vAlign w:val="bottom"/>
            <w:gridSpan w:val="3"/>
          </w:tcPr>
          <w:p>
            <w:pPr>
              <w:jc w:val="right"/>
              <w:ind w:right="340"/>
              <w:spacing w:after="0"/>
              <w:rPr>
                <w:sz w:val="20"/>
                <w:szCs w:val="20"/>
                <w:color w:val="auto"/>
              </w:rPr>
            </w:pPr>
            <w:r>
              <w:rPr>
                <w:rFonts w:ascii="Arial" w:cs="Arial" w:eastAsia="Arial" w:hAnsi="Arial"/>
                <w:sz w:val="20"/>
                <w:szCs w:val="20"/>
                <w:b w:val="1"/>
                <w:bCs w:val="1"/>
                <w:color w:val="auto"/>
              </w:rPr>
              <w:t>Held-to-Maturity</w:t>
            </w:r>
          </w:p>
        </w:tc>
      </w:tr>
      <w:tr>
        <w:trPr>
          <w:trHeight w:val="310"/>
        </w:trPr>
        <w:tc>
          <w:tcPr>
            <w:tcW w:w="4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95"/>
              </w:rPr>
              <w:t>Amortized</w:t>
            </w:r>
          </w:p>
        </w:tc>
        <w:tc>
          <w:tcPr>
            <w:tcW w:w="20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4"/>
              </w:rPr>
              <w:t>Estimated</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w w:val="93"/>
              </w:rPr>
              <w:t>Amortized</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w w:val="94"/>
              </w:rPr>
              <w:t>Estimated</w:t>
            </w:r>
          </w:p>
        </w:tc>
      </w:tr>
      <w:tr>
        <w:trPr>
          <w:trHeight w:val="300"/>
        </w:trPr>
        <w:tc>
          <w:tcPr>
            <w:tcW w:w="440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Cost</w:t>
            </w:r>
          </w:p>
        </w:tc>
        <w:tc>
          <w:tcPr>
            <w:tcW w:w="20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2"/>
              </w:rPr>
              <w:t>Fair Value</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Cost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w w:val="92"/>
              </w:rPr>
              <w:t>Fair Value</w:t>
            </w:r>
          </w:p>
        </w:tc>
      </w:tr>
      <w:tr>
        <w:trPr>
          <w:trHeight w:val="51"/>
        </w:trPr>
        <w:tc>
          <w:tcPr>
            <w:tcW w:w="4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80"/>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Due in one year or less</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4,206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4,347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427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428</w:t>
            </w:r>
          </w:p>
        </w:tc>
      </w:tr>
      <w:tr>
        <w:trPr>
          <w:trHeight w:val="259"/>
        </w:trPr>
        <w:tc>
          <w:tcPr>
            <w:tcW w:w="4400" w:type="dxa"/>
            <w:vAlign w:val="bottom"/>
          </w:tcPr>
          <w:p>
            <w:pPr>
              <w:spacing w:after="0"/>
              <w:rPr>
                <w:sz w:val="20"/>
                <w:szCs w:val="20"/>
                <w:color w:val="auto"/>
              </w:rPr>
            </w:pPr>
            <w:r>
              <w:rPr>
                <w:rFonts w:ascii="Arial" w:cs="Arial" w:eastAsia="Arial" w:hAnsi="Arial"/>
                <w:sz w:val="20"/>
                <w:szCs w:val="20"/>
                <w:color w:val="auto"/>
              </w:rPr>
              <w:t>Due after one year through five years</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35,793</w:t>
            </w:r>
          </w:p>
        </w:tc>
        <w:tc>
          <w:tcPr>
            <w:tcW w:w="20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33,427</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28,299</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27,739</w:t>
            </w:r>
          </w:p>
        </w:tc>
      </w:tr>
      <w:tr>
        <w:trPr>
          <w:trHeight w:val="41"/>
        </w:trPr>
        <w:tc>
          <w:tcPr>
            <w:tcW w:w="4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0"/>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Due after five years through ten years</w:t>
            </w:r>
          </w:p>
        </w:tc>
        <w:tc>
          <w:tcPr>
            <w:tcW w:w="4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10,938</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10,361</w:t>
            </w: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13,736</w:t>
            </w:r>
          </w:p>
        </w:tc>
        <w:tc>
          <w:tcPr>
            <w:tcW w:w="2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11,798</w:t>
            </w:r>
          </w:p>
        </w:tc>
      </w:tr>
      <w:tr>
        <w:trPr>
          <w:trHeight w:val="259"/>
        </w:trPr>
        <w:tc>
          <w:tcPr>
            <w:tcW w:w="4400" w:type="dxa"/>
            <w:vAlign w:val="bottom"/>
          </w:tcPr>
          <w:p>
            <w:pPr>
              <w:spacing w:after="0"/>
              <w:rPr>
                <w:sz w:val="20"/>
                <w:szCs w:val="20"/>
                <w:color w:val="auto"/>
              </w:rPr>
            </w:pPr>
            <w:r>
              <w:rPr>
                <w:rFonts w:ascii="Arial" w:cs="Arial" w:eastAsia="Arial" w:hAnsi="Arial"/>
                <w:sz w:val="20"/>
                <w:szCs w:val="20"/>
                <w:color w:val="auto"/>
              </w:rPr>
              <w:t>Due after ten years</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75,152</w:t>
            </w:r>
          </w:p>
        </w:tc>
        <w:tc>
          <w:tcPr>
            <w:tcW w:w="20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74,352</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16,285</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15,212</w:t>
            </w:r>
          </w:p>
        </w:tc>
      </w:tr>
      <w:tr>
        <w:trPr>
          <w:trHeight w:val="51"/>
        </w:trPr>
        <w:tc>
          <w:tcPr>
            <w:tcW w:w="4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80"/>
        </w:trPr>
        <w:tc>
          <w:tcPr>
            <w:tcW w:w="44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Sub-total</w:t>
            </w:r>
          </w:p>
        </w:tc>
        <w:tc>
          <w:tcPr>
            <w:tcW w:w="4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126,089</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122,487</w:t>
            </w: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58,747</w:t>
            </w:r>
          </w:p>
        </w:tc>
        <w:tc>
          <w:tcPr>
            <w:tcW w:w="2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55,177</w:t>
            </w:r>
          </w:p>
        </w:tc>
      </w:tr>
      <w:tr>
        <w:trPr>
          <w:trHeight w:val="259"/>
        </w:trPr>
        <w:tc>
          <w:tcPr>
            <w:tcW w:w="4400" w:type="dxa"/>
            <w:vAlign w:val="bottom"/>
          </w:tcPr>
          <w:p>
            <w:pPr>
              <w:spacing w:after="0"/>
              <w:rPr>
                <w:sz w:val="20"/>
                <w:szCs w:val="20"/>
                <w:color w:val="auto"/>
              </w:rPr>
            </w:pPr>
            <w:r>
              <w:rPr>
                <w:rFonts w:ascii="Arial" w:cs="Arial" w:eastAsia="Arial" w:hAnsi="Arial"/>
                <w:sz w:val="20"/>
                <w:szCs w:val="20"/>
                <w:color w:val="auto"/>
              </w:rPr>
              <w:t>Residential mortgage-backed - US agency</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49,632</w:t>
            </w:r>
          </w:p>
        </w:tc>
        <w:tc>
          <w:tcPr>
            <w:tcW w:w="20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49,015</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7,640</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7,311</w:t>
            </w:r>
          </w:p>
        </w:tc>
      </w:tr>
      <w:tr>
        <w:trPr>
          <w:trHeight w:val="41"/>
        </w:trPr>
        <w:tc>
          <w:tcPr>
            <w:tcW w:w="4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0"/>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Collateralized mortgage obligations - US agency</w:t>
            </w:r>
          </w:p>
        </w:tc>
        <w:tc>
          <w:tcPr>
            <w:tcW w:w="4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18,882</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18,383</w:t>
            </w: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10,035</w:t>
            </w:r>
          </w:p>
        </w:tc>
        <w:tc>
          <w:tcPr>
            <w:tcW w:w="2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9,124</w:t>
            </w:r>
          </w:p>
        </w:tc>
      </w:tr>
      <w:tr>
        <w:trPr>
          <w:trHeight w:val="259"/>
        </w:trPr>
        <w:tc>
          <w:tcPr>
            <w:tcW w:w="4400" w:type="dxa"/>
            <w:vAlign w:val="bottom"/>
          </w:tcPr>
          <w:p>
            <w:pPr>
              <w:spacing w:after="0"/>
              <w:rPr>
                <w:sz w:val="20"/>
                <w:szCs w:val="20"/>
                <w:color w:val="auto"/>
              </w:rPr>
            </w:pPr>
            <w:r>
              <w:rPr>
                <w:rFonts w:ascii="Arial" w:cs="Arial" w:eastAsia="Arial" w:hAnsi="Arial"/>
                <w:sz w:val="20"/>
                <w:szCs w:val="20"/>
                <w:color w:val="auto"/>
                <w:w w:val="99"/>
              </w:rPr>
              <w:t>Collateralized mortgage obligations - Private label</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87,832</w:t>
            </w:r>
          </w:p>
        </w:tc>
        <w:tc>
          <w:tcPr>
            <w:tcW w:w="20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86,724</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54,078</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53,586</w:t>
            </w:r>
          </w:p>
        </w:tc>
      </w:tr>
      <w:tr>
        <w:trPr>
          <w:trHeight w:val="51"/>
        </w:trPr>
        <w:tc>
          <w:tcPr>
            <w:tcW w:w="4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9"/>
        </w:trPr>
        <w:tc>
          <w:tcPr>
            <w:tcW w:w="4400" w:type="dxa"/>
            <w:vAlign w:val="bottom"/>
            <w:shd w:val="clear" w:color="auto" w:fill="CFF0FC"/>
          </w:tcPr>
          <w:p>
            <w:pPr>
              <w:ind w:left="80"/>
              <w:spacing w:after="0"/>
              <w:rPr>
                <w:sz w:val="20"/>
                <w:szCs w:val="20"/>
                <w:color w:val="auto"/>
              </w:rPr>
            </w:pPr>
            <w:r>
              <w:rPr>
                <w:rFonts w:ascii="Arial" w:cs="Arial" w:eastAsia="Arial" w:hAnsi="Arial"/>
                <w:sz w:val="20"/>
                <w:szCs w:val="20"/>
                <w:color w:val="auto"/>
              </w:rPr>
              <w:t>Totals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282,435</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276,609</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130,500</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125,198</w:t>
            </w:r>
          </w:p>
        </w:tc>
      </w:tr>
      <w:tr>
        <w:trPr>
          <w:trHeight w:val="86"/>
        </w:trPr>
        <w:tc>
          <w:tcPr>
            <w:tcW w:w="440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-2148840</wp:posOffset>
            </wp:positionV>
            <wp:extent cx="2940685"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94068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-1761490</wp:posOffset>
            </wp:positionV>
            <wp:extent cx="596773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-993140</wp:posOffset>
            </wp:positionV>
            <wp:extent cx="596773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-224790</wp:posOffset>
            </wp:positionV>
            <wp:extent cx="596773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139" w:lineRule="exact"/>
        <w:rPr>
          <w:sz w:val="20"/>
          <w:szCs w:val="20"/>
          <w:color w:val="auto"/>
        </w:rPr>
      </w:pPr>
    </w:p>
    <w:p>
      <w:pPr>
        <w:jc w:val="both"/>
        <w:ind w:right="100"/>
        <w:spacing w:after="0" w:line="307" w:lineRule="auto"/>
        <w:rPr>
          <w:sz w:val="20"/>
          <w:szCs w:val="20"/>
          <w:color w:val="auto"/>
        </w:rPr>
      </w:pPr>
      <w:r>
        <w:rPr>
          <w:rFonts w:ascii="Arial" w:cs="Arial" w:eastAsia="Arial" w:hAnsi="Arial"/>
          <w:sz w:val="20"/>
          <w:szCs w:val="20"/>
          <w:color w:val="auto"/>
        </w:rPr>
        <w:t>The Company’s debt investment securities’ gross unrealized losses and fair value, aggregated by investment category and length of time that individual securities have been in a continuous unrealized loss position,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gridSpan w:val="4"/>
          </w:tcPr>
          <w:p>
            <w:pPr>
              <w:ind w:left="600"/>
              <w:spacing w:after="0"/>
              <w:rPr>
                <w:sz w:val="20"/>
                <w:szCs w:val="20"/>
                <w:color w:val="auto"/>
              </w:rPr>
            </w:pPr>
            <w:r>
              <w:rPr>
                <w:rFonts w:ascii="Arial" w:cs="Arial" w:eastAsia="Arial" w:hAnsi="Arial"/>
                <w:sz w:val="14"/>
                <w:szCs w:val="14"/>
                <w:color w:val="auto"/>
              </w:rPr>
              <w:t>December 31, 2025</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34"/>
        </w:trPr>
        <w:tc>
          <w:tcPr>
            <w:tcW w:w="2200" w:type="dxa"/>
            <w:vAlign w:val="bottom"/>
          </w:tcPr>
          <w:p>
            <w:pPr>
              <w:spacing w:after="0"/>
              <w:rPr>
                <w:sz w:val="20"/>
                <w:szCs w:val="20"/>
                <w:color w:val="auto"/>
              </w:rPr>
            </w:pPr>
          </w:p>
        </w:tc>
        <w:tc>
          <w:tcPr>
            <w:tcW w:w="2560" w:type="dxa"/>
            <w:vAlign w:val="bottom"/>
            <w:gridSpan w:val="4"/>
          </w:tcPr>
          <w:p>
            <w:pPr>
              <w:jc w:val="right"/>
              <w:ind w:right="370"/>
              <w:spacing w:after="0"/>
              <w:rPr>
                <w:sz w:val="20"/>
                <w:szCs w:val="20"/>
                <w:color w:val="auto"/>
              </w:rPr>
            </w:pPr>
            <w:r>
              <w:rPr>
                <w:rFonts w:ascii="Arial" w:cs="Arial" w:eastAsia="Arial" w:hAnsi="Arial"/>
                <w:sz w:val="14"/>
                <w:szCs w:val="14"/>
                <w:color w:val="auto"/>
              </w:rPr>
              <w:t>Less than Twelve Months</w:t>
            </w:r>
          </w:p>
        </w:tc>
        <w:tc>
          <w:tcPr>
            <w:tcW w:w="1860" w:type="dxa"/>
            <w:vAlign w:val="bottom"/>
            <w:gridSpan w:val="4"/>
          </w:tcPr>
          <w:p>
            <w:pPr>
              <w:ind w:left="480"/>
              <w:spacing w:after="0"/>
              <w:rPr>
                <w:sz w:val="20"/>
                <w:szCs w:val="20"/>
                <w:color w:val="auto"/>
              </w:rPr>
            </w:pPr>
            <w:r>
              <w:rPr>
                <w:rFonts w:ascii="Arial" w:cs="Arial" w:eastAsia="Arial" w:hAnsi="Arial"/>
                <w:sz w:val="14"/>
                <w:szCs w:val="14"/>
                <w:color w:val="auto"/>
                <w:w w:val="92"/>
              </w:rPr>
              <w:t>Twelve Months or More</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Arial" w:cs="Arial" w:eastAsia="Arial" w:hAnsi="Arial"/>
                <w:sz w:val="14"/>
                <w:szCs w:val="14"/>
                <w:color w:val="auto"/>
                <w:w w:val="96"/>
              </w:rPr>
              <w:t>Total</w:t>
            </w:r>
          </w:p>
        </w:tc>
        <w:tc>
          <w:tcPr>
            <w:tcW w:w="640" w:type="dxa"/>
            <w:vAlign w:val="bottom"/>
          </w:tcPr>
          <w:p>
            <w:pPr>
              <w:spacing w:after="0"/>
              <w:rPr>
                <w:sz w:val="20"/>
                <w:szCs w:val="20"/>
                <w:color w:val="auto"/>
              </w:rPr>
            </w:pPr>
          </w:p>
        </w:tc>
      </w:tr>
      <w:tr>
        <w:trPr>
          <w:trHeight w:val="234"/>
        </w:trPr>
        <w:tc>
          <w:tcPr>
            <w:tcW w:w="2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Number of</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0"/>
        </w:trPr>
        <w:tc>
          <w:tcPr>
            <w:tcW w:w="2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Individual</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Unrealized</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Fair</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Individual</w:t>
            </w:r>
          </w:p>
        </w:tc>
        <w:tc>
          <w:tcPr>
            <w:tcW w:w="1080" w:type="dxa"/>
            <w:vAlign w:val="bottom"/>
            <w:gridSpan w:val="3"/>
          </w:tcPr>
          <w:p>
            <w:pPr>
              <w:ind w:left="100"/>
              <w:spacing w:after="0"/>
              <w:rPr>
                <w:sz w:val="20"/>
                <w:szCs w:val="20"/>
                <w:color w:val="auto"/>
              </w:rPr>
            </w:pPr>
            <w:r>
              <w:rPr>
                <w:rFonts w:ascii="Arial" w:cs="Arial" w:eastAsia="Arial" w:hAnsi="Arial"/>
                <w:sz w:val="14"/>
                <w:szCs w:val="14"/>
                <w:color w:val="auto"/>
              </w:rPr>
              <w:t>Unrealized</w:t>
            </w:r>
          </w:p>
        </w:tc>
        <w:tc>
          <w:tcPr>
            <w:tcW w:w="480" w:type="dxa"/>
            <w:vAlign w:val="bottom"/>
          </w:tcPr>
          <w:p>
            <w:pPr>
              <w:jc w:val="right"/>
              <w:ind w:right="70"/>
              <w:spacing w:after="0"/>
              <w:rPr>
                <w:sz w:val="20"/>
                <w:szCs w:val="20"/>
                <w:color w:val="auto"/>
              </w:rPr>
            </w:pPr>
            <w:r>
              <w:rPr>
                <w:rFonts w:ascii="Arial" w:cs="Arial" w:eastAsia="Arial" w:hAnsi="Arial"/>
                <w:sz w:val="14"/>
                <w:szCs w:val="14"/>
                <w:color w:val="auto"/>
              </w:rPr>
              <w:t>Fair</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Individual</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Unrealized</w:t>
            </w: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Fair</w:t>
            </w:r>
          </w:p>
        </w:tc>
      </w:tr>
      <w:tr>
        <w:trPr>
          <w:trHeight w:val="210"/>
        </w:trPr>
        <w:tc>
          <w:tcPr>
            <w:tcW w:w="22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Securities</w:t>
            </w:r>
          </w:p>
        </w:tc>
        <w:tc>
          <w:tcPr>
            <w:tcW w:w="26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Losses</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Value</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Securities</w:t>
            </w:r>
          </w:p>
        </w:tc>
        <w:tc>
          <w:tcPr>
            <w:tcW w:w="26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Losses</w:t>
            </w:r>
          </w:p>
        </w:tc>
        <w:tc>
          <w:tcPr>
            <w:tcW w:w="480" w:type="dxa"/>
            <w:vAlign w:val="bottom"/>
          </w:tcPr>
          <w:p>
            <w:pPr>
              <w:jc w:val="right"/>
              <w:ind w:right="30"/>
              <w:spacing w:after="0"/>
              <w:rPr>
                <w:sz w:val="20"/>
                <w:szCs w:val="20"/>
                <w:color w:val="auto"/>
              </w:rPr>
            </w:pPr>
            <w:r>
              <w:rPr>
                <w:rFonts w:ascii="Arial" w:cs="Arial" w:eastAsia="Arial" w:hAnsi="Arial"/>
                <w:sz w:val="14"/>
                <w:szCs w:val="14"/>
                <w:color w:val="auto"/>
              </w:rPr>
              <w:t>Value</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Securities</w:t>
            </w:r>
          </w:p>
        </w:tc>
        <w:tc>
          <w:tcPr>
            <w:tcW w:w="1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Losses</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Value</w:t>
            </w:r>
          </w:p>
        </w:tc>
      </w:tr>
      <w:tr>
        <w:trPr>
          <w:trHeight w:val="38"/>
        </w:trPr>
        <w:tc>
          <w:tcPr>
            <w:tcW w:w="2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4"/>
        </w:trPr>
        <w:tc>
          <w:tcPr>
            <w:tcW w:w="2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i w:val="1"/>
                <w:iCs w:val="1"/>
                <w:color w:val="auto"/>
              </w:rPr>
              <w:t>Available-for-Sale Portfolio</w:t>
            </w:r>
          </w:p>
        </w:tc>
        <w:tc>
          <w:tcPr>
            <w:tcW w:w="10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r>
      <w:tr>
        <w:trPr>
          <w:trHeight w:val="287"/>
        </w:trPr>
        <w:tc>
          <w:tcPr>
            <w:tcW w:w="2200" w:type="dxa"/>
            <w:vAlign w:val="bottom"/>
          </w:tcPr>
          <w:p>
            <w:pPr>
              <w:spacing w:after="0"/>
              <w:rPr>
                <w:sz w:val="20"/>
                <w:szCs w:val="20"/>
                <w:color w:val="auto"/>
              </w:rPr>
            </w:pPr>
            <w:r>
              <w:rPr>
                <w:rFonts w:ascii="Arial" w:cs="Arial" w:eastAsia="Arial" w:hAnsi="Arial"/>
                <w:sz w:val="14"/>
                <w:szCs w:val="14"/>
                <w:color w:val="auto"/>
              </w:rPr>
              <w:t>US Treasury, agencies and GSE's</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(63 )</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$ 17,336</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(2,397 )  $</w:t>
            </w:r>
          </w:p>
        </w:tc>
        <w:tc>
          <w:tcPr>
            <w:tcW w:w="480" w:type="dxa"/>
            <w:vAlign w:val="bottom"/>
          </w:tcPr>
          <w:p>
            <w:pPr>
              <w:jc w:val="right"/>
              <w:ind w:right="30"/>
              <w:spacing w:after="0"/>
              <w:rPr>
                <w:sz w:val="20"/>
                <w:szCs w:val="20"/>
                <w:color w:val="auto"/>
              </w:rPr>
            </w:pPr>
            <w:r>
              <w:rPr>
                <w:rFonts w:ascii="Arial" w:cs="Arial" w:eastAsia="Arial" w:hAnsi="Arial"/>
                <w:sz w:val="14"/>
                <w:szCs w:val="14"/>
                <w:color w:val="auto"/>
                <w:w w:val="83"/>
              </w:rPr>
              <w:t>26,573</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(2,460 )</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w w:val="95"/>
              </w:rPr>
              <w:t>$ 43,909</w:t>
            </w:r>
          </w:p>
        </w:tc>
      </w:tr>
      <w:tr>
        <w:trPr>
          <w:trHeight w:val="28"/>
        </w:trPr>
        <w:tc>
          <w:tcPr>
            <w:tcW w:w="2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87"/>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State and political subdivisions</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21</w:t>
            </w:r>
          </w:p>
        </w:tc>
        <w:tc>
          <w:tcPr>
            <w:tcW w:w="260" w:type="dxa"/>
            <w:vAlign w:val="bottom"/>
            <w:shd w:val="clear" w:color="auto" w:fill="CFF0FC"/>
          </w:tcPr>
          <w:p>
            <w:pPr>
              <w:spacing w:after="0"/>
              <w:rPr>
                <w:sz w:val="24"/>
                <w:szCs w:val="24"/>
                <w:color w:val="auto"/>
              </w:rPr>
            </w:pPr>
          </w:p>
        </w:tc>
        <w:tc>
          <w:tcPr>
            <w:tcW w:w="50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0"/>
              </w:rPr>
              <w:t>(1,756</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
        </w:trPr>
        <w:tc>
          <w:tcPr>
            <w:tcW w:w="22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-1111885</wp:posOffset>
            </wp:positionV>
            <wp:extent cx="436689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66895" cy="635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-963295</wp:posOffset>
            </wp:positionV>
            <wp:extent cx="4366895"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36689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-547370</wp:posOffset>
            </wp:positionV>
            <wp:extent cx="596773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30</w:t>
      </w:r>
    </w:p>
    <w:p>
      <w:pPr>
        <w:sectPr>
          <w:pgSz w:w="11900" w:h="16838" w:orient="portrait"/>
          <w:cols w:equalWidth="0" w:num="1">
            <w:col w:w="9400"/>
          </w:cols>
          <w:pgMar w:left="1260" w:top="1440" w:right="1246" w:bottom="0" w:gutter="0" w:footer="0" w:header="0"/>
          <w:type w:val="continuous"/>
        </w:sectPr>
      </w:pPr>
    </w:p>
    <w:bookmarkStart w:id="151" w:name="page152"/>
    <w:bookmarkEnd w:id="151"/>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27,811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(1,756</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27,811</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Corporate</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676</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Asset backed securities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9400"/>
          </w:cols>
          <w:pgMar w:left="1260" w:top="1275" w:right="1246"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15</w:t>
      </w:r>
    </w:p>
    <w:p>
      <w:pPr>
        <w:sectPr>
          <w:pgSz w:w="11900" w:h="16838" w:orient="portrait"/>
          <w:cols w:equalWidth="0" w:num="1">
            <w:col w:w="9400"/>
          </w:cols>
          <w:pgMar w:left="1260" w:top="1275" w:right="1246" w:bottom="0" w:gutter="0" w:footer="0" w:header="0"/>
          <w:type w:val="continuous"/>
        </w:sectPr>
      </w:pPr>
    </w:p>
    <w:bookmarkStart w:id="152" w:name="page153"/>
    <w:bookmarkEnd w:id="152"/>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8,009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(84</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5,199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13,208</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Residential mortgage-backed - US agency</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1,594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19,946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(1,054</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15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15</w:t>
      </w:r>
    </w:p>
    <w:p>
      <w:pPr>
        <w:sectPr>
          <w:pgSz w:w="11900" w:h="16838" w:orient="portrait"/>
          <w:cols w:equalWidth="0" w:num="1">
            <w:col w:w="9400"/>
          </w:cols>
          <w:pgMar w:left="1260" w:top="1155" w:right="1246" w:bottom="0" w:gutter="0" w:footer="0" w:header="0"/>
          <w:type w:val="continuous"/>
        </w:sectPr>
      </w:pPr>
    </w:p>
    <w:bookmarkStart w:id="153" w:name="page154"/>
    <w:bookmarkEnd w:id="153"/>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21,540</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Collateralized mortgage obligations - US agency</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1,653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(676</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6,156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(682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7,809</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Collateralized mortgage obligations - Private label</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24,918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(1,549</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15</w:t>
      </w:r>
    </w:p>
    <w:p>
      <w:pPr>
        <w:sectPr>
          <w:pgSz w:w="11900" w:h="16838" w:orient="portrait"/>
          <w:cols w:equalWidth="0" w:num="1">
            <w:col w:w="9400"/>
          </w:cols>
          <w:pgMar w:left="1260" w:top="1440" w:right="1246" w:bottom="0" w:gutter="0" w:footer="0" w:header="0"/>
          <w:type w:val="continuous"/>
        </w:sectPr>
      </w:pPr>
    </w:p>
    <w:bookmarkStart w:id="154" w:name="page155"/>
    <w:bookmarkEnd w:id="154"/>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18,869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(1,621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41"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43,787</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Totals</w:t>
      </w:r>
    </w:p>
    <w:p>
      <w:pPr>
        <w:spacing w:after="0" w:line="200" w:lineRule="exact"/>
        <w:rPr>
          <w:sz w:val="20"/>
          <w:szCs w:val="20"/>
          <w:color w:val="auto"/>
        </w:rPr>
      </w:pPr>
    </w:p>
    <w:p>
      <w:pPr>
        <w:spacing w:after="0" w:line="341" w:lineRule="exact"/>
        <w:rPr>
          <w:sz w:val="20"/>
          <w:szCs w:val="20"/>
          <w:color w:val="auto"/>
        </w:rPr>
      </w:pPr>
    </w:p>
    <w:p>
      <w:pPr>
        <w:ind w:left="9260"/>
        <w:spacing w:after="0"/>
        <w:rPr>
          <w:sz w:val="20"/>
          <w:szCs w:val="20"/>
          <w:color w:val="auto"/>
        </w:rPr>
      </w:pPr>
      <w:r>
        <w:rPr>
          <w:rFonts w:ascii="Arial" w:cs="Arial" w:eastAsia="Arial" w:hAnsi="Arial"/>
          <w:sz w:val="12"/>
          <w:szCs w:val="12"/>
          <w:color w:val="auto"/>
        </w:rPr>
        <w:t>23</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140"/>
        <w:spacing w:after="0"/>
        <w:rPr>
          <w:sz w:val="20"/>
          <w:szCs w:val="20"/>
          <w:color w:val="auto"/>
        </w:rPr>
      </w:pPr>
      <w:r>
        <w:rPr>
          <w:rFonts w:ascii="Arial" w:cs="Arial" w:eastAsia="Arial" w:hAnsi="Arial"/>
          <w:sz w:val="12"/>
          <w:szCs w:val="12"/>
          <w:color w:val="auto"/>
        </w:rPr>
        <w:t>(212</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53,510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40"/>
        <w:spacing w:after="0"/>
        <w:rPr>
          <w:sz w:val="20"/>
          <w:szCs w:val="20"/>
          <w:color w:val="auto"/>
        </w:rPr>
      </w:pPr>
      <w:r>
        <w:rPr>
          <w:rFonts w:ascii="Arial" w:cs="Arial" w:eastAsia="Arial" w:hAnsi="Arial"/>
          <w:sz w:val="12"/>
          <w:szCs w:val="12"/>
          <w:color w:val="auto"/>
        </w:rPr>
        <w:t>(7,554</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105,230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9040"/>
        <w:spacing w:after="0"/>
        <w:rPr>
          <w:sz w:val="20"/>
          <w:szCs w:val="20"/>
          <w:color w:val="auto"/>
        </w:rPr>
      </w:pPr>
      <w:r>
        <w:rPr>
          <w:rFonts w:ascii="Arial" w:cs="Arial" w:eastAsia="Arial" w:hAnsi="Arial"/>
          <w:sz w:val="12"/>
          <w:szCs w:val="12"/>
          <w:color w:val="auto"/>
        </w:rPr>
        <w:t>(7,766</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158,740</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Held-to-Maturity Portfolio</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15</w:t>
      </w:r>
    </w:p>
    <w:p>
      <w:pPr>
        <w:sectPr>
          <w:pgSz w:w="11900" w:h="16838" w:orient="portrait"/>
          <w:cols w:equalWidth="0" w:num="1">
            <w:col w:w="9400"/>
          </w:cols>
          <w:pgMar w:left="1260" w:top="1440" w:right="1246" w:bottom="0" w:gutter="0" w:footer="0" w:header="0"/>
          <w:type w:val="continuous"/>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US Treasury, agencies and GSE's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3,397</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3,397</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State and political subdivisions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15</w:t>
      </w:r>
    </w:p>
    <w:p>
      <w:pPr>
        <w:sectPr>
          <w:pgSz w:w="11900" w:h="16838" w:orient="portrait"/>
          <w:cols w:equalWidth="0" w:num="1">
            <w:col w:w="9400"/>
          </w:cols>
          <w:pgMar w:left="1260" w:top="1440" w:right="1246" w:bottom="0" w:gutter="0" w:footer="0" w:header="0"/>
          <w:type w:val="continuous"/>
        </w:sectPr>
      </w:pPr>
    </w:p>
    <w:bookmarkStart w:id="156" w:name="page157"/>
    <w:bookmarkEnd w:id="156"/>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(1,240</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11,304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(1,241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11,600</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Corporate</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(1,345</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15,475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(1,345</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15</w:t>
      </w:r>
    </w:p>
    <w:p>
      <w:pPr>
        <w:sectPr>
          <w:pgSz w:w="11900" w:h="16838" w:orient="portrait"/>
          <w:cols w:equalWidth="0" w:num="1">
            <w:col w:w="9400"/>
          </w:cols>
          <w:pgMar w:left="1260" w:top="1440" w:right="1246" w:bottom="0" w:gutter="0" w:footer="0" w:header="0"/>
          <w:type w:val="continuous"/>
        </w:sectPr>
      </w:pPr>
    </w:p>
    <w:bookmarkStart w:id="157" w:name="page158"/>
    <w:bookmarkEnd w:id="157"/>
    <w:p>
      <w:pPr>
        <w:jc w:val="right"/>
        <w:spacing w:after="0"/>
        <w:rPr>
          <w:sz w:val="20"/>
          <w:szCs w:val="20"/>
          <w:color w:val="auto"/>
        </w:rPr>
      </w:pPr>
      <w:r>
        <w:rPr>
          <w:rFonts w:ascii="Arial" w:cs="Arial" w:eastAsia="Arial" w:hAnsi="Arial"/>
          <w:sz w:val="14"/>
          <w:szCs w:val="14"/>
          <w:color w:val="auto"/>
        </w:rPr>
        <w:t>15,475</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Asset backed securities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(874</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6,637</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(874</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6,637</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Residential mortgage-backed - US agency</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2,868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43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15</w:t>
      </w:r>
    </w:p>
    <w:p>
      <w:pPr>
        <w:sectPr>
          <w:pgSz w:w="11900" w:h="16838" w:orient="portrait"/>
          <w:cols w:equalWidth="0" w:num="1">
            <w:col w:w="9400"/>
          </w:cols>
          <w:pgMar w:left="1260" w:top="1430" w:right="1246" w:bottom="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14"/>
          <w:szCs w:val="14"/>
          <w:color w:val="auto"/>
        </w:rPr>
        <w:t>3,296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6,164</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Collateralized mortgage obligations - US agency</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(913</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8,776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(913</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8,776</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Collateralized mortgage obligations - Private label</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43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15</w:t>
      </w:r>
    </w:p>
    <w:p>
      <w:pPr>
        <w:sectPr>
          <w:pgSz w:w="11900" w:h="16838" w:orient="portrait"/>
          <w:cols w:equalWidth="0" w:num="1">
            <w:col w:w="9400"/>
          </w:cols>
          <w:pgMar w:left="1260" w:top="1430" w:right="1246" w:bottom="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4"/>
          <w:szCs w:val="14"/>
          <w:color w:val="auto"/>
        </w:rPr>
        <w:t>5,505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(763</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20,011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(786</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25,516</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Totals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8,669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66</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(5,648</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68,896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(5,692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400"/>
          </w:cols>
          <w:pgMar w:left="1260" w:top="143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15</w:t>
      </w:r>
    </w:p>
    <w:p>
      <w:pPr>
        <w:sectPr>
          <w:pgSz w:w="11900" w:h="16838" w:orient="portrait"/>
          <w:cols w:equalWidth="0" w:num="1">
            <w:col w:w="9400"/>
          </w:cols>
          <w:pgMar w:left="1260" w:top="1430" w:right="1246" w:bottom="0" w:gutter="0" w:footer="0" w:header="0"/>
          <w:type w:val="continuous"/>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00"/>
        <w:spacing w:after="0" w:line="436" w:lineRule="auto"/>
        <w:rPr>
          <w:sz w:val="20"/>
          <w:szCs w:val="20"/>
          <w:color w:val="auto"/>
        </w:rPr>
      </w:pPr>
      <w:r>
        <w:rPr>
          <w:rFonts w:ascii="Arial" w:cs="Arial" w:eastAsia="Arial" w:hAnsi="Arial"/>
          <w:sz w:val="12"/>
          <w:szCs w:val="12"/>
          <w:i w:val="1"/>
          <w:iCs w:val="1"/>
          <w:color w:val="auto"/>
        </w:rPr>
        <w:t xml:space="preserve">(Dollars in thousands) </w:t>
      </w:r>
      <w:r>
        <w:rPr>
          <w:rFonts w:ascii="Arial" w:cs="Arial" w:eastAsia="Arial" w:hAnsi="Arial"/>
          <w:sz w:val="12"/>
          <w:szCs w:val="12"/>
          <w:b w:val="1"/>
          <w:bCs w:val="1"/>
          <w:i w:val="1"/>
          <w:iCs w:val="1"/>
          <w:color w:val="auto"/>
        </w:rPr>
        <w:t>Available-for-Sale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1480820"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80820" cy="635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US Treasury, agencies and GSE's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State and political subdivisions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Corporate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Asset backed securities</w:t>
      </w:r>
    </w:p>
    <w:p>
      <w:pPr>
        <w:spacing w:after="0" w:line="70" w:lineRule="exact"/>
        <w:rPr>
          <w:sz w:val="20"/>
          <w:szCs w:val="20"/>
          <w:color w:val="auto"/>
        </w:rPr>
      </w:pPr>
    </w:p>
    <w:p>
      <w:pPr>
        <w:ind w:right="380"/>
        <w:spacing w:after="0" w:line="303" w:lineRule="auto"/>
        <w:rPr>
          <w:sz w:val="20"/>
          <w:szCs w:val="20"/>
          <w:color w:val="auto"/>
        </w:rPr>
      </w:pPr>
      <w:r>
        <w:rPr>
          <w:rFonts w:ascii="Arial" w:cs="Arial" w:eastAsia="Arial" w:hAnsi="Arial"/>
          <w:sz w:val="14"/>
          <w:szCs w:val="14"/>
          <w:color w:val="auto"/>
        </w:rPr>
        <w:t>Residential mortgage-backed - US agency</w:t>
      </w:r>
    </w:p>
    <w:p>
      <w:pPr>
        <w:spacing w:after="0" w:line="28"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Collateralized mortgage obligations - US agency</w:t>
      </w:r>
    </w:p>
    <w:p>
      <w:pPr>
        <w:spacing w:after="0" w:line="28" w:lineRule="exact"/>
        <w:rPr>
          <w:sz w:val="20"/>
          <w:szCs w:val="20"/>
          <w:color w:val="auto"/>
        </w:rPr>
      </w:pPr>
    </w:p>
    <w:p>
      <w:pPr>
        <w:ind w:right="220"/>
        <w:spacing w:after="0" w:line="303" w:lineRule="auto"/>
        <w:rPr>
          <w:sz w:val="20"/>
          <w:szCs w:val="20"/>
          <w:color w:val="auto"/>
        </w:rPr>
      </w:pPr>
      <w:r>
        <w:rPr>
          <w:rFonts w:ascii="Arial" w:cs="Arial" w:eastAsia="Arial" w:hAnsi="Arial"/>
          <w:sz w:val="14"/>
          <w:szCs w:val="14"/>
          <w:color w:val="auto"/>
        </w:rPr>
        <w:t>Collateralized mortgage obligations - Private label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148082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480820" cy="635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Totals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Held-to-Maturity Portfolio</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US Treasury, agencies and GSE's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State and political subdivisions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Corporate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Asset backed securities</w:t>
      </w:r>
    </w:p>
    <w:p>
      <w:pPr>
        <w:spacing w:after="0" w:line="70" w:lineRule="exact"/>
        <w:rPr>
          <w:sz w:val="20"/>
          <w:szCs w:val="20"/>
          <w:color w:val="auto"/>
        </w:rPr>
      </w:pPr>
    </w:p>
    <w:p>
      <w:pPr>
        <w:ind w:right="380"/>
        <w:spacing w:after="0" w:line="303" w:lineRule="auto"/>
        <w:rPr>
          <w:sz w:val="20"/>
          <w:szCs w:val="20"/>
          <w:color w:val="auto"/>
        </w:rPr>
      </w:pPr>
      <w:r>
        <w:rPr>
          <w:rFonts w:ascii="Arial" w:cs="Arial" w:eastAsia="Arial" w:hAnsi="Arial"/>
          <w:sz w:val="14"/>
          <w:szCs w:val="14"/>
          <w:color w:val="auto"/>
        </w:rPr>
        <w:t>Residential mortgage-backed - US agency</w:t>
      </w:r>
    </w:p>
    <w:p>
      <w:pPr>
        <w:spacing w:after="0" w:line="28"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Collateralized mortgage obligations - US agency</w:t>
      </w:r>
    </w:p>
    <w:p>
      <w:pPr>
        <w:spacing w:after="0" w:line="28" w:lineRule="exact"/>
        <w:rPr>
          <w:sz w:val="20"/>
          <w:szCs w:val="20"/>
          <w:color w:val="auto"/>
        </w:rPr>
      </w:pPr>
    </w:p>
    <w:p>
      <w:pPr>
        <w:ind w:right="220"/>
        <w:spacing w:after="0" w:line="303" w:lineRule="auto"/>
        <w:rPr>
          <w:sz w:val="20"/>
          <w:szCs w:val="20"/>
          <w:color w:val="auto"/>
        </w:rPr>
      </w:pPr>
      <w:r>
        <w:rPr>
          <w:rFonts w:ascii="Arial" w:cs="Arial" w:eastAsia="Arial" w:hAnsi="Arial"/>
          <w:sz w:val="14"/>
          <w:szCs w:val="14"/>
          <w:color w:val="auto"/>
        </w:rPr>
        <w:t>Collateralized mortgage obligations - Private label</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Totals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480820" cy="285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480820" cy="28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77,565</w:t>
            </w:r>
          </w:p>
        </w:tc>
      </w:tr>
      <w:tr>
        <w:trPr>
          <w:trHeight w:val="789"/>
        </w:trPr>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color w:val="auto"/>
              </w:rPr>
              <w:t>December 31, 2024</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2280" w:type="dxa"/>
            <w:vAlign w:val="bottom"/>
            <w:gridSpan w:val="5"/>
          </w:tcPr>
          <w:p>
            <w:pPr>
              <w:jc w:val="right"/>
              <w:ind w:right="390"/>
              <w:spacing w:after="0"/>
              <w:rPr>
                <w:sz w:val="20"/>
                <w:szCs w:val="20"/>
                <w:color w:val="auto"/>
              </w:rPr>
            </w:pPr>
            <w:r>
              <w:rPr>
                <w:rFonts w:ascii="Arial" w:cs="Arial" w:eastAsia="Arial" w:hAnsi="Arial"/>
                <w:sz w:val="14"/>
                <w:szCs w:val="14"/>
                <w:color w:val="auto"/>
              </w:rPr>
              <w:t>Less than Twelve Months</w:t>
            </w:r>
          </w:p>
        </w:tc>
        <w:tc>
          <w:tcPr>
            <w:tcW w:w="2340" w:type="dxa"/>
            <w:vAlign w:val="bottom"/>
            <w:gridSpan w:val="5"/>
          </w:tcPr>
          <w:p>
            <w:pPr>
              <w:jc w:val="right"/>
              <w:ind w:right="410"/>
              <w:spacing w:after="0"/>
              <w:rPr>
                <w:sz w:val="20"/>
                <w:szCs w:val="20"/>
                <w:color w:val="auto"/>
              </w:rPr>
            </w:pPr>
            <w:r>
              <w:rPr>
                <w:rFonts w:ascii="Arial" w:cs="Arial" w:eastAsia="Arial" w:hAnsi="Arial"/>
                <w:sz w:val="14"/>
                <w:szCs w:val="14"/>
                <w:color w:val="auto"/>
              </w:rPr>
              <w:t>Twelve Months or More</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5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4"/>
        </w:trPr>
        <w:tc>
          <w:tcPr>
            <w:tcW w:w="720" w:type="dxa"/>
            <w:vAlign w:val="bottom"/>
          </w:tcPr>
          <w:p>
            <w:pPr>
              <w:jc w:val="right"/>
              <w:ind w:right="30"/>
              <w:spacing w:after="0"/>
              <w:rPr>
                <w:sz w:val="20"/>
                <w:szCs w:val="20"/>
                <w:color w:val="auto"/>
              </w:rPr>
            </w:pPr>
            <w:r>
              <w:rPr>
                <w:rFonts w:ascii="Arial" w:cs="Arial" w:eastAsia="Arial" w:hAnsi="Arial"/>
                <w:sz w:val="14"/>
                <w:szCs w:val="14"/>
                <w:color w:val="auto"/>
                <w:w w:val="91"/>
              </w:rPr>
              <w:t>Number of</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Number of</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720" w:type="dxa"/>
            <w:vAlign w:val="bottom"/>
          </w:tcPr>
          <w:p>
            <w:pPr>
              <w:jc w:val="right"/>
              <w:ind w:right="70"/>
              <w:spacing w:after="0"/>
              <w:rPr>
                <w:sz w:val="20"/>
                <w:szCs w:val="20"/>
                <w:color w:val="auto"/>
              </w:rPr>
            </w:pPr>
            <w:r>
              <w:rPr>
                <w:rFonts w:ascii="Arial" w:cs="Arial" w:eastAsia="Arial" w:hAnsi="Arial"/>
                <w:sz w:val="14"/>
                <w:szCs w:val="14"/>
                <w:color w:val="auto"/>
                <w:w w:val="94"/>
              </w:rPr>
              <w:t>Individual</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Fair</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Individual</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Fair</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Individual</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Fair</w:t>
            </w:r>
          </w:p>
        </w:tc>
      </w:tr>
      <w:tr>
        <w:trPr>
          <w:trHeight w:val="210"/>
        </w:trPr>
        <w:tc>
          <w:tcPr>
            <w:tcW w:w="720" w:type="dxa"/>
            <w:vAlign w:val="bottom"/>
          </w:tcPr>
          <w:p>
            <w:pPr>
              <w:jc w:val="right"/>
              <w:ind w:right="30"/>
              <w:spacing w:after="0"/>
              <w:rPr>
                <w:sz w:val="20"/>
                <w:szCs w:val="20"/>
                <w:color w:val="auto"/>
              </w:rPr>
            </w:pPr>
            <w:r>
              <w:rPr>
                <w:rFonts w:ascii="Arial" w:cs="Arial" w:eastAsia="Arial" w:hAnsi="Arial"/>
                <w:sz w:val="14"/>
                <w:szCs w:val="14"/>
                <w:color w:val="auto"/>
                <w:w w:val="97"/>
              </w:rPr>
              <w:t>Securities</w:t>
            </w:r>
          </w:p>
        </w:tc>
        <w:tc>
          <w:tcPr>
            <w:tcW w:w="26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Value</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Securities</w:t>
            </w:r>
          </w:p>
        </w:tc>
        <w:tc>
          <w:tcPr>
            <w:tcW w:w="26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Value</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Securities</w:t>
            </w:r>
          </w:p>
        </w:tc>
        <w:tc>
          <w:tcPr>
            <w:tcW w:w="20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Value</w:t>
            </w:r>
          </w:p>
        </w:tc>
      </w:tr>
      <w:tr>
        <w:trPr>
          <w:trHeight w:val="549"/>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(132 )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0"/>
              <w:spacing w:after="0"/>
              <w:rPr>
                <w:sz w:val="20"/>
                <w:szCs w:val="20"/>
                <w:color w:val="auto"/>
              </w:rPr>
            </w:pPr>
            <w:r>
              <w:rPr>
                <w:rFonts w:ascii="Arial" w:cs="Arial" w:eastAsia="Arial" w:hAnsi="Arial"/>
                <w:sz w:val="14"/>
                <w:szCs w:val="14"/>
                <w:color w:val="auto"/>
                <w:w w:val="93"/>
              </w:rPr>
              <w:t>18,790</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(3,702 )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26,748</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(3,834 )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45,538</w:t>
            </w:r>
          </w:p>
        </w:tc>
      </w:tr>
      <w:tr>
        <w:trPr>
          <w:trHeight w:val="31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900</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(1,925 )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25,211</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(1,928 )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26,111</w:t>
            </w:r>
          </w:p>
        </w:tc>
      </w:tr>
      <w:tr>
        <w:trPr>
          <w:trHeight w:val="31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(284 )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3,410</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(284 )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3,410</w:t>
            </w:r>
          </w:p>
        </w:tc>
      </w:tr>
      <w:tr>
        <w:trPr>
          <w:trHeight w:val="31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(328 )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3,608</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(145 )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8,343</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(473 )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11,951</w:t>
            </w:r>
          </w:p>
        </w:tc>
      </w:tr>
      <w:tr>
        <w:trPr>
          <w:trHeight w:val="43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(794 )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w w:val="93"/>
              </w:rPr>
              <w:t>29,628</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(706 )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6,107</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(1,500 )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35,735</w:t>
            </w:r>
          </w:p>
        </w:tc>
      </w:tr>
      <w:tr>
        <w:trPr>
          <w:trHeight w:val="43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1,937</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(876 )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6,972</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(891 )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8,909</w:t>
            </w:r>
          </w:p>
        </w:tc>
      </w:tr>
      <w:tr>
        <w:trPr>
          <w:trHeight w:val="43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w w:val="93"/>
              </w:rPr>
              <w:t>15,561</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(2,232 )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23,309</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(2,275 )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38,870</w:t>
            </w:r>
          </w:p>
        </w:tc>
      </w:tr>
      <w:tr>
        <w:trPr>
          <w:trHeight w:val="32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34</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(1,315 )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0"/>
              <w:spacing w:after="0"/>
              <w:rPr>
                <w:sz w:val="20"/>
                <w:szCs w:val="20"/>
                <w:color w:val="auto"/>
              </w:rPr>
            </w:pPr>
            <w:r>
              <w:rPr>
                <w:rFonts w:ascii="Arial" w:cs="Arial" w:eastAsia="Arial" w:hAnsi="Arial"/>
                <w:sz w:val="14"/>
                <w:szCs w:val="14"/>
                <w:color w:val="auto"/>
                <w:w w:val="93"/>
              </w:rPr>
              <w:t>70,424</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80</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(9,870 )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w w:val="86"/>
              </w:rPr>
              <w:t>100,100</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114</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(11,185 )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w w:val="90"/>
              </w:rPr>
              <w:t>170,524</w:t>
            </w:r>
          </w:p>
        </w:tc>
      </w:tr>
      <w:tr>
        <w:trPr>
          <w:trHeight w:val="58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(282 )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3,366</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(282 )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3,366</w:t>
            </w:r>
          </w:p>
        </w:tc>
      </w:tr>
      <w:tr>
        <w:trPr>
          <w:trHeight w:val="31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1,438</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(1,828 )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12,561</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(1,833 )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13,999</w:t>
            </w:r>
          </w:p>
        </w:tc>
      </w:tr>
      <w:tr>
        <w:trPr>
          <w:trHeight w:val="31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993</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(1,733 )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28,603</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(1,740 )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29,596</w:t>
            </w:r>
          </w:p>
        </w:tc>
      </w:tr>
      <w:tr>
        <w:trPr>
          <w:trHeight w:val="31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2,241</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(552 )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6,862</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(557 )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9,103</w:t>
            </w:r>
          </w:p>
        </w:tc>
      </w:tr>
      <w:tr>
        <w:trPr>
          <w:trHeight w:val="43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2,808</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(613 )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4,866</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(728 )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7,674</w:t>
            </w:r>
          </w:p>
        </w:tc>
      </w:tr>
      <w:tr>
        <w:trPr>
          <w:trHeight w:val="43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(1,223 )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10,121</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(1,223 )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10,121</w:t>
            </w:r>
          </w:p>
        </w:tc>
      </w:tr>
      <w:tr>
        <w:trPr>
          <w:trHeight w:val="43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(55 )</w:t>
            </w:r>
          </w:p>
        </w:tc>
        <w:tc>
          <w:tcPr>
            <w:tcW w:w="16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8,644</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(1,615 )</w:t>
            </w:r>
          </w:p>
        </w:tc>
        <w:tc>
          <w:tcPr>
            <w:tcW w:w="14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34,539</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(1,670 )</w:t>
            </w:r>
          </w:p>
        </w:tc>
        <w:tc>
          <w:tcPr>
            <w:tcW w:w="14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43,183</w:t>
            </w:r>
          </w:p>
        </w:tc>
      </w:tr>
      <w:tr>
        <w:trPr>
          <w:trHeight w:val="32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(187 )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0"/>
              <w:spacing w:after="0"/>
              <w:rPr>
                <w:sz w:val="20"/>
                <w:szCs w:val="20"/>
                <w:color w:val="auto"/>
              </w:rPr>
            </w:pPr>
            <w:r>
              <w:rPr>
                <w:rFonts w:ascii="Arial" w:cs="Arial" w:eastAsia="Arial" w:hAnsi="Arial"/>
                <w:sz w:val="14"/>
                <w:szCs w:val="14"/>
                <w:color w:val="auto"/>
                <w:w w:val="93"/>
              </w:rPr>
              <w:t>16,124</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100</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(7,846 )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w w:val="86"/>
              </w:rPr>
              <w:t>100,918</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113</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(8,033 )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w w:val="90"/>
              </w:rPr>
              <w:t>117,042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-4530090</wp:posOffset>
            </wp:positionV>
            <wp:extent cx="5967730" cy="45770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967730" cy="457708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-4530090</wp:posOffset>
            </wp:positionV>
            <wp:extent cx="5967730" cy="45770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967730" cy="4577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100"/>
            <w:col w:w="7000"/>
          </w:cols>
          <w:pgMar w:left="1260" w:top="122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5967730" cy="19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2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15</w:t>
      </w:r>
    </w:p>
    <w:p>
      <w:pPr>
        <w:sectPr>
          <w:pgSz w:w="11900" w:h="16838" w:orient="portrait"/>
          <w:cols w:equalWidth="0" w:num="1">
            <w:col w:w="9400"/>
          </w:cols>
          <w:pgMar w:left="1260" w:top="1220" w:right="1246" w:bottom="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Credit-related Impairment</w:t>
      </w:r>
    </w:p>
    <w:p>
      <w:pPr>
        <w:spacing w:after="0" w:line="200"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The Company conducts a formal review of debt investment securities on a quarterly basis for the presence of credit-related impairment. The Company assesses whether credit-related impairment is present when the fair value of a debt security is less than its amortized cost basis at the statement of condition date. Under these circumstances, impairment is considered to have occurred (1) if we intend to sell the security; (2) if it is “more likely than not” we will be required to sell the security before recovery of its amortized cost basis; or (3) the present value of expected cash flows is not anticipated to be sufficient to recover the entire amortized cost basis. ASC 326 requires that credit-related impairment is recognized in earnings while non-credit-related price depreciation for securities categorized as AFS not expected to be sold is recognized in other comprehensive income (“OCI”). Non-credit-related market price depreciation is based on other factors, including illiquidity and changes in the general interest rate environment. Presentation of credit-related impairment, when present, is made in the Consolidated Statements of Income on a gross basis, including both the portion recognized in earnings, as well as the portion recorded in OCI.</w:t>
      </w:r>
    </w:p>
    <w:p>
      <w:pPr>
        <w:spacing w:after="0" w:line="109"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There were a total of 79 securities classified as AFS with an aggregate amortized historical cost of $112.8 million and an unrealized aggregate loss of $7.6 million, or -6.7%, that were in an unrealized loss position for 12 months or longer at December 31, 2025. In addition, there were 66 securities classified as HTM with an aggregate amortized historical cost of $74.5 million and an unrealized aggregate loss of $5.6 million, or -7.6%, that were in an unrealized loss position for 12 months or longer at December 31, 2025. In total, therefore, at December 31, 2025 there were 145 securities with an aggregate book value of $187.3 million and an aggregate fair value of $174.1 million, representing a loss of $13.2 million, or -7.0%, that were in an unrealized loss position for 12 months or more on that date.</w:t>
      </w:r>
    </w:p>
    <w:p>
      <w:pPr>
        <w:spacing w:after="0" w:line="136"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All of the securities which have been in an unrealized loss position for 12 months or more at December 31, 2025 have been individually analyzed and none of the securities are considered to be credit impaired. These securities have unrealized losses primarily due to fluctuations in general interest rates or changes in expected prepayments. In all cases, price improvement in future periods will be realized as the issuances approach maturity. Of the 145 securities in an unrealized loss position for 12 months or more at December 31, 2025, 49 securities, with aggregate amortized cost balances of $73.7 million and representing 39.3% of the aggregate amortized cost of all securities in an unrealized loss position for 12 months or more, are issued by the United States government or GSEs (collectively, "government-issued securities") and are therefore either explicitly or implicitly guaranteed as to the timely payment of contractual principal and interest. These positions are deemed to have no credit impairment, thus, the disclosed unrealized losses relate primarily to changes in prevailing interest rates.</w:t>
      </w:r>
    </w:p>
    <w:p>
      <w:pPr>
        <w:spacing w:after="0" w:line="11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The following table depicts a roll forward of the allowance for credit losses on HTM investment securities for the years ended December 31, 2025 and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spacing w:after="0"/>
              <w:rPr>
                <w:sz w:val="21"/>
                <w:szCs w:val="21"/>
                <w:color w:val="auto"/>
              </w:rPr>
            </w:pPr>
          </w:p>
        </w:tc>
        <w:tc>
          <w:tcPr>
            <w:tcW w:w="1540" w:type="dxa"/>
            <w:vAlign w:val="bottom"/>
          </w:tcPr>
          <w:p>
            <w:pPr>
              <w:jc w:val="center"/>
              <w:ind w:left="131"/>
              <w:spacing w:after="0"/>
              <w:rPr>
                <w:sz w:val="20"/>
                <w:szCs w:val="20"/>
                <w:color w:val="auto"/>
              </w:rPr>
            </w:pPr>
            <w:r>
              <w:rPr>
                <w:rFonts w:ascii="Arial" w:cs="Arial" w:eastAsia="Arial" w:hAnsi="Arial"/>
                <w:sz w:val="22"/>
                <w:szCs w:val="22"/>
                <w:color w:val="auto"/>
                <w:w w:val="90"/>
              </w:rPr>
              <w:t>Government</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30"/>
        </w:trPr>
        <w:tc>
          <w:tcPr>
            <w:tcW w:w="2480" w:type="dxa"/>
            <w:vAlign w:val="bottom"/>
          </w:tcPr>
          <w:p>
            <w:pPr>
              <w:spacing w:after="0"/>
              <w:rPr>
                <w:sz w:val="24"/>
                <w:szCs w:val="24"/>
                <w:color w:val="auto"/>
              </w:rPr>
            </w:pPr>
          </w:p>
        </w:tc>
        <w:tc>
          <w:tcPr>
            <w:tcW w:w="1540" w:type="dxa"/>
            <w:vAlign w:val="bottom"/>
          </w:tcPr>
          <w:p>
            <w:pPr>
              <w:jc w:val="center"/>
              <w:ind w:left="131"/>
              <w:spacing w:after="0"/>
              <w:rPr>
                <w:sz w:val="20"/>
                <w:szCs w:val="20"/>
                <w:color w:val="auto"/>
              </w:rPr>
            </w:pPr>
            <w:r>
              <w:rPr>
                <w:rFonts w:ascii="Arial" w:cs="Arial" w:eastAsia="Arial" w:hAnsi="Arial"/>
                <w:sz w:val="22"/>
                <w:szCs w:val="22"/>
                <w:color w:val="auto"/>
                <w:w w:val="87"/>
              </w:rPr>
              <w:t>Issued and</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93"/>
              <w:spacing w:after="0"/>
              <w:rPr>
                <w:sz w:val="20"/>
                <w:szCs w:val="20"/>
                <w:color w:val="auto"/>
              </w:rPr>
            </w:pPr>
            <w:r>
              <w:rPr>
                <w:rFonts w:ascii="Arial" w:cs="Arial" w:eastAsia="Arial" w:hAnsi="Arial"/>
                <w:sz w:val="22"/>
                <w:szCs w:val="22"/>
                <w:color w:val="auto"/>
                <w:w w:val="88"/>
              </w:rPr>
              <w:t>Securities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0"/>
        </w:trPr>
        <w:tc>
          <w:tcPr>
            <w:tcW w:w="2480" w:type="dxa"/>
            <w:vAlign w:val="bottom"/>
          </w:tcPr>
          <w:p>
            <w:pPr>
              <w:spacing w:after="0"/>
              <w:rPr>
                <w:sz w:val="24"/>
                <w:szCs w:val="24"/>
                <w:color w:val="auto"/>
              </w:rPr>
            </w:pPr>
          </w:p>
        </w:tc>
        <w:tc>
          <w:tcPr>
            <w:tcW w:w="1540" w:type="dxa"/>
            <w:vAlign w:val="bottom"/>
          </w:tcPr>
          <w:p>
            <w:pPr>
              <w:jc w:val="center"/>
              <w:ind w:left="131"/>
              <w:spacing w:after="0"/>
              <w:rPr>
                <w:sz w:val="20"/>
                <w:szCs w:val="20"/>
                <w:color w:val="auto"/>
              </w:rPr>
            </w:pPr>
            <w:r>
              <w:rPr>
                <w:rFonts w:ascii="Arial" w:cs="Arial" w:eastAsia="Arial" w:hAnsi="Arial"/>
                <w:sz w:val="22"/>
                <w:szCs w:val="22"/>
                <w:color w:val="auto"/>
                <w:w w:val="90"/>
              </w:rPr>
              <w:t>Government</w:t>
            </w:r>
          </w:p>
        </w:tc>
        <w:tc>
          <w:tcPr>
            <w:tcW w:w="1340" w:type="dxa"/>
            <w:vAlign w:val="bottom"/>
          </w:tcPr>
          <w:p>
            <w:pPr>
              <w:ind w:left="400"/>
              <w:spacing w:after="0"/>
              <w:rPr>
                <w:sz w:val="20"/>
                <w:szCs w:val="20"/>
                <w:color w:val="auto"/>
              </w:rPr>
            </w:pPr>
            <w:r>
              <w:rPr>
                <w:rFonts w:ascii="Arial" w:cs="Arial" w:eastAsia="Arial" w:hAnsi="Arial"/>
                <w:sz w:val="22"/>
                <w:szCs w:val="22"/>
                <w:color w:val="auto"/>
                <w:w w:val="98"/>
              </w:rPr>
              <w:t>Mortgage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93"/>
              <w:spacing w:after="0"/>
              <w:rPr>
                <w:sz w:val="20"/>
                <w:szCs w:val="20"/>
                <w:color w:val="auto"/>
              </w:rPr>
            </w:pPr>
            <w:r>
              <w:rPr>
                <w:rFonts w:ascii="Arial" w:cs="Arial" w:eastAsia="Arial" w:hAnsi="Arial"/>
                <w:sz w:val="22"/>
                <w:szCs w:val="22"/>
                <w:color w:val="auto"/>
                <w:w w:val="88"/>
              </w:rPr>
              <w:t>Issued By</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0"/>
        </w:trPr>
        <w:tc>
          <w:tcPr>
            <w:tcW w:w="2480" w:type="dxa"/>
            <w:vAlign w:val="bottom"/>
          </w:tcPr>
          <w:p>
            <w:pPr>
              <w:spacing w:after="0"/>
              <w:rPr>
                <w:sz w:val="24"/>
                <w:szCs w:val="24"/>
                <w:color w:val="auto"/>
              </w:rPr>
            </w:pPr>
          </w:p>
        </w:tc>
        <w:tc>
          <w:tcPr>
            <w:tcW w:w="1540" w:type="dxa"/>
            <w:vAlign w:val="bottom"/>
          </w:tcPr>
          <w:p>
            <w:pPr>
              <w:jc w:val="center"/>
              <w:ind w:left="131"/>
              <w:spacing w:after="0"/>
              <w:rPr>
                <w:sz w:val="20"/>
                <w:szCs w:val="20"/>
                <w:color w:val="auto"/>
              </w:rPr>
            </w:pPr>
            <w:r>
              <w:rPr>
                <w:rFonts w:ascii="Arial" w:cs="Arial" w:eastAsia="Arial" w:hAnsi="Arial"/>
                <w:sz w:val="22"/>
                <w:szCs w:val="22"/>
                <w:color w:val="auto"/>
                <w:w w:val="88"/>
              </w:rPr>
              <w:t>Sponsored</w:t>
            </w:r>
          </w:p>
        </w:tc>
        <w:tc>
          <w:tcPr>
            <w:tcW w:w="1340" w:type="dxa"/>
            <w:vAlign w:val="bottom"/>
          </w:tcPr>
          <w:p>
            <w:pPr>
              <w:ind w:left="380"/>
              <w:spacing w:after="0"/>
              <w:rPr>
                <w:sz w:val="20"/>
                <w:szCs w:val="20"/>
                <w:color w:val="auto"/>
              </w:rPr>
            </w:pPr>
            <w:r>
              <w:rPr>
                <w:rFonts w:ascii="Arial" w:cs="Arial" w:eastAsia="Arial" w:hAnsi="Arial"/>
                <w:sz w:val="22"/>
                <w:szCs w:val="22"/>
                <w:color w:val="auto"/>
                <w:w w:val="89"/>
              </w:rPr>
              <w:t>and Asset-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93"/>
              <w:spacing w:after="0"/>
              <w:rPr>
                <w:sz w:val="20"/>
                <w:szCs w:val="20"/>
                <w:color w:val="auto"/>
              </w:rPr>
            </w:pPr>
            <w:r>
              <w:rPr>
                <w:rFonts w:ascii="Arial" w:cs="Arial" w:eastAsia="Arial" w:hAnsi="Arial"/>
                <w:sz w:val="22"/>
                <w:szCs w:val="22"/>
                <w:color w:val="auto"/>
                <w:w w:val="87"/>
              </w:rPr>
              <w:t>State and</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0"/>
        </w:trPr>
        <w:tc>
          <w:tcPr>
            <w:tcW w:w="2480" w:type="dxa"/>
            <w:vAlign w:val="bottom"/>
          </w:tcPr>
          <w:p>
            <w:pPr>
              <w:spacing w:after="0"/>
              <w:rPr>
                <w:sz w:val="24"/>
                <w:szCs w:val="24"/>
                <w:color w:val="auto"/>
              </w:rPr>
            </w:pPr>
          </w:p>
        </w:tc>
        <w:tc>
          <w:tcPr>
            <w:tcW w:w="1540" w:type="dxa"/>
            <w:vAlign w:val="bottom"/>
          </w:tcPr>
          <w:p>
            <w:pPr>
              <w:jc w:val="center"/>
              <w:ind w:left="131"/>
              <w:spacing w:after="0"/>
              <w:rPr>
                <w:sz w:val="20"/>
                <w:szCs w:val="20"/>
                <w:color w:val="auto"/>
              </w:rPr>
            </w:pPr>
            <w:r>
              <w:rPr>
                <w:rFonts w:ascii="Arial" w:cs="Arial" w:eastAsia="Arial" w:hAnsi="Arial"/>
                <w:sz w:val="22"/>
                <w:szCs w:val="22"/>
                <w:color w:val="auto"/>
                <w:w w:val="89"/>
              </w:rPr>
              <w:t>Enterprise</w:t>
            </w:r>
          </w:p>
        </w:tc>
        <w:tc>
          <w:tcPr>
            <w:tcW w:w="1340" w:type="dxa"/>
            <w:vAlign w:val="bottom"/>
          </w:tcPr>
          <w:p>
            <w:pPr>
              <w:ind w:left="500"/>
              <w:spacing w:after="0"/>
              <w:rPr>
                <w:sz w:val="20"/>
                <w:szCs w:val="20"/>
                <w:color w:val="auto"/>
              </w:rPr>
            </w:pPr>
            <w:r>
              <w:rPr>
                <w:rFonts w:ascii="Arial" w:cs="Arial" w:eastAsia="Arial" w:hAnsi="Arial"/>
                <w:sz w:val="22"/>
                <w:szCs w:val="22"/>
                <w:color w:val="auto"/>
              </w:rPr>
              <w:t>backed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93"/>
              <w:spacing w:after="0"/>
              <w:rPr>
                <w:sz w:val="20"/>
                <w:szCs w:val="20"/>
                <w:color w:val="auto"/>
              </w:rPr>
            </w:pPr>
            <w:r>
              <w:rPr>
                <w:rFonts w:ascii="Arial" w:cs="Arial" w:eastAsia="Arial" w:hAnsi="Arial"/>
                <w:sz w:val="22"/>
                <w:szCs w:val="22"/>
                <w:color w:val="auto"/>
                <w:w w:val="97"/>
              </w:rPr>
              <w:t>Political</w:t>
            </w:r>
          </w:p>
        </w:tc>
        <w:tc>
          <w:tcPr>
            <w:tcW w:w="180" w:type="dxa"/>
            <w:vAlign w:val="bottom"/>
          </w:tcPr>
          <w:p>
            <w:pPr>
              <w:spacing w:after="0"/>
              <w:rPr>
                <w:sz w:val="24"/>
                <w:szCs w:val="24"/>
                <w:color w:val="auto"/>
              </w:rPr>
            </w:pPr>
          </w:p>
        </w:tc>
        <w:tc>
          <w:tcPr>
            <w:tcW w:w="1220" w:type="dxa"/>
            <w:vAlign w:val="bottom"/>
          </w:tcPr>
          <w:p>
            <w:pPr>
              <w:jc w:val="right"/>
              <w:ind w:right="195"/>
              <w:spacing w:after="0"/>
              <w:rPr>
                <w:sz w:val="20"/>
                <w:szCs w:val="20"/>
                <w:color w:val="auto"/>
              </w:rPr>
            </w:pPr>
            <w:r>
              <w:rPr>
                <w:rFonts w:ascii="Arial" w:cs="Arial" w:eastAsia="Arial" w:hAnsi="Arial"/>
                <w:sz w:val="22"/>
                <w:szCs w:val="22"/>
                <w:color w:val="auto"/>
                <w:w w:val="91"/>
              </w:rPr>
              <w:t>Corporate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4"/>
        </w:trPr>
        <w:tc>
          <w:tcPr>
            <w:tcW w:w="248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540" w:type="dxa"/>
            <w:vAlign w:val="bottom"/>
          </w:tcPr>
          <w:p>
            <w:pPr>
              <w:jc w:val="right"/>
              <w:ind w:right="71"/>
              <w:spacing w:after="0"/>
              <w:rPr>
                <w:sz w:val="20"/>
                <w:szCs w:val="20"/>
                <w:color w:val="auto"/>
              </w:rPr>
            </w:pPr>
            <w:r>
              <w:rPr>
                <w:rFonts w:ascii="Arial" w:cs="Arial" w:eastAsia="Arial" w:hAnsi="Arial"/>
                <w:sz w:val="22"/>
                <w:szCs w:val="22"/>
                <w:color w:val="auto"/>
              </w:rPr>
              <w:t>Securities</w:t>
            </w:r>
          </w:p>
        </w:tc>
        <w:tc>
          <w:tcPr>
            <w:tcW w:w="1340" w:type="dxa"/>
            <w:vAlign w:val="bottom"/>
          </w:tcPr>
          <w:p>
            <w:pPr>
              <w:ind w:left="420"/>
              <w:spacing w:after="0"/>
              <w:rPr>
                <w:sz w:val="20"/>
                <w:szCs w:val="20"/>
                <w:color w:val="auto"/>
              </w:rPr>
            </w:pPr>
            <w:r>
              <w:rPr>
                <w:rFonts w:ascii="Arial" w:cs="Arial" w:eastAsia="Arial" w:hAnsi="Arial"/>
                <w:sz w:val="22"/>
                <w:szCs w:val="22"/>
                <w:color w:val="auto"/>
                <w:w w:val="93"/>
              </w:rPr>
              <w:t>Securities</w:t>
            </w:r>
          </w:p>
        </w:tc>
        <w:tc>
          <w:tcPr>
            <w:tcW w:w="16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22"/>
                <w:szCs w:val="22"/>
                <w:color w:val="auto"/>
                <w:w w:val="95"/>
              </w:rPr>
              <w:t>Subdivisions</w:t>
            </w:r>
          </w:p>
        </w:tc>
        <w:tc>
          <w:tcPr>
            <w:tcW w:w="180" w:type="dxa"/>
            <w:vAlign w:val="bottom"/>
          </w:tcPr>
          <w:p>
            <w:pPr>
              <w:spacing w:after="0"/>
              <w:rPr>
                <w:sz w:val="24"/>
                <w:szCs w:val="24"/>
                <w:color w:val="auto"/>
              </w:rPr>
            </w:pPr>
          </w:p>
        </w:tc>
        <w:tc>
          <w:tcPr>
            <w:tcW w:w="1220" w:type="dxa"/>
            <w:vAlign w:val="bottom"/>
          </w:tcPr>
          <w:p>
            <w:pPr>
              <w:jc w:val="right"/>
              <w:ind w:right="175"/>
              <w:spacing w:after="0"/>
              <w:rPr>
                <w:sz w:val="20"/>
                <w:szCs w:val="20"/>
                <w:color w:val="auto"/>
              </w:rPr>
            </w:pPr>
            <w:r>
              <w:rPr>
                <w:rFonts w:ascii="Arial" w:cs="Arial" w:eastAsia="Arial" w:hAnsi="Arial"/>
                <w:sz w:val="22"/>
                <w:szCs w:val="22"/>
                <w:color w:val="auto"/>
                <w:w w:val="95"/>
              </w:rPr>
              <w:t>Securities</w:t>
            </w:r>
          </w:p>
        </w:tc>
        <w:tc>
          <w:tcPr>
            <w:tcW w:w="220" w:type="dxa"/>
            <w:vAlign w:val="bottom"/>
          </w:tcPr>
          <w:p>
            <w:pPr>
              <w:spacing w:after="0"/>
              <w:rPr>
                <w:sz w:val="24"/>
                <w:szCs w:val="24"/>
                <w:color w:val="auto"/>
              </w:rPr>
            </w:pPr>
          </w:p>
        </w:tc>
        <w:tc>
          <w:tcPr>
            <w:tcW w:w="1020" w:type="dxa"/>
            <w:vAlign w:val="bottom"/>
          </w:tcPr>
          <w:p>
            <w:pPr>
              <w:jc w:val="right"/>
              <w:ind w:right="337"/>
              <w:spacing w:after="0"/>
              <w:rPr>
                <w:sz w:val="20"/>
                <w:szCs w:val="20"/>
                <w:color w:val="auto"/>
              </w:rPr>
            </w:pPr>
            <w:r>
              <w:rPr>
                <w:rFonts w:ascii="Arial" w:cs="Arial" w:eastAsia="Arial" w:hAnsi="Arial"/>
                <w:sz w:val="22"/>
                <w:szCs w:val="22"/>
                <w:color w:val="auto"/>
              </w:rPr>
              <w:t>Total</w:t>
            </w:r>
          </w:p>
        </w:tc>
      </w:tr>
      <w:tr>
        <w:trPr>
          <w:trHeight w:val="51"/>
        </w:trPr>
        <w:tc>
          <w:tcPr>
            <w:tcW w:w="2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94"/>
        </w:trPr>
        <w:tc>
          <w:tcPr>
            <w:tcW w:w="2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4"/>
              </w:rPr>
              <w:t>Balance, December 31, 2024</w:t>
            </w:r>
          </w:p>
        </w:tc>
        <w:tc>
          <w:tcPr>
            <w:tcW w:w="1540" w:type="dxa"/>
            <w:vAlign w:val="bottom"/>
            <w:tcBorders>
              <w:bottom w:val="single" w:sz="8" w:color="CFF0FC"/>
            </w:tcBorders>
            <w:shd w:val="clear" w:color="auto" w:fill="CFF0FC"/>
          </w:tcPr>
          <w:p>
            <w:pPr>
              <w:jc w:val="right"/>
              <w:ind w:right="1171"/>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 $</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20"/>
                <w:szCs w:val="20"/>
                <w:color w:val="auto"/>
              </w:rPr>
              <w:t>257</w:t>
            </w:r>
          </w:p>
        </w:tc>
      </w:tr>
      <w:tr>
        <w:trPr>
          <w:trHeight w:val="274"/>
        </w:trPr>
        <w:tc>
          <w:tcPr>
            <w:tcW w:w="2480" w:type="dxa"/>
            <w:vAlign w:val="bottom"/>
          </w:tcPr>
          <w:p>
            <w:pPr>
              <w:spacing w:after="0"/>
              <w:rPr>
                <w:sz w:val="20"/>
                <w:szCs w:val="20"/>
                <w:color w:val="auto"/>
              </w:rPr>
            </w:pPr>
            <w:r>
              <w:rPr>
                <w:rFonts w:ascii="Arial" w:cs="Arial" w:eastAsia="Arial" w:hAnsi="Arial"/>
                <w:sz w:val="20"/>
                <w:szCs w:val="20"/>
                <w:color w:val="auto"/>
              </w:rPr>
              <w:t>Provision for credit losses</w:t>
            </w:r>
          </w:p>
        </w:tc>
        <w:tc>
          <w:tcPr>
            <w:tcW w:w="1540" w:type="dxa"/>
            <w:vAlign w:val="bottom"/>
          </w:tcPr>
          <w:p>
            <w:pPr>
              <w:spacing w:after="0"/>
              <w:rPr>
                <w:sz w:val="23"/>
                <w:szCs w:val="23"/>
                <w:color w:val="auto"/>
              </w:rPr>
            </w:pPr>
          </w:p>
        </w:tc>
        <w:tc>
          <w:tcPr>
            <w:tcW w:w="1340" w:type="dxa"/>
            <w:vAlign w:val="bottom"/>
          </w:tcPr>
          <w:p>
            <w:pPr>
              <w:ind w:left="80"/>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596773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15</w:t>
      </w:r>
    </w:p>
    <w:p>
      <w:pPr>
        <w:sectPr>
          <w:pgSz w:w="11900" w:h="16838" w:orient="portrait"/>
          <w:cols w:equalWidth="0" w:num="1">
            <w:col w:w="9400"/>
          </w:cols>
          <w:pgMar w:left="1260" w:top="1440" w:right="1246" w:bottom="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74"/>
        </w:trPr>
        <w:tc>
          <w:tcPr>
            <w:tcW w:w="2480" w:type="dxa"/>
            <w:vAlign w:val="bottom"/>
            <w:shd w:val="clear" w:color="auto" w:fill="CFF0FC"/>
          </w:tcPr>
          <w:p>
            <w:pPr>
              <w:spacing w:after="0"/>
              <w:rPr>
                <w:sz w:val="20"/>
                <w:szCs w:val="20"/>
                <w:color w:val="auto"/>
              </w:rPr>
            </w:pPr>
            <w:r>
              <w:rPr>
                <w:rFonts w:ascii="Arial" w:cs="Arial" w:eastAsia="Arial" w:hAnsi="Arial"/>
                <w:sz w:val="20"/>
                <w:szCs w:val="20"/>
                <w:color w:val="auto"/>
              </w:rPr>
              <w:t>Allowance on purchased</w:t>
            </w:r>
          </w:p>
        </w:tc>
        <w:tc>
          <w:tcPr>
            <w:tcW w:w="15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r>
      <w:tr>
        <w:trPr>
          <w:trHeight w:val="300"/>
        </w:trPr>
        <w:tc>
          <w:tcPr>
            <w:tcW w:w="2480" w:type="dxa"/>
            <w:vAlign w:val="bottom"/>
            <w:shd w:val="clear" w:color="auto" w:fill="CFF0FC"/>
          </w:tcPr>
          <w:p>
            <w:pPr>
              <w:spacing w:after="0"/>
              <w:rPr>
                <w:sz w:val="20"/>
                <w:szCs w:val="20"/>
                <w:color w:val="auto"/>
              </w:rPr>
            </w:pPr>
            <w:r>
              <w:rPr>
                <w:rFonts w:ascii="Arial" w:cs="Arial" w:eastAsia="Arial" w:hAnsi="Arial"/>
                <w:sz w:val="20"/>
                <w:szCs w:val="20"/>
                <w:color w:val="auto"/>
              </w:rPr>
              <w:t>financial assets with credit</w:t>
            </w:r>
          </w:p>
        </w:tc>
        <w:tc>
          <w:tcPr>
            <w:tcW w:w="15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r>
      <w:tr>
        <w:trPr>
          <w:trHeight w:val="321"/>
        </w:trPr>
        <w:tc>
          <w:tcPr>
            <w:tcW w:w="2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deterioration</w:t>
            </w:r>
          </w:p>
        </w:tc>
        <w:tc>
          <w:tcPr>
            <w:tcW w:w="15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20"/>
                <w:szCs w:val="20"/>
                <w:color w:val="auto"/>
              </w:rPr>
              <w:t>-</w:t>
            </w:r>
          </w:p>
        </w:tc>
      </w:tr>
      <w:tr>
        <w:trPr>
          <w:trHeight w:val="274"/>
        </w:trPr>
        <w:tc>
          <w:tcPr>
            <w:tcW w:w="2480" w:type="dxa"/>
            <w:vAlign w:val="bottom"/>
          </w:tcPr>
          <w:p>
            <w:pPr>
              <w:spacing w:after="0"/>
              <w:rPr>
                <w:sz w:val="20"/>
                <w:szCs w:val="20"/>
                <w:color w:val="auto"/>
              </w:rPr>
            </w:pPr>
            <w:r>
              <w:rPr>
                <w:rFonts w:ascii="Arial" w:cs="Arial" w:eastAsia="Arial" w:hAnsi="Arial"/>
                <w:sz w:val="20"/>
                <w:szCs w:val="20"/>
                <w:color w:val="auto"/>
              </w:rPr>
              <w:t>Charge-offs of securities</w:t>
            </w:r>
          </w:p>
        </w:tc>
        <w:tc>
          <w:tcPr>
            <w:tcW w:w="15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41"/>
        </w:trPr>
        <w:tc>
          <w:tcPr>
            <w:tcW w:w="24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304"/>
        </w:trPr>
        <w:tc>
          <w:tcPr>
            <w:tcW w:w="2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Recoveries</w:t>
            </w:r>
          </w:p>
        </w:tc>
        <w:tc>
          <w:tcPr>
            <w:tcW w:w="15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20"/>
                <w:szCs w:val="20"/>
                <w:color w:val="auto"/>
              </w:rPr>
              <w:t>-</w:t>
            </w:r>
          </w:p>
        </w:tc>
      </w:tr>
      <w:tr>
        <w:trPr>
          <w:trHeight w:val="274"/>
        </w:trPr>
        <w:tc>
          <w:tcPr>
            <w:tcW w:w="2480" w:type="dxa"/>
            <w:vAlign w:val="bottom"/>
          </w:tcPr>
          <w:p>
            <w:pPr>
              <w:spacing w:after="0"/>
              <w:rPr>
                <w:sz w:val="20"/>
                <w:szCs w:val="20"/>
                <w:color w:val="auto"/>
              </w:rPr>
            </w:pPr>
            <w:r>
              <w:rPr>
                <w:rFonts w:ascii="Arial" w:cs="Arial" w:eastAsia="Arial" w:hAnsi="Arial"/>
                <w:sz w:val="20"/>
                <w:szCs w:val="20"/>
                <w:color w:val="auto"/>
                <w:w w:val="94"/>
              </w:rPr>
              <w:t>Balance, December 31, 2025</w:t>
            </w:r>
          </w:p>
        </w:tc>
        <w:tc>
          <w:tcPr>
            <w:tcW w:w="1540" w:type="dxa"/>
            <w:vAlign w:val="bottom"/>
          </w:tcPr>
          <w:p>
            <w:pPr>
              <w:jc w:val="right"/>
              <w:ind w:right="117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74"/>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ind w:left="40"/>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175</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20"/>
                <w:szCs w:val="20"/>
                <w:color w:val="auto"/>
              </w:rPr>
              <w:t>176</w:t>
            </w:r>
          </w:p>
        </w:tc>
      </w:tr>
      <w:tr>
        <w:trPr>
          <w:trHeight w:val="715"/>
        </w:trPr>
        <w:tc>
          <w:tcPr>
            <w:tcW w:w="2480" w:type="dxa"/>
            <w:vAlign w:val="bottom"/>
          </w:tcPr>
          <w:p>
            <w:pPr>
              <w:spacing w:after="0"/>
              <w:rPr>
                <w:sz w:val="24"/>
                <w:szCs w:val="24"/>
                <w:color w:val="auto"/>
              </w:rPr>
            </w:pPr>
          </w:p>
        </w:tc>
        <w:tc>
          <w:tcPr>
            <w:tcW w:w="1540" w:type="dxa"/>
            <w:vAlign w:val="bottom"/>
          </w:tcPr>
          <w:p>
            <w:pPr>
              <w:jc w:val="center"/>
              <w:ind w:left="133"/>
              <w:spacing w:after="0"/>
              <w:rPr>
                <w:sz w:val="20"/>
                <w:szCs w:val="20"/>
                <w:color w:val="auto"/>
              </w:rPr>
            </w:pPr>
            <w:r>
              <w:rPr>
                <w:rFonts w:ascii="Arial" w:cs="Arial" w:eastAsia="Arial" w:hAnsi="Arial"/>
                <w:sz w:val="22"/>
                <w:szCs w:val="22"/>
                <w:color w:val="auto"/>
                <w:w w:val="90"/>
              </w:rPr>
              <w:t>Government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0"/>
        </w:trPr>
        <w:tc>
          <w:tcPr>
            <w:tcW w:w="2480" w:type="dxa"/>
            <w:vAlign w:val="bottom"/>
          </w:tcPr>
          <w:p>
            <w:pPr>
              <w:spacing w:after="0"/>
              <w:rPr>
                <w:sz w:val="24"/>
                <w:szCs w:val="24"/>
                <w:color w:val="auto"/>
              </w:rPr>
            </w:pPr>
          </w:p>
        </w:tc>
        <w:tc>
          <w:tcPr>
            <w:tcW w:w="1540" w:type="dxa"/>
            <w:vAlign w:val="bottom"/>
          </w:tcPr>
          <w:p>
            <w:pPr>
              <w:jc w:val="center"/>
              <w:ind w:left="133"/>
              <w:spacing w:after="0"/>
              <w:rPr>
                <w:sz w:val="20"/>
                <w:szCs w:val="20"/>
                <w:color w:val="auto"/>
              </w:rPr>
            </w:pPr>
            <w:r>
              <w:rPr>
                <w:rFonts w:ascii="Arial" w:cs="Arial" w:eastAsia="Arial" w:hAnsi="Arial"/>
                <w:sz w:val="22"/>
                <w:szCs w:val="22"/>
                <w:color w:val="auto"/>
                <w:w w:val="87"/>
              </w:rPr>
              <w:t>Issued and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137"/>
              <w:spacing w:after="0"/>
              <w:rPr>
                <w:sz w:val="20"/>
                <w:szCs w:val="20"/>
                <w:color w:val="auto"/>
              </w:rPr>
            </w:pPr>
            <w:r>
              <w:rPr>
                <w:rFonts w:ascii="Arial" w:cs="Arial" w:eastAsia="Arial" w:hAnsi="Arial"/>
                <w:sz w:val="22"/>
                <w:szCs w:val="22"/>
                <w:color w:val="auto"/>
                <w:w w:val="88"/>
              </w:rPr>
              <w:t>Securities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0"/>
        </w:trPr>
        <w:tc>
          <w:tcPr>
            <w:tcW w:w="2480" w:type="dxa"/>
            <w:vAlign w:val="bottom"/>
          </w:tcPr>
          <w:p>
            <w:pPr>
              <w:spacing w:after="0"/>
              <w:rPr>
                <w:sz w:val="24"/>
                <w:szCs w:val="24"/>
                <w:color w:val="auto"/>
              </w:rPr>
            </w:pPr>
          </w:p>
        </w:tc>
        <w:tc>
          <w:tcPr>
            <w:tcW w:w="1540" w:type="dxa"/>
            <w:vAlign w:val="bottom"/>
          </w:tcPr>
          <w:p>
            <w:pPr>
              <w:jc w:val="center"/>
              <w:ind w:left="133"/>
              <w:spacing w:after="0"/>
              <w:rPr>
                <w:sz w:val="20"/>
                <w:szCs w:val="20"/>
                <w:color w:val="auto"/>
              </w:rPr>
            </w:pPr>
            <w:r>
              <w:rPr>
                <w:rFonts w:ascii="Arial" w:cs="Arial" w:eastAsia="Arial" w:hAnsi="Arial"/>
                <w:sz w:val="22"/>
                <w:szCs w:val="22"/>
                <w:color w:val="auto"/>
                <w:w w:val="90"/>
              </w:rPr>
              <w:t>Government</w:t>
            </w:r>
          </w:p>
        </w:tc>
        <w:tc>
          <w:tcPr>
            <w:tcW w:w="20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22"/>
                <w:szCs w:val="22"/>
                <w:color w:val="auto"/>
                <w:w w:val="98"/>
              </w:rPr>
              <w:t>Mortgage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137"/>
              <w:spacing w:after="0"/>
              <w:rPr>
                <w:sz w:val="20"/>
                <w:szCs w:val="20"/>
                <w:color w:val="auto"/>
              </w:rPr>
            </w:pPr>
            <w:r>
              <w:rPr>
                <w:rFonts w:ascii="Arial" w:cs="Arial" w:eastAsia="Arial" w:hAnsi="Arial"/>
                <w:sz w:val="22"/>
                <w:szCs w:val="22"/>
                <w:color w:val="auto"/>
                <w:w w:val="88"/>
              </w:rPr>
              <w:t>Issued By</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0"/>
        </w:trPr>
        <w:tc>
          <w:tcPr>
            <w:tcW w:w="2480" w:type="dxa"/>
            <w:vAlign w:val="bottom"/>
          </w:tcPr>
          <w:p>
            <w:pPr>
              <w:spacing w:after="0"/>
              <w:rPr>
                <w:sz w:val="24"/>
                <w:szCs w:val="24"/>
                <w:color w:val="auto"/>
              </w:rPr>
            </w:pPr>
          </w:p>
        </w:tc>
        <w:tc>
          <w:tcPr>
            <w:tcW w:w="1540" w:type="dxa"/>
            <w:vAlign w:val="bottom"/>
          </w:tcPr>
          <w:p>
            <w:pPr>
              <w:jc w:val="center"/>
              <w:ind w:left="133"/>
              <w:spacing w:after="0"/>
              <w:rPr>
                <w:sz w:val="20"/>
                <w:szCs w:val="20"/>
                <w:color w:val="auto"/>
              </w:rPr>
            </w:pPr>
            <w:r>
              <w:rPr>
                <w:rFonts w:ascii="Arial" w:cs="Arial" w:eastAsia="Arial" w:hAnsi="Arial"/>
                <w:sz w:val="22"/>
                <w:szCs w:val="22"/>
                <w:color w:val="auto"/>
                <w:w w:val="88"/>
              </w:rPr>
              <w:t>Sponsored</w:t>
            </w:r>
          </w:p>
        </w:tc>
        <w:tc>
          <w:tcPr>
            <w:tcW w:w="200" w:type="dxa"/>
            <w:vAlign w:val="bottom"/>
          </w:tcPr>
          <w:p>
            <w:pPr>
              <w:spacing w:after="0"/>
              <w:rPr>
                <w:sz w:val="24"/>
                <w:szCs w:val="24"/>
                <w:color w:val="auto"/>
              </w:rPr>
            </w:pPr>
          </w:p>
        </w:tc>
        <w:tc>
          <w:tcPr>
            <w:tcW w:w="1140" w:type="dxa"/>
            <w:vAlign w:val="bottom"/>
          </w:tcPr>
          <w:p>
            <w:pPr>
              <w:ind w:left="180"/>
              <w:spacing w:after="0"/>
              <w:rPr>
                <w:sz w:val="20"/>
                <w:szCs w:val="20"/>
                <w:color w:val="auto"/>
              </w:rPr>
            </w:pPr>
            <w:r>
              <w:rPr>
                <w:rFonts w:ascii="Arial" w:cs="Arial" w:eastAsia="Arial" w:hAnsi="Arial"/>
                <w:sz w:val="22"/>
                <w:szCs w:val="22"/>
                <w:color w:val="auto"/>
                <w:w w:val="89"/>
              </w:rPr>
              <w:t>and Asset-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137"/>
              <w:spacing w:after="0"/>
              <w:rPr>
                <w:sz w:val="20"/>
                <w:szCs w:val="20"/>
                <w:color w:val="auto"/>
              </w:rPr>
            </w:pPr>
            <w:r>
              <w:rPr>
                <w:rFonts w:ascii="Arial" w:cs="Arial" w:eastAsia="Arial" w:hAnsi="Arial"/>
                <w:sz w:val="22"/>
                <w:szCs w:val="22"/>
                <w:color w:val="auto"/>
                <w:w w:val="87"/>
              </w:rPr>
              <w:t>State and</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0"/>
        </w:trPr>
        <w:tc>
          <w:tcPr>
            <w:tcW w:w="2480" w:type="dxa"/>
            <w:vAlign w:val="bottom"/>
          </w:tcPr>
          <w:p>
            <w:pPr>
              <w:spacing w:after="0"/>
              <w:rPr>
                <w:sz w:val="24"/>
                <w:szCs w:val="24"/>
                <w:color w:val="auto"/>
              </w:rPr>
            </w:pPr>
          </w:p>
        </w:tc>
        <w:tc>
          <w:tcPr>
            <w:tcW w:w="1540" w:type="dxa"/>
            <w:vAlign w:val="bottom"/>
          </w:tcPr>
          <w:p>
            <w:pPr>
              <w:jc w:val="center"/>
              <w:ind w:left="133"/>
              <w:spacing w:after="0"/>
              <w:rPr>
                <w:sz w:val="20"/>
                <w:szCs w:val="20"/>
                <w:color w:val="auto"/>
              </w:rPr>
            </w:pPr>
            <w:r>
              <w:rPr>
                <w:rFonts w:ascii="Arial" w:cs="Arial" w:eastAsia="Arial" w:hAnsi="Arial"/>
                <w:sz w:val="22"/>
                <w:szCs w:val="22"/>
                <w:color w:val="auto"/>
                <w:w w:val="89"/>
              </w:rPr>
              <w:t>Enterprise</w:t>
            </w:r>
          </w:p>
        </w:tc>
        <w:tc>
          <w:tcPr>
            <w:tcW w:w="200" w:type="dxa"/>
            <w:vAlign w:val="bottom"/>
          </w:tcPr>
          <w:p>
            <w:pPr>
              <w:spacing w:after="0"/>
              <w:rPr>
                <w:sz w:val="24"/>
                <w:szCs w:val="24"/>
                <w:color w:val="auto"/>
              </w:rPr>
            </w:pPr>
          </w:p>
        </w:tc>
        <w:tc>
          <w:tcPr>
            <w:tcW w:w="1140" w:type="dxa"/>
            <w:vAlign w:val="bottom"/>
          </w:tcPr>
          <w:p>
            <w:pPr>
              <w:jc w:val="right"/>
              <w:ind w:right="94"/>
              <w:spacing w:after="0"/>
              <w:rPr>
                <w:sz w:val="20"/>
                <w:szCs w:val="20"/>
                <w:color w:val="auto"/>
              </w:rPr>
            </w:pPr>
            <w:r>
              <w:rPr>
                <w:rFonts w:ascii="Arial" w:cs="Arial" w:eastAsia="Arial" w:hAnsi="Arial"/>
                <w:sz w:val="22"/>
                <w:szCs w:val="22"/>
                <w:color w:val="auto"/>
              </w:rPr>
              <w:t>backed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137"/>
              <w:spacing w:after="0"/>
              <w:rPr>
                <w:sz w:val="20"/>
                <w:szCs w:val="20"/>
                <w:color w:val="auto"/>
              </w:rPr>
            </w:pPr>
            <w:r>
              <w:rPr>
                <w:rFonts w:ascii="Arial" w:cs="Arial" w:eastAsia="Arial" w:hAnsi="Arial"/>
                <w:sz w:val="22"/>
                <w:szCs w:val="22"/>
                <w:color w:val="auto"/>
                <w:w w:val="97"/>
              </w:rPr>
              <w:t>Political</w:t>
            </w:r>
          </w:p>
        </w:tc>
        <w:tc>
          <w:tcPr>
            <w:tcW w:w="140" w:type="dxa"/>
            <w:vAlign w:val="bottom"/>
          </w:tcPr>
          <w:p>
            <w:pPr>
              <w:spacing w:after="0"/>
              <w:rPr>
                <w:sz w:val="24"/>
                <w:szCs w:val="24"/>
                <w:color w:val="auto"/>
              </w:rPr>
            </w:pPr>
          </w:p>
        </w:tc>
        <w:tc>
          <w:tcPr>
            <w:tcW w:w="1220" w:type="dxa"/>
            <w:vAlign w:val="bottom"/>
          </w:tcPr>
          <w:p>
            <w:pPr>
              <w:jc w:val="right"/>
              <w:ind w:right="198"/>
              <w:spacing w:after="0"/>
              <w:rPr>
                <w:sz w:val="20"/>
                <w:szCs w:val="20"/>
                <w:color w:val="auto"/>
              </w:rPr>
            </w:pPr>
            <w:r>
              <w:rPr>
                <w:rFonts w:ascii="Arial" w:cs="Arial" w:eastAsia="Arial" w:hAnsi="Arial"/>
                <w:sz w:val="22"/>
                <w:szCs w:val="22"/>
                <w:color w:val="auto"/>
                <w:w w:val="91"/>
              </w:rPr>
              <w:t>Corporate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4"/>
        </w:trPr>
        <w:tc>
          <w:tcPr>
            <w:tcW w:w="248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540" w:type="dxa"/>
            <w:vAlign w:val="bottom"/>
          </w:tcPr>
          <w:p>
            <w:pPr>
              <w:jc w:val="right"/>
              <w:ind w:right="73"/>
              <w:spacing w:after="0"/>
              <w:rPr>
                <w:sz w:val="20"/>
                <w:szCs w:val="20"/>
                <w:color w:val="auto"/>
              </w:rPr>
            </w:pPr>
            <w:r>
              <w:rPr>
                <w:rFonts w:ascii="Arial" w:cs="Arial" w:eastAsia="Arial" w:hAnsi="Arial"/>
                <w:sz w:val="22"/>
                <w:szCs w:val="22"/>
                <w:color w:val="auto"/>
              </w:rPr>
              <w:t>Securities</w:t>
            </w:r>
          </w:p>
        </w:tc>
        <w:tc>
          <w:tcPr>
            <w:tcW w:w="20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22"/>
                <w:szCs w:val="22"/>
                <w:color w:val="auto"/>
                <w:w w:val="93"/>
              </w:rPr>
              <w:t>Securities</w:t>
            </w:r>
          </w:p>
        </w:tc>
        <w:tc>
          <w:tcPr>
            <w:tcW w:w="16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22"/>
                <w:szCs w:val="22"/>
                <w:color w:val="auto"/>
                <w:w w:val="98"/>
              </w:rPr>
              <w:t>Subdivisions</w:t>
            </w:r>
          </w:p>
        </w:tc>
        <w:tc>
          <w:tcPr>
            <w:tcW w:w="140" w:type="dxa"/>
            <w:vAlign w:val="bottom"/>
          </w:tcPr>
          <w:p>
            <w:pPr>
              <w:spacing w:after="0"/>
              <w:rPr>
                <w:sz w:val="24"/>
                <w:szCs w:val="24"/>
                <w:color w:val="auto"/>
              </w:rPr>
            </w:pPr>
          </w:p>
        </w:tc>
        <w:tc>
          <w:tcPr>
            <w:tcW w:w="1220" w:type="dxa"/>
            <w:vAlign w:val="bottom"/>
          </w:tcPr>
          <w:p>
            <w:pPr>
              <w:jc w:val="right"/>
              <w:ind w:right="178"/>
              <w:spacing w:after="0"/>
              <w:rPr>
                <w:sz w:val="20"/>
                <w:szCs w:val="20"/>
                <w:color w:val="auto"/>
              </w:rPr>
            </w:pPr>
            <w:r>
              <w:rPr>
                <w:rFonts w:ascii="Arial" w:cs="Arial" w:eastAsia="Arial" w:hAnsi="Arial"/>
                <w:sz w:val="22"/>
                <w:szCs w:val="22"/>
                <w:color w:val="auto"/>
                <w:w w:val="95"/>
              </w:rPr>
              <w:t>Securities</w:t>
            </w:r>
          </w:p>
        </w:tc>
        <w:tc>
          <w:tcPr>
            <w:tcW w:w="220" w:type="dxa"/>
            <w:vAlign w:val="bottom"/>
          </w:tcPr>
          <w:p>
            <w:pPr>
              <w:spacing w:after="0"/>
              <w:rPr>
                <w:sz w:val="24"/>
                <w:szCs w:val="24"/>
                <w:color w:val="auto"/>
              </w:rPr>
            </w:pPr>
          </w:p>
        </w:tc>
        <w:tc>
          <w:tcPr>
            <w:tcW w:w="1020" w:type="dxa"/>
            <w:vAlign w:val="bottom"/>
          </w:tcPr>
          <w:p>
            <w:pPr>
              <w:jc w:val="right"/>
              <w:ind w:right="339"/>
              <w:spacing w:after="0"/>
              <w:rPr>
                <w:sz w:val="20"/>
                <w:szCs w:val="20"/>
                <w:color w:val="auto"/>
              </w:rPr>
            </w:pPr>
            <w:r>
              <w:rPr>
                <w:rFonts w:ascii="Arial" w:cs="Arial" w:eastAsia="Arial" w:hAnsi="Arial"/>
                <w:sz w:val="22"/>
                <w:szCs w:val="22"/>
                <w:color w:val="auto"/>
              </w:rPr>
              <w:t>Total</w:t>
            </w:r>
          </w:p>
        </w:tc>
      </w:tr>
      <w:tr>
        <w:trPr>
          <w:trHeight w:val="324"/>
        </w:trPr>
        <w:tc>
          <w:tcPr>
            <w:tcW w:w="2480" w:type="dxa"/>
            <w:vAlign w:val="bottom"/>
          </w:tcPr>
          <w:p>
            <w:pPr>
              <w:spacing w:after="0"/>
              <w:rPr>
                <w:sz w:val="20"/>
                <w:szCs w:val="20"/>
                <w:color w:val="auto"/>
              </w:rPr>
            </w:pPr>
            <w:r>
              <w:rPr>
                <w:rFonts w:ascii="Arial" w:cs="Arial" w:eastAsia="Arial" w:hAnsi="Arial"/>
                <w:sz w:val="20"/>
                <w:szCs w:val="20"/>
                <w:color w:val="auto"/>
              </w:rPr>
              <w:t>Balance, January 1, 2024</w:t>
            </w:r>
          </w:p>
        </w:tc>
        <w:tc>
          <w:tcPr>
            <w:tcW w:w="1540" w:type="dxa"/>
            <w:vAlign w:val="bottom"/>
          </w:tcPr>
          <w:p>
            <w:pPr>
              <w:jc w:val="right"/>
              <w:ind w:right="117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74"/>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ind w:left="40"/>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350</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20"/>
                <w:szCs w:val="20"/>
                <w:color w:val="auto"/>
              </w:rPr>
              <w:t>352</w:t>
            </w:r>
          </w:p>
        </w:tc>
      </w:tr>
      <w:tr>
        <w:trPr>
          <w:trHeight w:val="41"/>
        </w:trPr>
        <w:tc>
          <w:tcPr>
            <w:tcW w:w="24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2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Provision for credit losses</w:t>
            </w:r>
          </w:p>
        </w:tc>
        <w:tc>
          <w:tcPr>
            <w:tcW w:w="15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(94)</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(95)</w:t>
            </w:r>
          </w:p>
        </w:tc>
      </w:tr>
      <w:tr>
        <w:trPr>
          <w:trHeight w:val="274"/>
        </w:trPr>
        <w:tc>
          <w:tcPr>
            <w:tcW w:w="2480" w:type="dxa"/>
            <w:vAlign w:val="bottom"/>
          </w:tcPr>
          <w:p>
            <w:pPr>
              <w:spacing w:after="0"/>
              <w:rPr>
                <w:sz w:val="20"/>
                <w:szCs w:val="20"/>
                <w:color w:val="auto"/>
              </w:rPr>
            </w:pPr>
            <w:r>
              <w:rPr>
                <w:rFonts w:ascii="Arial" w:cs="Arial" w:eastAsia="Arial" w:hAnsi="Arial"/>
                <w:sz w:val="20"/>
                <w:szCs w:val="20"/>
                <w:color w:val="auto"/>
              </w:rPr>
              <w:t>Allowance on purchased</w:t>
            </w:r>
          </w:p>
        </w:tc>
        <w:tc>
          <w:tcPr>
            <w:tcW w:w="1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0"/>
        </w:trPr>
        <w:tc>
          <w:tcPr>
            <w:tcW w:w="2480" w:type="dxa"/>
            <w:vAlign w:val="bottom"/>
          </w:tcPr>
          <w:p>
            <w:pPr>
              <w:spacing w:after="0"/>
              <w:rPr>
                <w:sz w:val="20"/>
                <w:szCs w:val="20"/>
                <w:color w:val="auto"/>
              </w:rPr>
            </w:pPr>
            <w:r>
              <w:rPr>
                <w:rFonts w:ascii="Arial" w:cs="Arial" w:eastAsia="Arial" w:hAnsi="Arial"/>
                <w:sz w:val="20"/>
                <w:szCs w:val="20"/>
                <w:color w:val="auto"/>
              </w:rPr>
              <w:t>financial assets with credit</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2480" w:type="dxa"/>
            <w:vAlign w:val="bottom"/>
          </w:tcPr>
          <w:p>
            <w:pPr>
              <w:spacing w:after="0"/>
              <w:rPr>
                <w:sz w:val="20"/>
                <w:szCs w:val="20"/>
                <w:color w:val="auto"/>
              </w:rPr>
            </w:pPr>
            <w:r>
              <w:rPr>
                <w:rFonts w:ascii="Arial" w:cs="Arial" w:eastAsia="Arial" w:hAnsi="Arial"/>
                <w:sz w:val="20"/>
                <w:szCs w:val="20"/>
                <w:color w:val="auto"/>
              </w:rPr>
              <w:t>deterioration</w:t>
            </w:r>
          </w:p>
        </w:tc>
        <w:tc>
          <w:tcPr>
            <w:tcW w:w="15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41"/>
        </w:trPr>
        <w:tc>
          <w:tcPr>
            <w:tcW w:w="24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2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Charge-offs of securities</w:t>
            </w:r>
          </w:p>
        </w:tc>
        <w:tc>
          <w:tcPr>
            <w:tcW w:w="15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20"/>
                <w:szCs w:val="20"/>
                <w:color w:val="auto"/>
              </w:rPr>
              <w:t>-</w:t>
            </w:r>
          </w:p>
        </w:tc>
      </w:tr>
      <w:tr>
        <w:trPr>
          <w:trHeight w:val="274"/>
        </w:trPr>
        <w:tc>
          <w:tcPr>
            <w:tcW w:w="2480" w:type="dxa"/>
            <w:vAlign w:val="bottom"/>
          </w:tcPr>
          <w:p>
            <w:pPr>
              <w:spacing w:after="0"/>
              <w:rPr>
                <w:sz w:val="20"/>
                <w:szCs w:val="20"/>
                <w:color w:val="auto"/>
              </w:rPr>
            </w:pPr>
            <w:r>
              <w:rPr>
                <w:rFonts w:ascii="Arial" w:cs="Arial" w:eastAsia="Arial" w:hAnsi="Arial"/>
                <w:sz w:val="20"/>
                <w:szCs w:val="20"/>
                <w:color w:val="auto"/>
              </w:rPr>
              <w:t>Recoveries</w:t>
            </w:r>
          </w:p>
        </w:tc>
        <w:tc>
          <w:tcPr>
            <w:tcW w:w="15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51"/>
        </w:trPr>
        <w:tc>
          <w:tcPr>
            <w:tcW w:w="2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4"/>
        </w:trPr>
        <w:tc>
          <w:tcPr>
            <w:tcW w:w="2480" w:type="dxa"/>
            <w:vAlign w:val="bottom"/>
            <w:shd w:val="clear" w:color="auto" w:fill="CFF0FC"/>
          </w:tcPr>
          <w:p>
            <w:pPr>
              <w:spacing w:after="0"/>
              <w:rPr>
                <w:sz w:val="20"/>
                <w:szCs w:val="20"/>
                <w:color w:val="auto"/>
              </w:rPr>
            </w:pPr>
            <w:r>
              <w:rPr>
                <w:rFonts w:ascii="Arial" w:cs="Arial" w:eastAsia="Arial" w:hAnsi="Arial"/>
                <w:sz w:val="20"/>
                <w:szCs w:val="20"/>
                <w:color w:val="auto"/>
                <w:w w:val="94"/>
              </w:rPr>
              <w:t>Balance, December 31, 2024</w:t>
            </w:r>
          </w:p>
        </w:tc>
        <w:tc>
          <w:tcPr>
            <w:tcW w:w="1540" w:type="dxa"/>
            <w:vAlign w:val="bottom"/>
            <w:shd w:val="clear" w:color="auto" w:fill="CFF0FC"/>
          </w:tcPr>
          <w:p>
            <w:pPr>
              <w:jc w:val="right"/>
              <w:ind w:right="1173"/>
              <w:spacing w:after="0"/>
              <w:rPr>
                <w:sz w:val="20"/>
                <w:szCs w:val="20"/>
                <w:color w:val="auto"/>
              </w:rPr>
            </w:pPr>
            <w:r>
              <w:rPr>
                <w:rFonts w:ascii="Arial" w:cs="Arial" w:eastAsia="Arial" w:hAnsi="Arial"/>
                <w:sz w:val="20"/>
                <w:szCs w:val="20"/>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ind w:right="874"/>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ind w:left="40"/>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256</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rPr>
              <w:t>257</w:t>
            </w:r>
          </w:p>
        </w:tc>
      </w:tr>
      <w:tr>
        <w:trPr>
          <w:trHeight w:val="86"/>
        </w:trPr>
        <w:tc>
          <w:tcPr>
            <w:tcW w:w="2480" w:type="dxa"/>
            <w:vAlign w:val="bottom"/>
            <w:shd w:val="clear" w:color="auto" w:fill="CFF0FC"/>
          </w:tcPr>
          <w:p>
            <w:pPr>
              <w:spacing w:after="0"/>
              <w:rPr>
                <w:sz w:val="7"/>
                <w:szCs w:val="7"/>
                <w:color w:val="auto"/>
              </w:rPr>
            </w:pPr>
          </w:p>
        </w:tc>
        <w:tc>
          <w:tcPr>
            <w:tcW w:w="15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r>
      <w:tr>
        <w:trPr>
          <w:trHeight w:val="705"/>
        </w:trPr>
        <w:tc>
          <w:tcPr>
            <w:tcW w:w="2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314"/>
              <w:spacing w:after="0"/>
              <w:rPr>
                <w:sz w:val="20"/>
                <w:szCs w:val="20"/>
                <w:color w:val="auto"/>
              </w:rPr>
            </w:pPr>
            <w:r>
              <w:rPr>
                <w:rFonts w:ascii="Arial" w:cs="Arial" w:eastAsia="Arial" w:hAnsi="Arial"/>
                <w:sz w:val="22"/>
                <w:szCs w:val="22"/>
                <w:color w:val="auto"/>
              </w:rPr>
              <w:t>- 76 -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95"/>
        </w:trPr>
        <w:tc>
          <w:tcPr>
            <w:tcW w:w="248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-4358640</wp:posOffset>
            </wp:positionV>
            <wp:extent cx="596773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-4152900</wp:posOffset>
            </wp:positionV>
            <wp:extent cx="5967730" cy="285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-2647950</wp:posOffset>
            </wp:positionV>
            <wp:extent cx="5967730"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-1262380</wp:posOffset>
            </wp:positionV>
            <wp:extent cx="596773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-1056640</wp:posOffset>
            </wp:positionV>
            <wp:extent cx="5967730" cy="285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15</w:t>
      </w:r>
    </w:p>
    <w:p>
      <w:pPr>
        <w:sectPr>
          <w:pgSz w:w="11900" w:h="16838" w:orient="portrait"/>
          <w:cols w:equalWidth="0" w:num="1">
            <w:col w:w="9400"/>
          </w:cols>
          <w:pgMar w:left="1260" w:top="1133" w:right="1246" w:bottom="0" w:gutter="0" w:footer="0" w:header="0"/>
          <w:type w:val="continuous"/>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60"/>
        <w:spacing w:after="0" w:line="355" w:lineRule="auto"/>
        <w:rPr>
          <w:sz w:val="20"/>
          <w:szCs w:val="20"/>
          <w:color w:val="auto"/>
        </w:rPr>
      </w:pPr>
      <w:r>
        <w:rPr>
          <w:rFonts w:ascii="Arial" w:cs="Arial" w:eastAsia="Arial" w:hAnsi="Arial"/>
          <w:sz w:val="18"/>
          <w:szCs w:val="18"/>
          <w:color w:val="auto"/>
        </w:rPr>
        <w:t>The Company monitors the credit quality of the debt securities categorized as HTM primarily through the use of credit ratings. These assessments are made on a quarterly basis. The following table summarizes the amortized cost of debt securities categorized as HTM at December 31, 2025, aggregated by credit quality indicators: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10"/>
        </w:trPr>
        <w:tc>
          <w:tcPr>
            <w:tcW w:w="6680" w:type="dxa"/>
            <w:vAlign w:val="bottom"/>
          </w:tcPr>
          <w:p>
            <w:pPr>
              <w:spacing w:after="0"/>
              <w:rPr>
                <w:sz w:val="20"/>
                <w:szCs w:val="20"/>
                <w:color w:val="auto"/>
              </w:rPr>
            </w:pPr>
            <w:r>
              <w:rPr>
                <w:rFonts w:ascii="Arial" w:cs="Arial" w:eastAsia="Arial" w:hAnsi="Arial"/>
                <w:sz w:val="20"/>
                <w:szCs w:val="20"/>
                <w:color w:val="auto"/>
              </w:rPr>
              <w:t>AAA or equivalent</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36,521</w:t>
            </w:r>
          </w:p>
        </w:tc>
      </w:tr>
      <w:tr>
        <w:trPr>
          <w:trHeight w:val="41"/>
        </w:trPr>
        <w:tc>
          <w:tcPr>
            <w:tcW w:w="6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9"/>
        </w:trPr>
        <w:tc>
          <w:tcPr>
            <w:tcW w:w="6680" w:type="dxa"/>
            <w:vAlign w:val="bottom"/>
            <w:shd w:val="clear" w:color="auto" w:fill="CFF0FC"/>
          </w:tcPr>
          <w:p>
            <w:pPr>
              <w:spacing w:after="0"/>
              <w:rPr>
                <w:sz w:val="20"/>
                <w:szCs w:val="20"/>
                <w:color w:val="auto"/>
              </w:rPr>
            </w:pPr>
            <w:r>
              <w:rPr>
                <w:rFonts w:ascii="Arial" w:cs="Arial" w:eastAsia="Arial" w:hAnsi="Arial"/>
                <w:sz w:val="20"/>
                <w:szCs w:val="20"/>
                <w:color w:val="auto"/>
              </w:rPr>
              <w:t>AA or equivalent, including securities issued by the</w:t>
            </w:r>
          </w:p>
        </w:tc>
        <w:tc>
          <w:tcPr>
            <w:tcW w:w="16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r>
      <w:tr>
        <w:trPr>
          <w:trHeight w:val="321"/>
        </w:trPr>
        <w:tc>
          <w:tcPr>
            <w:tcW w:w="6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States Government or Government Sponsored Enterprises</w:t>
            </w:r>
          </w:p>
        </w:tc>
        <w:tc>
          <w:tcPr>
            <w:tcW w:w="16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32,443</w:t>
            </w:r>
          </w:p>
        </w:tc>
      </w:tr>
      <w:tr>
        <w:trPr>
          <w:trHeight w:val="259"/>
        </w:trPr>
        <w:tc>
          <w:tcPr>
            <w:tcW w:w="6680" w:type="dxa"/>
            <w:vAlign w:val="bottom"/>
          </w:tcPr>
          <w:p>
            <w:pPr>
              <w:spacing w:after="0"/>
              <w:rPr>
                <w:sz w:val="20"/>
                <w:szCs w:val="20"/>
                <w:color w:val="auto"/>
              </w:rPr>
            </w:pPr>
            <w:r>
              <w:rPr>
                <w:rFonts w:ascii="Arial" w:cs="Arial" w:eastAsia="Arial" w:hAnsi="Arial"/>
                <w:sz w:val="20"/>
                <w:szCs w:val="20"/>
                <w:color w:val="auto"/>
              </w:rPr>
              <w:t>A or equivalent</w:t>
            </w:r>
          </w:p>
        </w:tc>
        <w:tc>
          <w:tcPr>
            <w:tcW w:w="16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9,204</w:t>
            </w:r>
          </w:p>
        </w:tc>
      </w:tr>
      <w:tr>
        <w:trPr>
          <w:trHeight w:val="41"/>
        </w:trPr>
        <w:tc>
          <w:tcPr>
            <w:tcW w:w="6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0"/>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BBB or equivalent</w:t>
            </w:r>
          </w:p>
        </w:tc>
        <w:tc>
          <w:tcPr>
            <w:tcW w:w="16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7,488</w:t>
            </w:r>
          </w:p>
        </w:tc>
      </w:tr>
      <w:tr>
        <w:trPr>
          <w:trHeight w:val="259"/>
        </w:trPr>
        <w:tc>
          <w:tcPr>
            <w:tcW w:w="6680" w:type="dxa"/>
            <w:vAlign w:val="bottom"/>
          </w:tcPr>
          <w:p>
            <w:pPr>
              <w:spacing w:after="0"/>
              <w:rPr>
                <w:sz w:val="20"/>
                <w:szCs w:val="20"/>
                <w:color w:val="auto"/>
              </w:rPr>
            </w:pPr>
            <w:r>
              <w:rPr>
                <w:rFonts w:ascii="Arial" w:cs="Arial" w:eastAsia="Arial" w:hAnsi="Arial"/>
                <w:sz w:val="20"/>
                <w:szCs w:val="20"/>
                <w:color w:val="auto"/>
              </w:rPr>
              <w:t>BB or equivalent</w:t>
            </w:r>
          </w:p>
        </w:tc>
        <w:tc>
          <w:tcPr>
            <w:tcW w:w="16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1,490</w:t>
            </w:r>
          </w:p>
        </w:tc>
      </w:tr>
      <w:tr>
        <w:trPr>
          <w:trHeight w:val="41"/>
        </w:trPr>
        <w:tc>
          <w:tcPr>
            <w:tcW w:w="6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0"/>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Unrated</w:t>
            </w:r>
          </w:p>
        </w:tc>
        <w:tc>
          <w:tcPr>
            <w:tcW w:w="16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43,354</w:t>
            </w:r>
          </w:p>
        </w:tc>
      </w:tr>
      <w:tr>
        <w:trPr>
          <w:trHeight w:val="259"/>
        </w:trPr>
        <w:tc>
          <w:tcPr>
            <w:tcW w:w="6680" w:type="dxa"/>
            <w:vAlign w:val="bottom"/>
          </w:tcPr>
          <w:p>
            <w:pPr>
              <w:spacing w:after="0"/>
              <w:rPr>
                <w:sz w:val="20"/>
                <w:szCs w:val="20"/>
                <w:color w:val="auto"/>
              </w:rPr>
            </w:pPr>
            <w:r>
              <w:rPr>
                <w:rFonts w:ascii="Arial" w:cs="Arial" w:eastAsia="Arial" w:hAnsi="Arial"/>
                <w:sz w:val="20"/>
                <w:szCs w:val="20"/>
                <w:color w:val="auto"/>
              </w:rPr>
              <w:t>Total</w:t>
            </w:r>
          </w:p>
        </w:tc>
        <w:tc>
          <w:tcPr>
            <w:tcW w:w="168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130,500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-1510030</wp:posOffset>
            </wp:positionV>
            <wp:extent cx="596773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-170180</wp:posOffset>
            </wp:positionV>
            <wp:extent cx="596773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Proceeds of $21.7 million and $8.4 million, respectively on sales and redemptions of securities for the years ended</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 resulted in net realized gains (losses) detailed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2200" w:type="dxa"/>
            <w:vAlign w:val="bottom"/>
          </w:tcPr>
          <w:p>
            <w:pPr>
              <w:spacing w:after="0"/>
              <w:rPr>
                <w:sz w:val="19"/>
                <w:szCs w:val="19"/>
                <w:color w:val="auto"/>
              </w:rPr>
            </w:pPr>
          </w:p>
        </w:tc>
        <w:tc>
          <w:tcPr>
            <w:tcW w:w="1220" w:type="dxa"/>
            <w:vAlign w:val="bottom"/>
          </w:tcPr>
          <w:p>
            <w:pPr>
              <w:jc w:val="right"/>
              <w:ind w:right="60"/>
              <w:spacing w:after="0"/>
              <w:rPr>
                <w:sz w:val="20"/>
                <w:szCs w:val="20"/>
                <w:color w:val="auto"/>
              </w:rPr>
            </w:pPr>
            <w:r>
              <w:rPr>
                <w:rFonts w:ascii="Arial" w:cs="Arial" w:eastAsia="Arial" w:hAnsi="Arial"/>
                <w:sz w:val="20"/>
                <w:szCs w:val="20"/>
                <w:color w:val="auto"/>
              </w:rPr>
              <w:t>2025</w:t>
            </w:r>
          </w:p>
        </w:tc>
        <w:tc>
          <w:tcPr>
            <w:tcW w:w="8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2024</w:t>
            </w:r>
          </w:p>
        </w:tc>
      </w:tr>
      <w:tr>
        <w:trPr>
          <w:trHeight w:val="51"/>
        </w:trPr>
        <w:tc>
          <w:tcPr>
            <w:tcW w:w="39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80"/>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Realized gains on investments</w:t>
            </w:r>
          </w:p>
        </w:tc>
        <w:tc>
          <w:tcPr>
            <w:tcW w:w="220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w:t>
            </w:r>
          </w:p>
        </w:tc>
        <w:tc>
          <w:tcPr>
            <w:tcW w:w="86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828</w:t>
            </w:r>
          </w:p>
        </w:tc>
      </w:tr>
      <w:tr>
        <w:trPr>
          <w:trHeight w:val="259"/>
        </w:trPr>
        <w:tc>
          <w:tcPr>
            <w:tcW w:w="3960" w:type="dxa"/>
            <w:vAlign w:val="bottom"/>
          </w:tcPr>
          <w:p>
            <w:pPr>
              <w:spacing w:after="0"/>
              <w:rPr>
                <w:sz w:val="20"/>
                <w:szCs w:val="20"/>
                <w:color w:val="auto"/>
              </w:rPr>
            </w:pPr>
            <w:r>
              <w:rPr>
                <w:rFonts w:ascii="Arial" w:cs="Arial" w:eastAsia="Arial" w:hAnsi="Arial"/>
                <w:sz w:val="20"/>
                <w:szCs w:val="20"/>
                <w:color w:val="auto"/>
              </w:rPr>
              <w:t>Realized losses on investments</w:t>
            </w:r>
          </w:p>
        </w:tc>
        <w:tc>
          <w:tcPr>
            <w:tcW w:w="2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(25)</w:t>
            </w:r>
          </w:p>
        </w:tc>
        <w:tc>
          <w:tcPr>
            <w:tcW w:w="8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(899)</w:t>
            </w:r>
          </w:p>
        </w:tc>
      </w:tr>
      <w:tr>
        <w:trPr>
          <w:trHeight w:val="51"/>
        </w:trPr>
        <w:tc>
          <w:tcPr>
            <w:tcW w:w="39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9"/>
        </w:trPr>
        <w:tc>
          <w:tcPr>
            <w:tcW w:w="3960" w:type="dxa"/>
            <w:vAlign w:val="bottom"/>
            <w:shd w:val="clear" w:color="auto" w:fill="CFF0FC"/>
          </w:tcPr>
          <w:p>
            <w:pPr>
              <w:spacing w:after="0"/>
              <w:rPr>
                <w:sz w:val="20"/>
                <w:szCs w:val="20"/>
                <w:color w:val="auto"/>
              </w:rPr>
            </w:pPr>
            <w:r>
              <w:rPr>
                <w:rFonts w:ascii="Arial" w:cs="Arial" w:eastAsia="Arial" w:hAnsi="Arial"/>
                <w:sz w:val="20"/>
                <w:szCs w:val="20"/>
                <w:color w:val="auto"/>
              </w:rPr>
              <w:t>Total net realized gains (losses)</w:t>
            </w:r>
          </w:p>
        </w:tc>
        <w:tc>
          <w:tcPr>
            <w:tcW w:w="2200" w:type="dxa"/>
            <w:vAlign w:val="bottom"/>
            <w:shd w:val="clear" w:color="auto" w:fill="CFF0FC"/>
          </w:tcPr>
          <w:p>
            <w:pPr>
              <w:jc w:val="right"/>
              <w:ind w:right="54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860" w:type="dxa"/>
            <w:vAlign w:val="bottom"/>
            <w:shd w:val="clear" w:color="auto" w:fill="CFF0FC"/>
          </w:tcPr>
          <w:p>
            <w:pPr>
              <w:jc w:val="right"/>
              <w:ind w:right="54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w:t>
            </w:r>
          </w:p>
        </w:tc>
      </w:tr>
      <w:tr>
        <w:trPr>
          <w:trHeight w:val="86"/>
        </w:trPr>
        <w:tc>
          <w:tcPr>
            <w:tcW w:w="3960" w:type="dxa"/>
            <w:vAlign w:val="bottom"/>
            <w:shd w:val="clear" w:color="auto" w:fill="CFF0FC"/>
          </w:tcPr>
          <w:p>
            <w:pPr>
              <w:spacing w:after="0"/>
              <w:rPr>
                <w:sz w:val="7"/>
                <w:szCs w:val="7"/>
                <w:color w:val="auto"/>
              </w:rPr>
            </w:pPr>
          </w:p>
        </w:tc>
        <w:tc>
          <w:tcPr>
            <w:tcW w:w="220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1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-612140</wp:posOffset>
            </wp:positionV>
            <wp:extent cx="596773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-224790</wp:posOffset>
            </wp:positionV>
            <wp:extent cx="596773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ind w:right="60"/>
        <w:spacing w:after="0" w:line="355" w:lineRule="auto"/>
        <w:rPr>
          <w:sz w:val="20"/>
          <w:szCs w:val="20"/>
          <w:color w:val="auto"/>
        </w:rPr>
      </w:pPr>
      <w:r>
        <w:rPr>
          <w:rFonts w:ascii="Arial" w:cs="Arial" w:eastAsia="Arial" w:hAnsi="Arial"/>
          <w:sz w:val="18"/>
          <w:szCs w:val="18"/>
          <w:color w:val="auto"/>
        </w:rPr>
        <w:t>As of December 31, 2025 and December 31, 2024, securities with a fair value of $118.3 million and $119.8 million, respectively, were pledged to collateralize certain municipal deposit relationships. As of the same dates, securities with a fair value of $121.3 million and $123.2 million were pledged against certain borrowing arrangements.</w:t>
      </w:r>
    </w:p>
    <w:p>
      <w:pPr>
        <w:spacing w:after="0" w:line="102"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15</w:t>
      </w:r>
    </w:p>
    <w:p>
      <w:pPr>
        <w:sectPr>
          <w:pgSz w:w="11900" w:h="16838" w:orient="portrait"/>
          <w:cols w:equalWidth="0" w:num="1">
            <w:col w:w="9400"/>
          </w:cols>
          <w:pgMar w:left="1260" w:top="1440" w:right="1246" w:bottom="0" w:gutter="0" w:footer="0" w:header="0"/>
          <w:type w:val="continuous"/>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LOANS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Major classifications of loans are as follows: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60" w:type="dxa"/>
            <w:vAlign w:val="bottom"/>
          </w:tcPr>
          <w:p>
            <w:pPr>
              <w:jc w:val="right"/>
              <w:ind w:right="120"/>
              <w:spacing w:after="0"/>
              <w:rPr>
                <w:sz w:val="20"/>
                <w:szCs w:val="20"/>
                <w:color w:val="auto"/>
              </w:rPr>
            </w:pPr>
            <w:r>
              <w:rPr>
                <w:rFonts w:ascii="Arial" w:cs="Arial" w:eastAsia="Arial" w:hAnsi="Arial"/>
                <w:sz w:val="20"/>
                <w:szCs w:val="20"/>
                <w:color w:val="auto"/>
                <w:w w:val="89"/>
              </w:rPr>
              <w:t>December 31,</w:t>
            </w:r>
          </w:p>
        </w:tc>
        <w:tc>
          <w:tcPr>
            <w:tcW w:w="22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20"/>
                <w:szCs w:val="20"/>
                <w:color w:val="auto"/>
                <w:w w:val="89"/>
              </w:rPr>
              <w:t>December 31,</w:t>
            </w:r>
          </w:p>
        </w:tc>
      </w:tr>
      <w:tr>
        <w:trPr>
          <w:trHeight w:val="300"/>
        </w:trPr>
        <w:tc>
          <w:tcPr>
            <w:tcW w:w="492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600" w:type="dxa"/>
            <w:vAlign w:val="bottom"/>
          </w:tcPr>
          <w:p>
            <w:pPr>
              <w:spacing w:after="0"/>
              <w:rPr>
                <w:sz w:val="24"/>
                <w:szCs w:val="24"/>
                <w:color w:val="auto"/>
              </w:rPr>
            </w:pP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2025</w:t>
            </w:r>
          </w:p>
        </w:tc>
        <w:tc>
          <w:tcPr>
            <w:tcW w:w="220" w:type="dxa"/>
            <w:vAlign w:val="bottom"/>
          </w:tcPr>
          <w:p>
            <w:pPr>
              <w:spacing w:after="0"/>
              <w:rPr>
                <w:sz w:val="24"/>
                <w:szCs w:val="24"/>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51"/>
        </w:trPr>
        <w:tc>
          <w:tcPr>
            <w:tcW w:w="4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Residential mortgage loans:</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r>
      <w:tr>
        <w:trPr>
          <w:trHeight w:val="274"/>
        </w:trPr>
        <w:tc>
          <w:tcPr>
            <w:tcW w:w="4920" w:type="dxa"/>
            <w:vAlign w:val="bottom"/>
          </w:tcPr>
          <w:p>
            <w:pPr>
              <w:ind w:left="100"/>
              <w:spacing w:after="0"/>
              <w:rPr>
                <w:sz w:val="20"/>
                <w:szCs w:val="20"/>
                <w:color w:val="auto"/>
              </w:rPr>
            </w:pPr>
            <w:r>
              <w:rPr>
                <w:rFonts w:ascii="Arial" w:cs="Arial" w:eastAsia="Arial" w:hAnsi="Arial"/>
                <w:sz w:val="20"/>
                <w:szCs w:val="20"/>
                <w:color w:val="auto"/>
              </w:rPr>
              <w:t>1-4 family first-lien residential mortgages</w:t>
            </w: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239,692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251,373</w:t>
            </w:r>
          </w:p>
        </w:tc>
      </w:tr>
      <w:tr>
        <w:trPr>
          <w:trHeight w:val="41"/>
        </w:trPr>
        <w:tc>
          <w:tcPr>
            <w:tcW w:w="49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04"/>
        </w:trPr>
        <w:tc>
          <w:tcPr>
            <w:tcW w:w="49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Construction</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2,039</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4,864</w:t>
            </w:r>
          </w:p>
        </w:tc>
      </w:tr>
      <w:tr>
        <w:trPr>
          <w:trHeight w:val="274"/>
        </w:trPr>
        <w:tc>
          <w:tcPr>
            <w:tcW w:w="4920" w:type="dxa"/>
            <w:vAlign w:val="bottom"/>
          </w:tcPr>
          <w:p>
            <w:pPr>
              <w:spacing w:after="0"/>
              <w:rPr>
                <w:sz w:val="20"/>
                <w:szCs w:val="20"/>
                <w:color w:val="auto"/>
              </w:rPr>
            </w:pPr>
            <w:r>
              <w:rPr>
                <w:rFonts w:ascii="Arial" w:cs="Arial" w:eastAsia="Arial" w:hAnsi="Arial"/>
                <w:sz w:val="20"/>
                <w:szCs w:val="20"/>
                <w:color w:val="auto"/>
              </w:rPr>
              <w:t>Total residential mortgage loans</w:t>
            </w:r>
          </w:p>
        </w:tc>
        <w:tc>
          <w:tcPr>
            <w:tcW w:w="1600" w:type="dxa"/>
            <w:vAlign w:val="bottom"/>
          </w:tcPr>
          <w:p>
            <w:pPr>
              <w:spacing w:after="0"/>
              <w:rPr>
                <w:sz w:val="23"/>
                <w:szCs w:val="23"/>
                <w:color w:val="auto"/>
              </w:rPr>
            </w:pP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241,731</w:t>
            </w:r>
          </w:p>
        </w:tc>
        <w:tc>
          <w:tcPr>
            <w:tcW w:w="2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256,237</w:t>
            </w:r>
          </w:p>
        </w:tc>
      </w:tr>
      <w:tr>
        <w:trPr>
          <w:trHeight w:val="51"/>
        </w:trPr>
        <w:tc>
          <w:tcPr>
            <w:tcW w:w="4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loans:</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r>
      <w:tr>
        <w:trPr>
          <w:trHeight w:val="274"/>
        </w:trPr>
        <w:tc>
          <w:tcPr>
            <w:tcW w:w="4920" w:type="dxa"/>
            <w:vAlign w:val="bottom"/>
          </w:tcPr>
          <w:p>
            <w:pPr>
              <w:ind w:left="100"/>
              <w:spacing w:after="0"/>
              <w:rPr>
                <w:sz w:val="20"/>
                <w:szCs w:val="20"/>
                <w:color w:val="auto"/>
              </w:rPr>
            </w:pPr>
            <w:r>
              <w:rPr>
                <w:rFonts w:ascii="Arial" w:cs="Arial" w:eastAsia="Arial" w:hAnsi="Arial"/>
                <w:sz w:val="20"/>
                <w:szCs w:val="20"/>
                <w:color w:val="auto"/>
              </w:rPr>
              <w:t>Real estate</w:t>
            </w:r>
          </w:p>
        </w:tc>
        <w:tc>
          <w:tcPr>
            <w:tcW w:w="1600" w:type="dxa"/>
            <w:vAlign w:val="bottom"/>
          </w:tcPr>
          <w:p>
            <w:pPr>
              <w:spacing w:after="0"/>
              <w:rPr>
                <w:sz w:val="23"/>
                <w:szCs w:val="23"/>
                <w:color w:val="auto"/>
              </w:rPr>
            </w:pP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380,311</w:t>
            </w:r>
          </w:p>
        </w:tc>
        <w:tc>
          <w:tcPr>
            <w:tcW w:w="2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377,619</w:t>
            </w:r>
          </w:p>
        </w:tc>
      </w:tr>
      <w:tr>
        <w:trPr>
          <w:trHeight w:val="41"/>
        </w:trPr>
        <w:tc>
          <w:tcPr>
            <w:tcW w:w="49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49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Lines of credit</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75,371</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67,602</w:t>
            </w:r>
          </w:p>
        </w:tc>
      </w:tr>
      <w:tr>
        <w:trPr>
          <w:trHeight w:val="274"/>
        </w:trPr>
        <w:tc>
          <w:tcPr>
            <w:tcW w:w="4920" w:type="dxa"/>
            <w:vAlign w:val="bottom"/>
          </w:tcPr>
          <w:p>
            <w:pPr>
              <w:ind w:left="100"/>
              <w:spacing w:after="0"/>
              <w:rPr>
                <w:sz w:val="20"/>
                <w:szCs w:val="20"/>
                <w:color w:val="auto"/>
              </w:rPr>
            </w:pPr>
            <w:r>
              <w:rPr>
                <w:rFonts w:ascii="Arial" w:cs="Arial" w:eastAsia="Arial" w:hAnsi="Arial"/>
                <w:sz w:val="20"/>
                <w:szCs w:val="20"/>
                <w:color w:val="auto"/>
              </w:rPr>
              <w:t>Other commercial and industrial</w:t>
            </w:r>
          </w:p>
        </w:tc>
        <w:tc>
          <w:tcPr>
            <w:tcW w:w="1600" w:type="dxa"/>
            <w:vAlign w:val="bottom"/>
          </w:tcPr>
          <w:p>
            <w:pPr>
              <w:spacing w:after="0"/>
              <w:rPr>
                <w:sz w:val="23"/>
                <w:szCs w:val="23"/>
                <w:color w:val="auto"/>
              </w:rPr>
            </w:pP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81,210</w:t>
            </w:r>
          </w:p>
        </w:tc>
        <w:tc>
          <w:tcPr>
            <w:tcW w:w="2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89,800</w:t>
            </w:r>
          </w:p>
        </w:tc>
      </w:tr>
      <w:tr>
        <w:trPr>
          <w:trHeight w:val="41"/>
        </w:trPr>
        <w:tc>
          <w:tcPr>
            <w:tcW w:w="49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49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Paycheck Protection Program loans</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63</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113</w:t>
            </w:r>
          </w:p>
        </w:tc>
      </w:tr>
      <w:tr>
        <w:trPr>
          <w:trHeight w:val="274"/>
        </w:trPr>
        <w:tc>
          <w:tcPr>
            <w:tcW w:w="4920" w:type="dxa"/>
            <w:vAlign w:val="bottom"/>
          </w:tcPr>
          <w:p>
            <w:pPr>
              <w:ind w:left="100"/>
              <w:spacing w:after="0"/>
              <w:rPr>
                <w:sz w:val="20"/>
                <w:szCs w:val="20"/>
                <w:color w:val="auto"/>
              </w:rPr>
            </w:pPr>
            <w:r>
              <w:rPr>
                <w:rFonts w:ascii="Arial" w:cs="Arial" w:eastAsia="Arial" w:hAnsi="Arial"/>
                <w:sz w:val="20"/>
                <w:szCs w:val="20"/>
                <w:color w:val="auto"/>
              </w:rPr>
              <w:t>Tax exempt loans</w:t>
            </w:r>
          </w:p>
        </w:tc>
        <w:tc>
          <w:tcPr>
            <w:tcW w:w="1600" w:type="dxa"/>
            <w:vAlign w:val="bottom"/>
          </w:tcPr>
          <w:p>
            <w:pPr>
              <w:spacing w:after="0"/>
              <w:rPr>
                <w:sz w:val="23"/>
                <w:szCs w:val="23"/>
                <w:color w:val="auto"/>
              </w:rPr>
            </w:pP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6,716</w:t>
            </w:r>
          </w:p>
        </w:tc>
        <w:tc>
          <w:tcPr>
            <w:tcW w:w="2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4,544</w:t>
            </w:r>
          </w:p>
        </w:tc>
      </w:tr>
      <w:tr>
        <w:trPr>
          <w:trHeight w:val="51"/>
        </w:trPr>
        <w:tc>
          <w:tcPr>
            <w:tcW w:w="4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commercial loans</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543,671</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539,678</w:t>
            </w:r>
          </w:p>
        </w:tc>
      </w:tr>
      <w:tr>
        <w:trPr>
          <w:trHeight w:val="274"/>
        </w:trPr>
        <w:tc>
          <w:tcPr>
            <w:tcW w:w="4920" w:type="dxa"/>
            <w:vAlign w:val="bottom"/>
          </w:tcPr>
          <w:p>
            <w:pPr>
              <w:spacing w:after="0"/>
              <w:rPr>
                <w:sz w:val="20"/>
                <w:szCs w:val="20"/>
                <w:color w:val="auto"/>
              </w:rPr>
            </w:pPr>
            <w:r>
              <w:rPr>
                <w:rFonts w:ascii="Arial" w:cs="Arial" w:eastAsia="Arial" w:hAnsi="Arial"/>
                <w:sz w:val="20"/>
                <w:szCs w:val="20"/>
                <w:color w:val="auto"/>
              </w:rPr>
              <w:t>Consumer loans:</w:t>
            </w:r>
          </w:p>
        </w:tc>
        <w:tc>
          <w:tcPr>
            <w:tcW w:w="16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1"/>
        </w:trPr>
        <w:tc>
          <w:tcPr>
            <w:tcW w:w="49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49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Home equity and junior liens</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49,783</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51,948</w:t>
            </w:r>
          </w:p>
        </w:tc>
      </w:tr>
      <w:tr>
        <w:trPr>
          <w:trHeight w:val="274"/>
        </w:trPr>
        <w:tc>
          <w:tcPr>
            <w:tcW w:w="4920" w:type="dxa"/>
            <w:vAlign w:val="bottom"/>
          </w:tcPr>
          <w:p>
            <w:pPr>
              <w:ind w:left="100"/>
              <w:spacing w:after="0"/>
              <w:rPr>
                <w:sz w:val="20"/>
                <w:szCs w:val="20"/>
                <w:color w:val="auto"/>
              </w:rPr>
            </w:pPr>
            <w:r>
              <w:rPr>
                <w:rFonts w:ascii="Arial" w:cs="Arial" w:eastAsia="Arial" w:hAnsi="Arial"/>
                <w:sz w:val="20"/>
                <w:szCs w:val="20"/>
                <w:color w:val="auto"/>
              </w:rPr>
              <w:t>Other consumer</w:t>
            </w:r>
          </w:p>
        </w:tc>
        <w:tc>
          <w:tcPr>
            <w:tcW w:w="1600" w:type="dxa"/>
            <w:vAlign w:val="bottom"/>
          </w:tcPr>
          <w:p>
            <w:pPr>
              <w:spacing w:after="0"/>
              <w:rPr>
                <w:sz w:val="23"/>
                <w:szCs w:val="23"/>
                <w:color w:val="auto"/>
              </w:rPr>
            </w:pP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62,825</w:t>
            </w:r>
          </w:p>
        </w:tc>
        <w:tc>
          <w:tcPr>
            <w:tcW w:w="2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72,710</w:t>
            </w:r>
          </w:p>
        </w:tc>
      </w:tr>
      <w:tr>
        <w:trPr>
          <w:trHeight w:val="51"/>
        </w:trPr>
        <w:tc>
          <w:tcPr>
            <w:tcW w:w="4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consumer loans</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112,608</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124,658</w:t>
            </w:r>
          </w:p>
        </w:tc>
      </w:tr>
      <w:tr>
        <w:trPr>
          <w:trHeight w:val="274"/>
        </w:trPr>
        <w:tc>
          <w:tcPr>
            <w:tcW w:w="4920" w:type="dxa"/>
            <w:vAlign w:val="bottom"/>
          </w:tcPr>
          <w:p>
            <w:pPr>
              <w:ind w:left="100"/>
              <w:spacing w:after="0"/>
              <w:rPr>
                <w:sz w:val="20"/>
                <w:szCs w:val="20"/>
                <w:color w:val="auto"/>
              </w:rPr>
            </w:pPr>
            <w:r>
              <w:rPr>
                <w:rFonts w:ascii="Arial" w:cs="Arial" w:eastAsia="Arial" w:hAnsi="Arial"/>
                <w:sz w:val="20"/>
                <w:szCs w:val="20"/>
                <w:color w:val="auto"/>
              </w:rPr>
              <w:t>Loans, gross</w:t>
            </w:r>
          </w:p>
        </w:tc>
        <w:tc>
          <w:tcPr>
            <w:tcW w:w="1600" w:type="dxa"/>
            <w:vAlign w:val="bottom"/>
          </w:tcPr>
          <w:p>
            <w:pPr>
              <w:spacing w:after="0"/>
              <w:rPr>
                <w:sz w:val="23"/>
                <w:szCs w:val="23"/>
                <w:color w:val="auto"/>
              </w:rPr>
            </w:pP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898,010</w:t>
            </w:r>
          </w:p>
        </w:tc>
        <w:tc>
          <w:tcPr>
            <w:tcW w:w="2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920,573</w:t>
            </w:r>
          </w:p>
        </w:tc>
      </w:tr>
      <w:tr>
        <w:trPr>
          <w:trHeight w:val="41"/>
        </w:trPr>
        <w:tc>
          <w:tcPr>
            <w:tcW w:w="49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04"/>
        </w:trPr>
        <w:tc>
          <w:tcPr>
            <w:tcW w:w="49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Net deferred loan fees</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(1,340)</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(1,587)</w:t>
            </w:r>
          </w:p>
        </w:tc>
      </w:tr>
      <w:tr>
        <w:trPr>
          <w:trHeight w:val="274"/>
        </w:trPr>
        <w:tc>
          <w:tcPr>
            <w:tcW w:w="4920" w:type="dxa"/>
            <w:vAlign w:val="bottom"/>
          </w:tcPr>
          <w:p>
            <w:pPr>
              <w:spacing w:after="0"/>
              <w:rPr>
                <w:sz w:val="20"/>
                <w:szCs w:val="20"/>
                <w:color w:val="auto"/>
              </w:rPr>
            </w:pPr>
            <w:r>
              <w:rPr>
                <w:rFonts w:ascii="Arial" w:cs="Arial" w:eastAsia="Arial" w:hAnsi="Arial"/>
                <w:sz w:val="20"/>
                <w:szCs w:val="20"/>
                <w:color w:val="auto"/>
              </w:rPr>
              <w:t>Loans, net of deferred fees</w:t>
            </w:r>
          </w:p>
        </w:tc>
        <w:tc>
          <w:tcPr>
            <w:tcW w:w="1600" w:type="dxa"/>
            <w:vAlign w:val="bottom"/>
          </w:tcPr>
          <w:p>
            <w:pPr>
              <w:spacing w:after="0"/>
              <w:rPr>
                <w:sz w:val="23"/>
                <w:szCs w:val="23"/>
                <w:color w:val="auto"/>
              </w:rPr>
            </w:pP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896,670</w:t>
            </w:r>
          </w:p>
        </w:tc>
        <w:tc>
          <w:tcPr>
            <w:tcW w:w="22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918,986</w:t>
            </w:r>
          </w:p>
        </w:tc>
      </w:tr>
      <w:tr>
        <w:trPr>
          <w:trHeight w:val="51"/>
        </w:trPr>
        <w:tc>
          <w:tcPr>
            <w:tcW w:w="4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49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Less allowance for credit losses</w:t>
            </w:r>
          </w:p>
        </w:tc>
        <w:tc>
          <w:tcPr>
            <w:tcW w:w="1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29,436</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17,243</w:t>
            </w:r>
          </w:p>
        </w:tc>
      </w:tr>
      <w:tr>
        <w:trPr>
          <w:trHeight w:val="274"/>
        </w:trPr>
        <w:tc>
          <w:tcPr>
            <w:tcW w:w="4920" w:type="dxa"/>
            <w:vAlign w:val="bottom"/>
          </w:tcPr>
          <w:p>
            <w:pPr>
              <w:spacing w:after="0"/>
              <w:rPr>
                <w:sz w:val="20"/>
                <w:szCs w:val="20"/>
                <w:color w:val="auto"/>
              </w:rPr>
            </w:pPr>
            <w:r>
              <w:rPr>
                <w:rFonts w:ascii="Arial" w:cs="Arial" w:eastAsia="Arial" w:hAnsi="Arial"/>
                <w:sz w:val="20"/>
                <w:szCs w:val="20"/>
                <w:color w:val="auto"/>
              </w:rPr>
              <w:t>Loans receivable, net</w:t>
            </w: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867,234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901,743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-4029710</wp:posOffset>
            </wp:positionV>
            <wp:extent cx="5967730"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-3424555</wp:posOffset>
            </wp:positionV>
            <wp:extent cx="5967730"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-3218815</wp:posOffset>
            </wp:positionV>
            <wp:extent cx="596773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-2014220</wp:posOffset>
            </wp:positionV>
            <wp:extent cx="596773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-1808480</wp:posOffset>
            </wp:positionV>
            <wp:extent cx="5967730"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-1203325</wp:posOffset>
            </wp:positionV>
            <wp:extent cx="596773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-996950</wp:posOffset>
            </wp:positionV>
            <wp:extent cx="596773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-591820</wp:posOffset>
            </wp:positionV>
            <wp:extent cx="5967730"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-385445</wp:posOffset>
            </wp:positionV>
            <wp:extent cx="596773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15</w:t>
      </w:r>
    </w:p>
    <w:p>
      <w:pPr>
        <w:sectPr>
          <w:pgSz w:w="11900" w:h="16838" w:orient="portrait"/>
          <w:cols w:equalWidth="0" w:num="1">
            <w:col w:w="9400"/>
          </w:cols>
          <w:pgMar w:left="1260" w:top="1440" w:right="1246" w:bottom="0" w:gutter="0" w:footer="0" w:header="0"/>
          <w:type w:val="continuous"/>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Future credit-related performance of a loan portfolio generally depends upon the types of loans within the portfolio, concentrations by type of loan and the quality of the collateral securing the loans. The following table details the Company's loan portfolio by collateral type within major categories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967730" cy="7073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967730" cy="7073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Percent</w:t>
            </w:r>
          </w:p>
        </w:tc>
      </w:tr>
      <w:tr>
        <w:trPr>
          <w:trHeight w:val="270"/>
        </w:trPr>
        <w:tc>
          <w:tcPr>
            <w:tcW w:w="2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23"/>
                <w:szCs w:val="23"/>
                <w:color w:val="auto"/>
              </w:rPr>
            </w:pPr>
          </w:p>
        </w:tc>
        <w:tc>
          <w:tcPr>
            <w:tcW w:w="14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7"/>
              </w:rPr>
              <w:t>Minimum/</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Allowance</w:t>
            </w: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of</w:t>
            </w:r>
          </w:p>
        </w:tc>
      </w:tr>
      <w:tr>
        <w:trPr>
          <w:trHeight w:val="270"/>
        </w:trPr>
        <w:tc>
          <w:tcPr>
            <w:tcW w:w="2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3"/>
                <w:szCs w:val="23"/>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Loan</w:t>
            </w:r>
          </w:p>
        </w:tc>
        <w:tc>
          <w:tcPr>
            <w:tcW w:w="220" w:type="dxa"/>
            <w:vAlign w:val="bottom"/>
          </w:tcPr>
          <w:p>
            <w:pPr>
              <w:spacing w:after="0"/>
              <w:rPr>
                <w:sz w:val="23"/>
                <w:szCs w:val="23"/>
                <w:color w:val="auto"/>
              </w:rPr>
            </w:pPr>
          </w:p>
        </w:tc>
        <w:tc>
          <w:tcPr>
            <w:tcW w:w="14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for Credit</w:t>
            </w: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68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Balance</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of Loans</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3"/>
                <w:szCs w:val="23"/>
                <w:color w:val="auto"/>
              </w:rPr>
            </w:pPr>
          </w:p>
        </w:tc>
        <w:tc>
          <w:tcPr>
            <w:tcW w:w="142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Loan Balance</w:t>
            </w:r>
          </w:p>
        </w:tc>
        <w:tc>
          <w:tcPr>
            <w:tcW w:w="260" w:type="dxa"/>
            <w:vAlign w:val="bottom"/>
          </w:tcPr>
          <w:p>
            <w:pPr>
              <w:spacing w:after="0"/>
              <w:rPr>
                <w:sz w:val="23"/>
                <w:szCs w:val="23"/>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w w:val="83"/>
              </w:rPr>
              <w:t>Losses</w:t>
            </w: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Loans</w:t>
            </w:r>
          </w:p>
        </w:tc>
      </w:tr>
      <w:tr>
        <w:trPr>
          <w:trHeight w:val="324"/>
        </w:trPr>
        <w:tc>
          <w:tcPr>
            <w:tcW w:w="2680" w:type="dxa"/>
            <w:vAlign w:val="bottom"/>
          </w:tcPr>
          <w:p>
            <w:pPr>
              <w:spacing w:after="0"/>
              <w:rPr>
                <w:sz w:val="20"/>
                <w:szCs w:val="20"/>
                <w:color w:val="auto"/>
              </w:rPr>
            </w:pPr>
            <w:r>
              <w:rPr>
                <w:rFonts w:ascii="Arial" w:cs="Arial" w:eastAsia="Arial" w:hAnsi="Arial"/>
                <w:sz w:val="18"/>
                <w:szCs w:val="18"/>
                <w:b w:val="1"/>
                <w:bCs w:val="1"/>
                <w:color w:val="auto"/>
              </w:rPr>
              <w:t>Residential Mortgage Loans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241,731</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1,845</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4,660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2,615</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4"/>
        </w:trPr>
        <w:tc>
          <w:tcPr>
            <w:tcW w:w="26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248"/>
        </w:trPr>
        <w:tc>
          <w:tcPr>
            <w:tcW w:w="2680" w:type="dxa"/>
            <w:vAlign w:val="bottom"/>
          </w:tcPr>
          <w:p>
            <w:pPr>
              <w:spacing w:after="0"/>
              <w:rPr>
                <w:sz w:val="20"/>
                <w:szCs w:val="20"/>
                <w:color w:val="auto"/>
              </w:rPr>
            </w:pPr>
            <w:r>
              <w:rPr>
                <w:rFonts w:ascii="Arial" w:cs="Arial" w:eastAsia="Arial" w:hAnsi="Arial"/>
                <w:sz w:val="18"/>
                <w:szCs w:val="18"/>
                <w:b w:val="1"/>
                <w:bCs w:val="1"/>
                <w:color w:val="auto"/>
              </w:rPr>
              <w:t>Commercial Real Estate:</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Multi Family (5 or More)</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86,218</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1,287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8,100</w:t>
            </w:r>
          </w:p>
        </w:tc>
        <w:tc>
          <w:tcPr>
            <w:tcW w:w="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2,399</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Mixed Use</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55,361</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5,644</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1,540</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Office Space</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39,439</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6,113</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1,097</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Hotels and Motels</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32,355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3,595</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11,088</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1-4 Family</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22,910</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166</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2,299</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637</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Retail Space</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19,230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2,597</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Recreation/ Golf Course/ Marina</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13,746</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859</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2,407</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382</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Auto Dealership</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11,629</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4,223</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Nursing Home</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11,900</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5,950</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3,800</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8,100</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331</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Self Storage/Mini Storage</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11,921</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3,974</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11,495</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Manufacturing/Industrial</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8,564</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571</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3,171</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238</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6,599</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1,499</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Warehouse</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18,723</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851</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5,083</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521</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Assisted Living</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7,180</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7,180</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7,180</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Restaurant</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1,609</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216</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Auto Repair</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4,551</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1,869</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Hospitals</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2,234</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1,655</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2,813</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124</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Property for Community Service</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4,408</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4,408</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4,408</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School &amp; Education</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790</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3,004</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154</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All Others</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1,434</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6"/>
        </w:trPr>
        <w:tc>
          <w:tcPr>
            <w:tcW w:w="2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48"/>
        </w:trPr>
        <w:tc>
          <w:tcPr>
            <w:tcW w:w="2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Commercial Real Estate</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86"/>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Loans</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380,311</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556</w:t>
            </w:r>
          </w:p>
        </w:tc>
        <w:tc>
          <w:tcPr>
            <w:tcW w:w="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684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11,495</w:t>
            </w:r>
          </w:p>
        </w:tc>
        <w:tc>
          <w:tcPr>
            <w:tcW w:w="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10,580</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w:t>
            </w:r>
          </w:p>
        </w:tc>
      </w:tr>
      <w:tr>
        <w:trPr>
          <w:trHeight w:val="284"/>
        </w:trPr>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Commercial and Industrial:</w:t>
            </w:r>
          </w:p>
        </w:tc>
        <w:tc>
          <w:tcPr>
            <w:tcW w:w="36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Secured Term Loans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77,304</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2,521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6,301</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Unsecured Term Loans</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449</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318</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r>
      <w:tr>
        <w:trPr>
          <w:trHeight w:val="278"/>
        </w:trPr>
        <w:tc>
          <w:tcPr>
            <w:tcW w:w="2680" w:type="dxa"/>
            <w:vAlign w:val="bottom"/>
          </w:tcPr>
          <w:p>
            <w:pPr>
              <w:ind w:left="20"/>
              <w:spacing w:after="0"/>
              <w:rPr>
                <w:sz w:val="20"/>
                <w:szCs w:val="20"/>
                <w:color w:val="auto"/>
              </w:rPr>
            </w:pPr>
            <w:r>
              <w:rPr>
                <w:rFonts w:ascii="Arial" w:cs="Arial" w:eastAsia="Arial" w:hAnsi="Arial"/>
                <w:sz w:val="18"/>
                <w:szCs w:val="18"/>
                <w:color w:val="auto"/>
              </w:rPr>
              <w:t>Secured Lines of Credit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48,240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3,932</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04"/>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Unsecured Lines of Credit</w:t>
            </w:r>
          </w:p>
        </w:tc>
        <w:tc>
          <w:tcPr>
            <w:tcW w:w="3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27,131</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2,521</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2,211</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2680" w:type="dxa"/>
            <w:vAlign w:val="bottom"/>
          </w:tcPr>
          <w:p>
            <w:pPr>
              <w:spacing w:after="0"/>
              <w:rPr>
                <w:sz w:val="20"/>
                <w:szCs w:val="20"/>
                <w:color w:val="auto"/>
              </w:rPr>
            </w:pPr>
            <w:r>
              <w:rPr>
                <w:rFonts w:ascii="Arial" w:cs="Arial" w:eastAsia="Arial" w:hAnsi="Arial"/>
                <w:sz w:val="18"/>
                <w:szCs w:val="18"/>
                <w:b w:val="1"/>
                <w:bCs w:val="1"/>
                <w:color w:val="auto"/>
              </w:rPr>
              <w:t>Total Commercial and</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2680" w:type="dxa"/>
            <w:vAlign w:val="bottom"/>
          </w:tcPr>
          <w:p>
            <w:pPr>
              <w:ind w:left="140"/>
              <w:spacing w:after="0"/>
              <w:rPr>
                <w:sz w:val="20"/>
                <w:szCs w:val="20"/>
                <w:color w:val="auto"/>
              </w:rPr>
            </w:pPr>
            <w:r>
              <w:rPr>
                <w:rFonts w:ascii="Arial" w:cs="Arial" w:eastAsia="Arial" w:hAnsi="Arial"/>
                <w:sz w:val="18"/>
                <w:szCs w:val="18"/>
                <w:b w:val="1"/>
                <w:bCs w:val="1"/>
                <w:color w:val="auto"/>
              </w:rPr>
              <w:t>Industrial Loans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156,581</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12,762</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6"/>
        </w:trPr>
        <w:tc>
          <w:tcPr>
            <w:tcW w:w="2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4"/>
        </w:trPr>
        <w:tc>
          <w:tcPr>
            <w:tcW w:w="26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-6616700</wp:posOffset>
            </wp:positionV>
            <wp:extent cx="5967730" cy="66173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967730" cy="6617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-6616700</wp:posOffset>
            </wp:positionV>
            <wp:extent cx="5967730" cy="66173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967730" cy="661733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15</w:t>
      </w:r>
    </w:p>
    <w:p>
      <w:pPr>
        <w:sectPr>
          <w:pgSz w:w="11900" w:h="16838" w:orient="portrait"/>
          <w:cols w:equalWidth="0" w:num="1">
            <w:col w:w="9400"/>
          </w:cols>
          <w:pgMar w:left="1260" w:top="1440" w:right="1246" w:bottom="0" w:gutter="0" w:footer="0" w:header="0"/>
          <w:type w:val="continuous"/>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Exempt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3,719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16</w:t>
      </w:r>
    </w:p>
    <w:p>
      <w:pPr>
        <w:sectPr>
          <w:pgSz w:w="11900" w:h="16838" w:orient="portrait"/>
          <w:cols w:equalWidth="0" w:num="1">
            <w:col w:w="9400"/>
          </w:cols>
          <w:pgMar w:left="1260" w:top="1440" w:right="1246" w:bottom="0" w:gutter="0" w:footer="0" w:header="0"/>
          <w:type w:val="continuous"/>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16</w:t>
      </w:r>
    </w:p>
    <w:p>
      <w:pPr>
        <w:sectPr>
          <w:pgSz w:w="11900" w:h="16838" w:orient="portrait"/>
          <w:cols w:equalWidth="0" w:num="1">
            <w:col w:w="9400"/>
          </w:cols>
          <w:pgMar w:left="1260" w:top="1440" w:right="1246" w:bottom="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Arial" w:cs="Arial" w:eastAsia="Arial" w:hAnsi="Arial"/>
          <w:sz w:val="18"/>
          <w:szCs w:val="18"/>
          <w:color w:val="auto"/>
        </w:rPr>
        <w:t>Home Equity Lines of Credit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49,783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16</w:t>
      </w:r>
    </w:p>
    <w:p>
      <w:pPr>
        <w:sectPr>
          <w:pgSz w:w="11900" w:h="16838" w:orient="portrait"/>
          <w:cols w:equalWidth="0" w:num="1">
            <w:col w:w="9400"/>
          </w:cols>
          <w:pgMar w:left="1260" w:top="1440" w:right="1246" w:bottom="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Vehicle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Consumer Secured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22,882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1,248</w:t>
      </w:r>
    </w:p>
    <w:p>
      <w:pPr>
        <w:sectPr>
          <w:pgSz w:w="11900" w:h="16838" w:orient="portrait"/>
          <w:cols w:equalWidth="0" w:num="1">
            <w:col w:w="9400"/>
          </w:cols>
          <w:pgMar w:left="1260" w:top="11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16</w:t>
      </w:r>
    </w:p>
    <w:p>
      <w:pPr>
        <w:sectPr>
          <w:pgSz w:w="11900" w:h="16838" w:orient="portrait"/>
          <w:cols w:equalWidth="0" w:num="1">
            <w:col w:w="9400"/>
          </w:cols>
          <w:pgMar w:left="1260" w:top="1182" w:right="1246" w:bottom="0" w:gutter="0" w:footer="0" w:header="0"/>
          <w:type w:val="continuous"/>
        </w:sectPr>
      </w:pPr>
    </w:p>
    <w:bookmarkStart w:id="170" w:name="page171"/>
    <w:bookmarkEnd w:id="170"/>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Consumer Unsecured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All Others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16</w:t>
      </w:r>
    </w:p>
    <w:p>
      <w:pPr>
        <w:sectPr>
          <w:pgSz w:w="11900" w:h="16838" w:orient="portrait"/>
          <w:cols w:equalWidth="0" w:num="1">
            <w:col w:w="9400"/>
          </w:cols>
          <w:pgMar w:left="1260" w:top="1440" w:right="1246" w:bottom="0" w:gutter="0" w:footer="0" w:header="0"/>
          <w:type w:val="continuous"/>
        </w:sectPr>
      </w:pPr>
    </w:p>
    <w:bookmarkStart w:id="171" w:name="page172"/>
    <w:bookmarkEnd w:id="171"/>
    <w:p>
      <w:pPr>
        <w:jc w:val="right"/>
        <w:spacing w:after="0"/>
        <w:rPr>
          <w:sz w:val="20"/>
          <w:szCs w:val="20"/>
          <w:color w:val="auto"/>
        </w:rPr>
      </w:pPr>
      <w:r>
        <w:rPr>
          <w:rFonts w:ascii="Arial" w:cs="Arial" w:eastAsia="Arial" w:hAnsi="Arial"/>
          <w:sz w:val="18"/>
          <w:szCs w:val="18"/>
          <w:color w:val="auto"/>
        </w:rPr>
        <w:t>1,896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Consumer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112,608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5,709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3,474</w:t>
      </w:r>
    </w:p>
    <w:p>
      <w:pPr>
        <w:sectPr>
          <w:pgSz w:w="11900" w:h="16838" w:orient="portrait"/>
          <w:cols w:equalWidth="0" w:num="1">
            <w:col w:w="9400"/>
          </w:cols>
          <w:pgMar w:left="1260" w:top="11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16</w:t>
      </w:r>
    </w:p>
    <w:p>
      <w:pPr>
        <w:sectPr>
          <w:pgSz w:w="11900" w:h="16838" w:orient="portrait"/>
          <w:cols w:equalWidth="0" w:num="1">
            <w:col w:w="9400"/>
          </w:cols>
          <w:pgMar w:left="1260" w:top="1182" w:right="1246" w:bottom="0" w:gutter="0" w:footer="0" w:header="0"/>
          <w:type w:val="continuous"/>
        </w:sectPr>
      </w:pPr>
    </w:p>
    <w:bookmarkStart w:id="172" w:name="page173"/>
    <w:bookmarkEnd w:id="172"/>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deferred loan fees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16</w:t>
      </w:r>
    </w:p>
    <w:p>
      <w:pPr>
        <w:sectPr>
          <w:pgSz w:w="11900" w:h="16838" w:orient="portrait"/>
          <w:cols w:equalWidth="0" w:num="1">
            <w:col w:w="9400"/>
          </w:cols>
          <w:pgMar w:left="1260" w:top="1440" w:right="1246" w:bottom="0" w:gutter="0" w:footer="0" w:header="0"/>
          <w:type w:val="continuous"/>
        </w:sectPr>
      </w:pPr>
    </w:p>
    <w:bookmarkStart w:id="173" w:name="page174"/>
    <w:bookmarkEnd w:id="173"/>
    <w:p>
      <w:pPr>
        <w:ind w:left="80"/>
        <w:spacing w:after="0"/>
        <w:rPr>
          <w:sz w:val="20"/>
          <w:szCs w:val="20"/>
          <w:color w:val="auto"/>
        </w:rPr>
      </w:pPr>
      <w:r>
        <w:rPr>
          <w:rFonts w:ascii="Arial" w:cs="Arial" w:eastAsia="Arial" w:hAnsi="Arial"/>
          <w:sz w:val="18"/>
          <w:szCs w:val="18"/>
          <w:color w:val="auto"/>
        </w:rPr>
        <w:t>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(29,436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Loans, net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867,234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8,983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29,436</w:t>
      </w:r>
    </w:p>
    <w:p>
      <w:pPr>
        <w:sectPr>
          <w:pgSz w:w="11900" w:h="16838" w:orient="portrait"/>
          <w:cols w:equalWidth="0" w:num="1">
            <w:col w:w="9400"/>
          </w:cols>
          <w:pgMar w:left="1260" w:top="143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16</w:t>
      </w:r>
    </w:p>
    <w:p>
      <w:pPr>
        <w:sectPr>
          <w:pgSz w:w="11900" w:h="16838" w:orient="portrait"/>
          <w:cols w:equalWidth="0" w:num="1">
            <w:col w:w="9400"/>
          </w:cols>
          <w:pgMar w:left="1260" w:top="1430" w:right="1246" w:bottom="0" w:gutter="0" w:footer="0" w:header="0"/>
          <w:type w:val="continuous"/>
        </w:sectPr>
      </w:pPr>
    </w:p>
    <w:bookmarkStart w:id="174" w:name="page175"/>
    <w:bookmarkEnd w:id="174"/>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16" w:lineRule="exact"/>
        <w:rPr>
          <w:sz w:val="20"/>
          <w:szCs w:val="20"/>
          <w:color w:val="auto"/>
        </w:rPr>
      </w:pPr>
    </w:p>
    <w:p>
      <w:pPr>
        <w:jc w:val="both"/>
        <w:ind w:right="60"/>
        <w:spacing w:after="0" w:line="355" w:lineRule="auto"/>
        <w:rPr>
          <w:sz w:val="20"/>
          <w:szCs w:val="20"/>
          <w:color w:val="auto"/>
        </w:rPr>
      </w:pPr>
      <w:r>
        <w:rPr>
          <w:rFonts w:ascii="Arial" w:cs="Arial" w:eastAsia="Arial" w:hAnsi="Arial"/>
          <w:sz w:val="18"/>
          <w:szCs w:val="18"/>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16</w:t>
      </w:r>
    </w:p>
    <w:p>
      <w:pPr>
        <w:sectPr>
          <w:pgSz w:w="11900" w:h="16838" w:orient="portrait"/>
          <w:cols w:equalWidth="0" w:num="1">
            <w:col w:w="9400"/>
          </w:cols>
          <w:pgMar w:left="1260" w:top="1440" w:right="1246" w:bottom="0" w:gutter="0" w:footer="0" w:header="0"/>
          <w:type w:val="continuous"/>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following table summarizes the purchased loan pool positions, held by the Bank in purchased loans at year end (month and date of acquisition in parentheses):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i w:val="1"/>
                <w:iCs w:val="1"/>
                <w:color w:val="auto"/>
              </w:rPr>
              <w:t>(In thousands, except number of loans)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210"/>
              <w:spacing w:after="0"/>
              <w:rPr>
                <w:sz w:val="20"/>
                <w:szCs w:val="20"/>
                <w:color w:val="auto"/>
              </w:rPr>
            </w:pPr>
            <w:r>
              <w:rPr>
                <w:rFonts w:ascii="Arial" w:cs="Arial" w:eastAsia="Arial" w:hAnsi="Arial"/>
                <w:sz w:val="18"/>
                <w:szCs w:val="18"/>
                <w:color w:val="auto"/>
              </w:rPr>
              <w:t>December 31, 2025</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94"/>
        </w:trPr>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Unamortized</w:t>
            </w:r>
          </w:p>
        </w:tc>
        <w:tc>
          <w:tcPr>
            <w:tcW w:w="9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Maturity</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Cumulative</w:t>
            </w:r>
          </w:p>
        </w:tc>
      </w:tr>
      <w:tr>
        <w:trPr>
          <w:trHeight w:val="270"/>
        </w:trPr>
        <w:tc>
          <w:tcPr>
            <w:tcW w:w="3420" w:type="dxa"/>
            <w:vAlign w:val="bottom"/>
          </w:tcPr>
          <w:p>
            <w:pPr>
              <w:spacing w:after="0"/>
              <w:rPr>
                <w:sz w:val="23"/>
                <w:szCs w:val="23"/>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Original</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Premium/</w:t>
            </w:r>
          </w:p>
        </w:tc>
        <w:tc>
          <w:tcPr>
            <w:tcW w:w="900" w:type="dxa"/>
            <w:vAlign w:val="bottom"/>
          </w:tcPr>
          <w:p>
            <w:pPr>
              <w:ind w:left="100"/>
              <w:spacing w:after="0"/>
              <w:rPr>
                <w:sz w:val="20"/>
                <w:szCs w:val="20"/>
                <w:color w:val="auto"/>
              </w:rPr>
            </w:pPr>
            <w:r>
              <w:rPr>
                <w:rFonts w:ascii="Arial" w:cs="Arial" w:eastAsia="Arial" w:hAnsi="Arial"/>
                <w:sz w:val="18"/>
                <w:szCs w:val="18"/>
                <w:color w:val="auto"/>
              </w:rPr>
              <w:t>Number</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Range (in</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net charge-</w:t>
            </w:r>
          </w:p>
        </w:tc>
      </w:tr>
      <w:tr>
        <w:trPr>
          <w:trHeight w:val="270"/>
        </w:trPr>
        <w:tc>
          <w:tcPr>
            <w:tcW w:w="3420" w:type="dxa"/>
            <w:vAlign w:val="bottom"/>
          </w:tcPr>
          <w:p>
            <w:pPr>
              <w:spacing w:after="0"/>
              <w:rPr>
                <w:sz w:val="23"/>
                <w:szCs w:val="23"/>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Balance</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3"/>
                <w:szCs w:val="23"/>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(Discount)</w:t>
            </w:r>
          </w:p>
        </w:tc>
        <w:tc>
          <w:tcPr>
            <w:tcW w:w="900" w:type="dxa"/>
            <w:vAlign w:val="bottom"/>
          </w:tcPr>
          <w:p>
            <w:pPr>
              <w:ind w:left="100"/>
              <w:spacing w:after="0"/>
              <w:rPr>
                <w:sz w:val="20"/>
                <w:szCs w:val="20"/>
                <w:color w:val="auto"/>
              </w:rPr>
            </w:pPr>
            <w:r>
              <w:rPr>
                <w:rFonts w:ascii="Arial" w:cs="Arial" w:eastAsia="Arial" w:hAnsi="Arial"/>
                <w:sz w:val="18"/>
                <w:szCs w:val="18"/>
                <w:color w:val="auto"/>
              </w:rPr>
              <w:t>of Loans</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years)</w:t>
            </w:r>
          </w:p>
        </w:tc>
        <w:tc>
          <w:tcPr>
            <w:tcW w:w="260" w:type="dxa"/>
            <w:vAlign w:val="bottom"/>
          </w:tcPr>
          <w:p>
            <w:pPr>
              <w:spacing w:after="0"/>
              <w:rPr>
                <w:sz w:val="23"/>
                <w:szCs w:val="23"/>
                <w:color w:val="auto"/>
              </w:rPr>
            </w:pPr>
          </w:p>
        </w:tc>
        <w:tc>
          <w:tcPr>
            <w:tcW w:w="800" w:type="dxa"/>
            <w:vAlign w:val="bottom"/>
          </w:tcPr>
          <w:p>
            <w:pPr>
              <w:jc w:val="center"/>
              <w:ind w:right="230"/>
              <w:spacing w:after="0"/>
              <w:rPr>
                <w:sz w:val="20"/>
                <w:szCs w:val="20"/>
                <w:color w:val="auto"/>
              </w:rPr>
            </w:pPr>
            <w:r>
              <w:rPr>
                <w:rFonts w:ascii="Arial" w:cs="Arial" w:eastAsia="Arial" w:hAnsi="Arial"/>
                <w:sz w:val="18"/>
                <w:szCs w:val="18"/>
                <w:color w:val="auto"/>
                <w:w w:val="96"/>
              </w:rPr>
              <w:t>offs</w:t>
            </w:r>
          </w:p>
        </w:tc>
      </w:tr>
      <w:tr>
        <w:trPr>
          <w:trHeight w:val="46"/>
        </w:trPr>
        <w:tc>
          <w:tcPr>
            <w:tcW w:w="3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94"/>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industrial loans (6/2019)</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6,800</w:t>
            </w:r>
          </w:p>
        </w:tc>
        <w:tc>
          <w:tcPr>
            <w:tcW w:w="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700</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3420" w:type="dxa"/>
            <w:vAlign w:val="bottom"/>
          </w:tcPr>
          <w:p>
            <w:pPr>
              <w:spacing w:after="0"/>
              <w:rPr>
                <w:sz w:val="20"/>
                <w:szCs w:val="20"/>
                <w:color w:val="auto"/>
              </w:rPr>
            </w:pPr>
            <w:r>
              <w:rPr>
                <w:rFonts w:ascii="Arial" w:cs="Arial" w:eastAsia="Arial" w:hAnsi="Arial"/>
                <w:sz w:val="18"/>
                <w:szCs w:val="18"/>
                <w:color w:val="auto"/>
              </w:rPr>
              <w:t>Home equity lines of credit (8/2019)</w:t>
            </w: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21,900</w:t>
            </w:r>
          </w:p>
        </w:tc>
        <w:tc>
          <w:tcPr>
            <w:tcW w:w="28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2,700</w:t>
            </w:r>
          </w:p>
        </w:tc>
        <w:tc>
          <w:tcPr>
            <w:tcW w:w="2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94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103</w:t>
            </w:r>
          </w:p>
        </w:tc>
      </w:tr>
      <w:tr>
        <w:trPr>
          <w:trHeight w:val="36"/>
        </w:trPr>
        <w:tc>
          <w:tcPr>
            <w:tcW w:w="3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Residential real estate loans (12/2019)</w:t>
            </w: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4,300</w:t>
            </w:r>
          </w:p>
        </w:tc>
        <w:tc>
          <w:tcPr>
            <w:tcW w:w="2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3,900</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266</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3420" w:type="dxa"/>
            <w:vAlign w:val="bottom"/>
          </w:tcPr>
          <w:p>
            <w:pPr>
              <w:spacing w:after="0"/>
              <w:rPr>
                <w:sz w:val="20"/>
                <w:szCs w:val="20"/>
                <w:color w:val="auto"/>
              </w:rPr>
            </w:pPr>
            <w:r>
              <w:rPr>
                <w:rFonts w:ascii="Arial" w:cs="Arial" w:eastAsia="Arial" w:hAnsi="Arial"/>
                <w:sz w:val="18"/>
                <w:szCs w:val="18"/>
                <w:color w:val="auto"/>
                <w:w w:val="98"/>
              </w:rPr>
              <w:t>Unsecured consumer loan pool 1 (12/2019)</w:t>
            </w: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5,400</w:t>
            </w:r>
          </w:p>
        </w:tc>
        <w:tc>
          <w:tcPr>
            <w:tcW w:w="28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3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8"/>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w w:val="93"/>
              </w:rPr>
              <w:t>Unsecured consumer installment loans pool 3</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r>
      <w:tr>
        <w:trPr>
          <w:trHeight w:val="286"/>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(12/2019)</w:t>
            </w: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8"/>
              </w:rPr>
              <w:t>10,300</w:t>
            </w:r>
          </w:p>
        </w:tc>
        <w:tc>
          <w:tcPr>
            <w:tcW w:w="2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r>
      <w:tr>
        <w:trPr>
          <w:trHeight w:val="248"/>
        </w:trPr>
        <w:tc>
          <w:tcPr>
            <w:tcW w:w="3420" w:type="dxa"/>
            <w:vAlign w:val="bottom"/>
          </w:tcPr>
          <w:p>
            <w:pPr>
              <w:spacing w:after="0"/>
              <w:rPr>
                <w:sz w:val="20"/>
                <w:szCs w:val="20"/>
                <w:color w:val="auto"/>
              </w:rPr>
            </w:pPr>
            <w:r>
              <w:rPr>
                <w:rFonts w:ascii="Arial" w:cs="Arial" w:eastAsia="Arial" w:hAnsi="Arial"/>
                <w:sz w:val="18"/>
                <w:szCs w:val="18"/>
                <w:color w:val="auto"/>
                <w:w w:val="98"/>
              </w:rPr>
              <w:t>Secured consumer installment loans pool 4</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(12/2020)</w:t>
            </w:r>
          </w:p>
        </w:tc>
        <w:tc>
          <w:tcPr>
            <w:tcW w:w="24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14,500</w:t>
            </w:r>
          </w:p>
        </w:tc>
        <w:tc>
          <w:tcPr>
            <w:tcW w:w="2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8,100</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(1,189)</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940" w:type="dxa"/>
            <w:vAlign w:val="bottom"/>
          </w:tcPr>
          <w:p>
            <w:pPr>
              <w:jc w:val="right"/>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36"/>
        </w:trPr>
        <w:tc>
          <w:tcPr>
            <w:tcW w:w="3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14"/>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w w:val="94"/>
              </w:rPr>
              <w:t xml:space="preserve">Unsecured consumer loans pool 5 (1/2021) </w:t>
            </w:r>
            <w:r>
              <w:rPr>
                <w:rFonts w:ascii="Arial" w:cs="Arial" w:eastAsia="Arial" w:hAnsi="Arial"/>
                <w:sz w:val="24"/>
                <w:szCs w:val="24"/>
                <w:color w:val="auto"/>
                <w:w w:val="94"/>
                <w:vertAlign w:val="superscript"/>
              </w:rPr>
              <w:t>1</w:t>
            </w:r>
          </w:p>
        </w:tc>
        <w:tc>
          <w:tcPr>
            <w:tcW w:w="24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8"/>
              </w:rPr>
              <w:t>24,400</w:t>
            </w:r>
          </w:p>
        </w:tc>
        <w:tc>
          <w:tcPr>
            <w:tcW w:w="28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8"/>
              </w:rPr>
              <w:t>10,800</w:t>
            </w: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552</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6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1,361</w:t>
            </w:r>
          </w:p>
        </w:tc>
      </w:tr>
      <w:tr>
        <w:trPr>
          <w:trHeight w:val="278"/>
        </w:trPr>
        <w:tc>
          <w:tcPr>
            <w:tcW w:w="3420" w:type="dxa"/>
            <w:vAlign w:val="bottom"/>
          </w:tcPr>
          <w:p>
            <w:pPr>
              <w:spacing w:after="0"/>
              <w:rPr>
                <w:sz w:val="20"/>
                <w:szCs w:val="20"/>
                <w:color w:val="auto"/>
              </w:rPr>
            </w:pPr>
            <w:r>
              <w:rPr>
                <w:rFonts w:ascii="Arial" w:cs="Arial" w:eastAsia="Arial" w:hAnsi="Arial"/>
                <w:sz w:val="18"/>
                <w:szCs w:val="18"/>
                <w:color w:val="auto"/>
                <w:w w:val="91"/>
              </w:rPr>
              <w:t>Secured consumer installment loans (11/2021)</w:t>
            </w: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21,300</w:t>
            </w:r>
          </w:p>
        </w:tc>
        <w:tc>
          <w:tcPr>
            <w:tcW w:w="28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14,700</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(2,537)</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771</w:t>
            </w:r>
          </w:p>
        </w:tc>
        <w:tc>
          <w:tcPr>
            <w:tcW w:w="940" w:type="dxa"/>
            <w:vAlign w:val="bottom"/>
          </w:tcPr>
          <w:p>
            <w:pPr>
              <w:jc w:val="right"/>
              <w:spacing w:after="0"/>
              <w:rPr>
                <w:sz w:val="20"/>
                <w:szCs w:val="20"/>
                <w:color w:val="auto"/>
              </w:rPr>
            </w:pPr>
            <w:r>
              <w:rPr>
                <w:rFonts w:ascii="Arial" w:cs="Arial" w:eastAsia="Arial" w:hAnsi="Arial"/>
                <w:sz w:val="18"/>
                <w:szCs w:val="18"/>
                <w:color w:val="auto"/>
              </w:rPr>
              <w:t>15-23</w:t>
            </w:r>
          </w:p>
        </w:tc>
        <w:tc>
          <w:tcPr>
            <w:tcW w:w="26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803</w:t>
            </w:r>
          </w:p>
        </w:tc>
      </w:tr>
      <w:tr>
        <w:trPr>
          <w:trHeight w:val="36"/>
        </w:trPr>
        <w:tc>
          <w:tcPr>
            <w:tcW w:w="3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14"/>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w w:val="92"/>
              </w:rPr>
              <w:t xml:space="preserve">Unsecured consumer loans pool 6 (11/2021) </w:t>
            </w:r>
            <w:r>
              <w:rPr>
                <w:rFonts w:ascii="Arial" w:cs="Arial" w:eastAsia="Arial" w:hAnsi="Arial"/>
                <w:sz w:val="24"/>
                <w:szCs w:val="24"/>
                <w:color w:val="auto"/>
                <w:w w:val="92"/>
                <w:vertAlign w:val="superscript"/>
              </w:rPr>
              <w:t>1</w:t>
            </w:r>
          </w:p>
        </w:tc>
        <w:tc>
          <w:tcPr>
            <w:tcW w:w="24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8"/>
              </w:rPr>
              <w:t>22,200</w:t>
            </w:r>
          </w:p>
        </w:tc>
        <w:tc>
          <w:tcPr>
            <w:tcW w:w="28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8"/>
              </w:rPr>
              <w:t>13,500</w:t>
            </w: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6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1,573</w:t>
            </w:r>
          </w:p>
        </w:tc>
      </w:tr>
      <w:tr>
        <w:trPr>
          <w:trHeight w:val="248"/>
        </w:trPr>
        <w:tc>
          <w:tcPr>
            <w:tcW w:w="3420" w:type="dxa"/>
            <w:vAlign w:val="bottom"/>
          </w:tcPr>
          <w:p>
            <w:pPr>
              <w:spacing w:after="0"/>
              <w:rPr>
                <w:sz w:val="20"/>
                <w:szCs w:val="20"/>
                <w:color w:val="auto"/>
              </w:rPr>
            </w:pPr>
            <w:r>
              <w:rPr>
                <w:rFonts w:ascii="Arial" w:cs="Arial" w:eastAsia="Arial" w:hAnsi="Arial"/>
                <w:sz w:val="18"/>
                <w:szCs w:val="18"/>
                <w:color w:val="auto"/>
              </w:rPr>
              <w:t>Revolving commercial line of credit 1</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(7/2024)</w:t>
            </w:r>
          </w:p>
        </w:tc>
        <w:tc>
          <w:tcPr>
            <w:tcW w:w="24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14,000</w:t>
            </w:r>
          </w:p>
        </w:tc>
        <w:tc>
          <w:tcPr>
            <w:tcW w:w="2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6"/>
        </w:trPr>
        <w:tc>
          <w:tcPr>
            <w:tcW w:w="34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7"/>
              </w:rPr>
              <w:t>$ 132,150</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8"/>
              </w:rPr>
              <w:t>68,545</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(5,573)</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2,467</w:t>
            </w:r>
          </w:p>
        </w:tc>
        <w:tc>
          <w:tcPr>
            <w:tcW w:w="940" w:type="dxa"/>
            <w:vAlign w:val="bottom"/>
            <w:shd w:val="clear" w:color="auto" w:fill="CFF0FC"/>
          </w:tcPr>
          <w:p>
            <w:pPr>
              <w:spacing w:after="0"/>
              <w:rPr>
                <w:sz w:val="24"/>
                <w:szCs w:val="24"/>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3,976</w:t>
            </w:r>
          </w:p>
        </w:tc>
      </w:tr>
      <w:tr>
        <w:trPr>
          <w:trHeight w:val="81"/>
        </w:trPr>
        <w:tc>
          <w:tcPr>
            <w:tcW w:w="34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940" w:type="dxa"/>
            <w:vAlign w:val="bottom"/>
            <w:gridSpan w:val="2"/>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r>
      <w:tr>
        <w:trPr>
          <w:trHeight w:val="533"/>
        </w:trPr>
        <w:tc>
          <w:tcPr>
            <w:tcW w:w="3420" w:type="dxa"/>
            <w:vAlign w:val="bottom"/>
          </w:tcPr>
          <w:p>
            <w:pPr>
              <w:spacing w:after="0"/>
              <w:rPr>
                <w:sz w:val="20"/>
                <w:szCs w:val="20"/>
                <w:color w:val="auto"/>
              </w:rPr>
            </w:pPr>
            <w:r>
              <w:rPr>
                <w:rFonts w:ascii="Arial" w:cs="Arial" w:eastAsia="Arial" w:hAnsi="Arial"/>
                <w:sz w:val="18"/>
                <w:szCs w:val="18"/>
                <w:i w:val="1"/>
                <w:iCs w:val="1"/>
                <w:color w:val="auto"/>
              </w:rPr>
              <w:t>(In thousands, except number of loans)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jc w:val="right"/>
              <w:ind w:right="210"/>
              <w:spacing w:after="0"/>
              <w:rPr>
                <w:sz w:val="20"/>
                <w:szCs w:val="20"/>
                <w:color w:val="auto"/>
              </w:rPr>
            </w:pPr>
            <w:r>
              <w:rPr>
                <w:rFonts w:ascii="Arial" w:cs="Arial" w:eastAsia="Arial" w:hAnsi="Arial"/>
                <w:sz w:val="18"/>
                <w:szCs w:val="18"/>
                <w:color w:val="auto"/>
              </w:rPr>
              <w:t>December 31, 2024</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4"/>
        </w:trPr>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Unamortized</w:t>
            </w:r>
          </w:p>
        </w:tc>
        <w:tc>
          <w:tcPr>
            <w:tcW w:w="9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Maturity</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Cumulative</w:t>
            </w:r>
          </w:p>
        </w:tc>
      </w:tr>
      <w:tr>
        <w:trPr>
          <w:trHeight w:val="270"/>
        </w:trPr>
        <w:tc>
          <w:tcPr>
            <w:tcW w:w="3420" w:type="dxa"/>
            <w:vAlign w:val="bottom"/>
          </w:tcPr>
          <w:p>
            <w:pPr>
              <w:spacing w:after="0"/>
              <w:rPr>
                <w:sz w:val="23"/>
                <w:szCs w:val="23"/>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Original</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Premium/</w:t>
            </w:r>
          </w:p>
        </w:tc>
        <w:tc>
          <w:tcPr>
            <w:tcW w:w="900" w:type="dxa"/>
            <w:vAlign w:val="bottom"/>
          </w:tcPr>
          <w:p>
            <w:pPr>
              <w:ind w:left="100"/>
              <w:spacing w:after="0"/>
              <w:rPr>
                <w:sz w:val="20"/>
                <w:szCs w:val="20"/>
                <w:color w:val="auto"/>
              </w:rPr>
            </w:pPr>
            <w:r>
              <w:rPr>
                <w:rFonts w:ascii="Arial" w:cs="Arial" w:eastAsia="Arial" w:hAnsi="Arial"/>
                <w:sz w:val="18"/>
                <w:szCs w:val="18"/>
                <w:color w:val="auto"/>
              </w:rPr>
              <w:t>Number</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Range (in</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net charge-</w:t>
            </w:r>
          </w:p>
        </w:tc>
      </w:tr>
      <w:tr>
        <w:trPr>
          <w:trHeight w:val="270"/>
        </w:trPr>
        <w:tc>
          <w:tcPr>
            <w:tcW w:w="3420" w:type="dxa"/>
            <w:vAlign w:val="bottom"/>
          </w:tcPr>
          <w:p>
            <w:pPr>
              <w:spacing w:after="0"/>
              <w:rPr>
                <w:sz w:val="23"/>
                <w:szCs w:val="23"/>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Balance</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3"/>
                <w:szCs w:val="23"/>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(Discount)</w:t>
            </w:r>
          </w:p>
        </w:tc>
        <w:tc>
          <w:tcPr>
            <w:tcW w:w="900" w:type="dxa"/>
            <w:vAlign w:val="bottom"/>
          </w:tcPr>
          <w:p>
            <w:pPr>
              <w:ind w:left="100"/>
              <w:spacing w:after="0"/>
              <w:rPr>
                <w:sz w:val="20"/>
                <w:szCs w:val="20"/>
                <w:color w:val="auto"/>
              </w:rPr>
            </w:pPr>
            <w:r>
              <w:rPr>
                <w:rFonts w:ascii="Arial" w:cs="Arial" w:eastAsia="Arial" w:hAnsi="Arial"/>
                <w:sz w:val="18"/>
                <w:szCs w:val="18"/>
                <w:color w:val="auto"/>
              </w:rPr>
              <w:t>of Loans</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years)</w:t>
            </w:r>
          </w:p>
        </w:tc>
        <w:tc>
          <w:tcPr>
            <w:tcW w:w="260" w:type="dxa"/>
            <w:vAlign w:val="bottom"/>
          </w:tcPr>
          <w:p>
            <w:pPr>
              <w:spacing w:after="0"/>
              <w:rPr>
                <w:sz w:val="23"/>
                <w:szCs w:val="23"/>
                <w:color w:val="auto"/>
              </w:rPr>
            </w:pPr>
          </w:p>
        </w:tc>
        <w:tc>
          <w:tcPr>
            <w:tcW w:w="800" w:type="dxa"/>
            <w:vAlign w:val="bottom"/>
          </w:tcPr>
          <w:p>
            <w:pPr>
              <w:jc w:val="center"/>
              <w:ind w:right="230"/>
              <w:spacing w:after="0"/>
              <w:rPr>
                <w:sz w:val="20"/>
                <w:szCs w:val="20"/>
                <w:color w:val="auto"/>
              </w:rPr>
            </w:pPr>
            <w:r>
              <w:rPr>
                <w:rFonts w:ascii="Arial" w:cs="Arial" w:eastAsia="Arial" w:hAnsi="Arial"/>
                <w:sz w:val="18"/>
                <w:szCs w:val="18"/>
                <w:color w:val="auto"/>
                <w:w w:val="96"/>
              </w:rPr>
              <w:t>offs</w:t>
            </w:r>
          </w:p>
        </w:tc>
      </w:tr>
      <w:tr>
        <w:trPr>
          <w:trHeight w:val="46"/>
        </w:trPr>
        <w:tc>
          <w:tcPr>
            <w:tcW w:w="3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94"/>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industrial loans (6/2019)</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6,800</w:t>
            </w:r>
          </w:p>
        </w:tc>
        <w:tc>
          <w:tcPr>
            <w:tcW w:w="2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1,200</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3420" w:type="dxa"/>
            <w:vAlign w:val="bottom"/>
          </w:tcPr>
          <w:p>
            <w:pPr>
              <w:spacing w:after="0"/>
              <w:rPr>
                <w:sz w:val="20"/>
                <w:szCs w:val="20"/>
                <w:color w:val="auto"/>
              </w:rPr>
            </w:pPr>
            <w:r>
              <w:rPr>
                <w:rFonts w:ascii="Arial" w:cs="Arial" w:eastAsia="Arial" w:hAnsi="Arial"/>
                <w:sz w:val="18"/>
                <w:szCs w:val="18"/>
                <w:color w:val="auto"/>
              </w:rPr>
              <w:t>Home equity lines of credit (8/2019)</w:t>
            </w: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21,900</w:t>
            </w:r>
          </w:p>
        </w:tc>
        <w:tc>
          <w:tcPr>
            <w:tcW w:w="28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94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36"/>
        </w:trPr>
        <w:tc>
          <w:tcPr>
            <w:tcW w:w="3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Unsecured consumer loan pool 2 (11/2019)</w:t>
            </w: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8"/>
              </w:rPr>
              <w:t>26,600</w:t>
            </w:r>
          </w:p>
        </w:tc>
        <w:tc>
          <w:tcPr>
            <w:tcW w:w="2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3420" w:type="dxa"/>
            <w:vAlign w:val="bottom"/>
          </w:tcPr>
          <w:p>
            <w:pPr>
              <w:spacing w:after="0"/>
              <w:rPr>
                <w:sz w:val="20"/>
                <w:szCs w:val="20"/>
                <w:color w:val="auto"/>
              </w:rPr>
            </w:pPr>
            <w:r>
              <w:rPr>
                <w:rFonts w:ascii="Arial" w:cs="Arial" w:eastAsia="Arial" w:hAnsi="Arial"/>
                <w:sz w:val="18"/>
                <w:szCs w:val="18"/>
                <w:color w:val="auto"/>
              </w:rPr>
              <w:t>Residential real estate loans (12/2019)</w:t>
            </w: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4,300</w:t>
            </w:r>
          </w:p>
        </w:tc>
        <w:tc>
          <w:tcPr>
            <w:tcW w:w="28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4,200</w:t>
            </w:r>
          </w:p>
        </w:tc>
        <w:tc>
          <w:tcPr>
            <w:tcW w:w="2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278</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940" w:type="dxa"/>
            <w:vAlign w:val="bottom"/>
          </w:tcPr>
          <w:p>
            <w:pPr>
              <w:jc w:val="right"/>
              <w:spacing w:after="0"/>
              <w:rPr>
                <w:sz w:val="20"/>
                <w:szCs w:val="20"/>
                <w:color w:val="auto"/>
              </w:rPr>
            </w:pPr>
            <w:r>
              <w:rPr>
                <w:rFonts w:ascii="Arial" w:cs="Arial" w:eastAsia="Arial" w:hAnsi="Arial"/>
                <w:sz w:val="18"/>
                <w:szCs w:val="18"/>
                <w:color w:val="auto"/>
              </w:rPr>
              <w:t>16-25</w:t>
            </w:r>
          </w:p>
        </w:tc>
        <w:tc>
          <w:tcPr>
            <w:tcW w:w="26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3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Unsecured consumer loan pool 1 (12/2019)</w:t>
            </w: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5,400</w:t>
            </w:r>
          </w:p>
        </w:tc>
        <w:tc>
          <w:tcPr>
            <w:tcW w:w="2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3420" w:type="dxa"/>
            <w:vAlign w:val="bottom"/>
          </w:tcPr>
          <w:p>
            <w:pPr>
              <w:spacing w:after="0"/>
              <w:rPr>
                <w:sz w:val="20"/>
                <w:szCs w:val="20"/>
                <w:color w:val="auto"/>
              </w:rPr>
            </w:pPr>
            <w:r>
              <w:rPr>
                <w:rFonts w:ascii="Arial" w:cs="Arial" w:eastAsia="Arial" w:hAnsi="Arial"/>
                <w:sz w:val="18"/>
                <w:szCs w:val="18"/>
                <w:color w:val="auto"/>
                <w:w w:val="93"/>
              </w:rPr>
              <w:t>Unsecured consumer installment loans pool 3</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(12/2019)</w:t>
            </w:r>
          </w:p>
        </w:tc>
        <w:tc>
          <w:tcPr>
            <w:tcW w:w="24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10,300</w:t>
            </w:r>
          </w:p>
        </w:tc>
        <w:tc>
          <w:tcPr>
            <w:tcW w:w="2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36"/>
        </w:trPr>
        <w:tc>
          <w:tcPr>
            <w:tcW w:w="3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8"/>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w w:val="98"/>
              </w:rPr>
              <w:t>Secured consumer installment loans pool 4</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r>
      <w:tr>
        <w:trPr>
          <w:trHeight w:val="286"/>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(12/2020)</w:t>
            </w: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8"/>
              </w:rPr>
              <w:t>14,500</w:t>
            </w:r>
          </w:p>
        </w:tc>
        <w:tc>
          <w:tcPr>
            <w:tcW w:w="2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9,300</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475</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314"/>
        </w:trPr>
        <w:tc>
          <w:tcPr>
            <w:tcW w:w="3420" w:type="dxa"/>
            <w:vAlign w:val="bottom"/>
          </w:tcPr>
          <w:p>
            <w:pPr>
              <w:spacing w:after="0"/>
              <w:rPr>
                <w:sz w:val="20"/>
                <w:szCs w:val="20"/>
                <w:color w:val="auto"/>
              </w:rPr>
            </w:pPr>
            <w:r>
              <w:rPr>
                <w:rFonts w:ascii="Arial" w:cs="Arial" w:eastAsia="Arial" w:hAnsi="Arial"/>
                <w:sz w:val="18"/>
                <w:szCs w:val="18"/>
                <w:color w:val="auto"/>
                <w:w w:val="94"/>
              </w:rPr>
              <w:t xml:space="preserve">Unsecured consumer loans pool 5 (1/2021) </w:t>
            </w:r>
            <w:r>
              <w:rPr>
                <w:rFonts w:ascii="Arial" w:cs="Arial" w:eastAsia="Arial" w:hAnsi="Arial"/>
                <w:sz w:val="24"/>
                <w:szCs w:val="24"/>
                <w:color w:val="auto"/>
                <w:w w:val="94"/>
                <w:vertAlign w:val="superscript"/>
              </w:rPr>
              <w:t>1</w:t>
            </w: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24,400</w:t>
            </w:r>
          </w:p>
        </w:tc>
        <w:tc>
          <w:tcPr>
            <w:tcW w:w="28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12,600</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940" w:type="dxa"/>
            <w:vAlign w:val="bottom"/>
          </w:tcPr>
          <w:p>
            <w:pPr>
              <w:jc w:val="right"/>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1,124</w:t>
            </w:r>
          </w:p>
        </w:tc>
      </w:tr>
      <w:tr>
        <w:trPr>
          <w:trHeight w:val="248"/>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Revolving commercial line of credit 1</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r>
      <w:tr>
        <w:trPr>
          <w:trHeight w:val="286"/>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(3/2021)</w:t>
            </w: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8"/>
              </w:rPr>
              <w:t>11,600</w:t>
            </w:r>
          </w:p>
        </w:tc>
        <w:tc>
          <w:tcPr>
            <w:tcW w:w="2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7,900</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3420" w:type="dxa"/>
            <w:vAlign w:val="bottom"/>
          </w:tcPr>
          <w:p>
            <w:pPr>
              <w:spacing w:after="0"/>
              <w:rPr>
                <w:sz w:val="20"/>
                <w:szCs w:val="20"/>
                <w:color w:val="auto"/>
              </w:rPr>
            </w:pPr>
            <w:r>
              <w:rPr>
                <w:rFonts w:ascii="Arial" w:cs="Arial" w:eastAsia="Arial" w:hAnsi="Arial"/>
                <w:sz w:val="18"/>
                <w:szCs w:val="18"/>
                <w:color w:val="auto"/>
                <w:w w:val="91"/>
              </w:rPr>
              <w:t>Secured consumer installment loans (11/2021)</w:t>
            </w: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21,300</w:t>
            </w:r>
          </w:p>
        </w:tc>
        <w:tc>
          <w:tcPr>
            <w:tcW w:w="28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16,300</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(2,613)</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940" w:type="dxa"/>
            <w:vAlign w:val="bottom"/>
          </w:tcPr>
          <w:p>
            <w:pPr>
              <w:jc w:val="right"/>
              <w:spacing w:after="0"/>
              <w:rPr>
                <w:sz w:val="20"/>
                <w:szCs w:val="20"/>
                <w:color w:val="auto"/>
              </w:rPr>
            </w:pPr>
            <w:r>
              <w:rPr>
                <w:rFonts w:ascii="Arial" w:cs="Arial" w:eastAsia="Arial" w:hAnsi="Arial"/>
                <w:sz w:val="18"/>
                <w:szCs w:val="18"/>
                <w:color w:val="auto"/>
              </w:rPr>
              <w:t>17-24</w:t>
            </w:r>
          </w:p>
        </w:tc>
        <w:tc>
          <w:tcPr>
            <w:tcW w:w="26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467</w:t>
            </w:r>
          </w:p>
        </w:tc>
      </w:tr>
      <w:tr>
        <w:trPr>
          <w:trHeight w:val="36"/>
        </w:trPr>
        <w:tc>
          <w:tcPr>
            <w:tcW w:w="3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14"/>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w w:val="92"/>
              </w:rPr>
              <w:t xml:space="preserve">Unsecured consumer loans pool 6 (11/2021) </w:t>
            </w:r>
            <w:r>
              <w:rPr>
                <w:rFonts w:ascii="Arial" w:cs="Arial" w:eastAsia="Arial" w:hAnsi="Arial"/>
                <w:sz w:val="24"/>
                <w:szCs w:val="24"/>
                <w:color w:val="auto"/>
                <w:w w:val="92"/>
                <w:vertAlign w:val="superscript"/>
              </w:rPr>
              <w:t>1</w:t>
            </w:r>
          </w:p>
        </w:tc>
        <w:tc>
          <w:tcPr>
            <w:tcW w:w="24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8"/>
              </w:rPr>
              <w:t>22,200</w:t>
            </w:r>
          </w:p>
        </w:tc>
        <w:tc>
          <w:tcPr>
            <w:tcW w:w="28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8"/>
              </w:rPr>
              <w:t>15,200</w:t>
            </w: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26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1,196</w:t>
            </w:r>
          </w:p>
        </w:tc>
      </w:tr>
      <w:tr>
        <w:trPr>
          <w:trHeight w:val="248"/>
        </w:trPr>
        <w:tc>
          <w:tcPr>
            <w:tcW w:w="3420" w:type="dxa"/>
            <w:vAlign w:val="bottom"/>
          </w:tcPr>
          <w:p>
            <w:pPr>
              <w:spacing w:after="0"/>
              <w:rPr>
                <w:sz w:val="20"/>
                <w:szCs w:val="20"/>
                <w:color w:val="auto"/>
              </w:rPr>
            </w:pPr>
            <w:r>
              <w:rPr>
                <w:rFonts w:ascii="Arial" w:cs="Arial" w:eastAsia="Arial" w:hAnsi="Arial"/>
                <w:sz w:val="18"/>
                <w:szCs w:val="18"/>
                <w:color w:val="auto"/>
              </w:rPr>
              <w:t>Revolving commercial line of credit 1</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(7/2024)</w:t>
            </w:r>
          </w:p>
        </w:tc>
        <w:tc>
          <w:tcPr>
            <w:tcW w:w="24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2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6"/>
        </w:trPr>
        <w:tc>
          <w:tcPr>
            <w:tcW w:w="34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7"/>
              </w:rPr>
              <w:t>$ 170,350</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8"/>
              </w:rPr>
              <w:t>75,660</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(5,964)</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2,677</w:t>
            </w:r>
          </w:p>
        </w:tc>
        <w:tc>
          <w:tcPr>
            <w:tcW w:w="940" w:type="dxa"/>
            <w:vAlign w:val="bottom"/>
            <w:shd w:val="clear" w:color="auto" w:fill="CFF0FC"/>
          </w:tcPr>
          <w:p>
            <w:pPr>
              <w:spacing w:after="0"/>
              <w:rPr>
                <w:sz w:val="24"/>
                <w:szCs w:val="24"/>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3,018</w:t>
            </w:r>
          </w:p>
        </w:tc>
      </w:tr>
      <w:tr>
        <w:trPr>
          <w:trHeight w:val="81"/>
        </w:trPr>
        <w:tc>
          <w:tcPr>
            <w:tcW w:w="34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-7360920</wp:posOffset>
            </wp:positionV>
            <wp:extent cx="596773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-6831330</wp:posOffset>
            </wp:positionV>
            <wp:extent cx="380936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0936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-4371340</wp:posOffset>
            </wp:positionV>
            <wp:extent cx="5967730"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-4164965</wp:posOffset>
            </wp:positionV>
            <wp:extent cx="5967730" cy="285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-3775710</wp:posOffset>
            </wp:positionV>
            <wp:extent cx="5967730"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-3245485</wp:posOffset>
            </wp:positionV>
            <wp:extent cx="3809365"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0936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16</w:t>
      </w:r>
    </w:p>
    <w:p>
      <w:pPr>
        <w:sectPr>
          <w:pgSz w:w="11900" w:h="16838" w:orient="portrait"/>
          <w:cols w:equalWidth="0" w:num="1">
            <w:col w:w="9400"/>
          </w:cols>
          <w:pgMar w:left="1260" w:top="1440" w:right="1246" w:bottom="0" w:gutter="0" w:footer="0" w:header="0"/>
          <w:type w:val="continuous"/>
        </w:sectPr>
      </w:pPr>
    </w:p>
    <w:bookmarkStart w:id="176" w:name="page177"/>
    <w:bookmarkEnd w:id="176"/>
    <w:p>
      <w:pPr>
        <w:ind w:left="300"/>
        <w:spacing w:after="0"/>
        <w:rPr>
          <w:sz w:val="20"/>
          <w:szCs w:val="20"/>
          <w:color w:val="auto"/>
        </w:rPr>
      </w:pPr>
      <w:r>
        <w:rPr>
          <w:rFonts w:ascii="Arial" w:cs="Arial" w:eastAsia="Arial" w:hAnsi="Arial"/>
          <w:sz w:val="8"/>
          <w:szCs w:val="8"/>
          <w:color w:val="auto"/>
        </w:rPr>
        <w:t>(1)</w:t>
      </w:r>
    </w:p>
    <w:p>
      <w:pPr>
        <w:spacing w:after="0" w:line="21" w:lineRule="exact"/>
        <w:rPr>
          <w:sz w:val="20"/>
          <w:szCs w:val="20"/>
          <w:color w:val="auto"/>
        </w:rPr>
      </w:pPr>
    </w:p>
    <w:p>
      <w:pPr>
        <w:jc w:val="both"/>
        <w:ind w:left="620"/>
        <w:spacing w:after="0" w:line="393" w:lineRule="auto"/>
        <w:rPr>
          <w:sz w:val="20"/>
          <w:szCs w:val="20"/>
          <w:color w:val="auto"/>
        </w:rPr>
      </w:pPr>
      <w:r>
        <w:rPr>
          <w:rFonts w:ascii="Arial" w:cs="Arial" w:eastAsia="Arial" w:hAnsi="Arial"/>
          <w:sz w:val="16"/>
          <w:szCs w:val="16"/>
          <w:color w:val="auto"/>
        </w:rPr>
        <w:t>On December 7, 2023, the Bank settled two pay-fixed interest rate swap derivative contracts, previously established with an unaffiliated third party and designated as fair value interest rate hedges. The hedging swap contracts were related to two purchased consumer installment loan pools comprised of loans secured by residential home solar power infrastructure. These contracts were entered into on February 13, 2021 (notional amount of $12.2 million) and December 8, 2021 (notional amount of $8.5 million). During 2024, the Bank realized gains related to the settlement of these two hedging contracts in the amount of $117,000 and $694,000, respectively. These gains on the extinguishment of the hedging swap contracts are reported as a reduction of the carrying value of the hedged loan pools and will be recognized as an enhancement to the reported yield on those loan pools over the original contractual life of the hedging swap contracts. The unamortized portion of these gains totaled $611,000 at December 31, 2025.</w:t>
      </w:r>
    </w:p>
    <w:p>
      <w:pPr>
        <w:spacing w:after="0" w:line="133" w:lineRule="exact"/>
        <w:rPr>
          <w:sz w:val="20"/>
          <w:szCs w:val="20"/>
          <w:color w:val="auto"/>
        </w:rPr>
      </w:pPr>
    </w:p>
    <w:p>
      <w:pPr>
        <w:spacing w:after="0"/>
        <w:tabs>
          <w:tab w:leader="none" w:pos="960" w:val="left"/>
          <w:tab w:leader="none" w:pos="1900" w:val="left"/>
          <w:tab w:leader="none" w:pos="3500" w:val="left"/>
          <w:tab w:leader="none" w:pos="4520" w:val="left"/>
          <w:tab w:leader="none" w:pos="5740" w:val="left"/>
          <w:tab w:leader="none" w:pos="6760" w:val="left"/>
          <w:tab w:leader="none" w:pos="8320" w:val="left"/>
        </w:tabs>
        <w:rPr>
          <w:sz w:val="20"/>
          <w:szCs w:val="20"/>
          <w:color w:val="auto"/>
        </w:rPr>
      </w:pPr>
      <w:r>
        <w:rPr>
          <w:rFonts w:ascii="Arial" w:cs="Arial" w:eastAsia="Arial" w:hAnsi="Arial"/>
          <w:sz w:val="20"/>
          <w:szCs w:val="20"/>
          <w:color w:val="auto"/>
        </w:rPr>
        <w:t>As</w:t>
      </w:r>
      <w:r>
        <w:rPr>
          <w:sz w:val="20"/>
          <w:szCs w:val="20"/>
          <w:color w:val="auto"/>
        </w:rPr>
        <w:tab/>
      </w: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December</w:t>
      </w:r>
      <w:r>
        <w:rPr>
          <w:sz w:val="20"/>
          <w:szCs w:val="20"/>
          <w:color w:val="auto"/>
        </w:rPr>
        <w:tab/>
      </w: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2025,</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Company</w:t>
      </w:r>
      <w:r>
        <w:rPr>
          <w:sz w:val="20"/>
          <w:szCs w:val="20"/>
          <w:color w:val="auto"/>
        </w:rPr>
        <w:tab/>
      </w:r>
      <w:r>
        <w:rPr>
          <w:rFonts w:ascii="Arial" w:cs="Arial" w:eastAsia="Arial" w:hAnsi="Arial"/>
          <w:sz w:val="16"/>
          <w:szCs w:val="16"/>
          <w:color w:val="auto"/>
        </w:rPr>
        <w:t>had</w:t>
      </w:r>
    </w:p>
    <w:p>
      <w:pPr>
        <w:spacing w:after="0" w:line="80"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$108.4 million in residential and commercial real estate mortgage loans pledged to the Federal Home Loan Bank of New York (“FHLB-NY”). During the 12 months ended December 31, 2025, the Company also pledged $9.9 million in home equity loans to the Federal Reserve Bank of New York (“FRB-NY”).</w:t>
      </w:r>
    </w:p>
    <w:p>
      <w:pPr>
        <w:spacing w:after="0" w:line="137"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As of December 31, 2024, the Company pledged collateral with the FHLB-NY of $113.8 million and had no loans pledged to the FRB-NY. All loans pledged with the FHLB-NY and FRB-NY are under a blanket collateral agreement to secure the Company’s line of credit and term borrowings.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45"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 / 16</w:t>
      </w:r>
    </w:p>
    <w:p>
      <w:pPr>
        <w:sectPr>
          <w:pgSz w:w="11900" w:h="16838" w:orient="portrait"/>
          <w:cols w:equalWidth="0" w:num="1">
            <w:col w:w="9340"/>
          </w:cols>
          <w:pgMar w:left="1260" w:top="1145" w:right="1306" w:bottom="0" w:gutter="0" w:footer="0" w:header="0"/>
          <w:type w:val="continuous"/>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Characteristics of Portfolio Segments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Each portfolio segment generally carries its own unique risk characteristics.</w:t>
      </w:r>
    </w:p>
    <w:p>
      <w:pPr>
        <w:spacing w:after="0" w:line="200"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The residential mortgage loan segment is impacted by general economic conditions, unemployment rates in the Bank’s service area, real estate values and the forward expectation of improvement or deterioration in economic conditions. First and second lien residential mortgages, acquired via purchase are impacted by general economic conditions, unemployment rates in the general areas in which the loan collateral is located, real estate values in those areas and the forward expectation of improvement or deterioration in economic conditions.</w:t>
      </w:r>
    </w:p>
    <w:p>
      <w:pPr>
        <w:spacing w:after="0" w:line="10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commercial loan segment is impacted by general economic conditions but, more specifically, the industry segment in which each borrower participates. Unique competitive changes within a borrower’s specific industry, or geographic location could cause significant changes in the borrower’s revenue stream, and therefore, impact its ability to repay its obligations. Commercial real estate is also subject to general economic conditions but changes within this segment typically lag changes seen within the consumer and commercial segment. Included within this portfolio are both owner occupied real estate, in which the borrower occupies the majority of the real estate property and upon which the majority of the sources of repayment of the obligation is dependent upon, and non-owner occupied real estate, in which several tenants comprise the repayment source for this portfolio segment. The composition and competitive position of the tenant structure may cause adverse changes in the repayment of debt obligations for the non-owner occupied class within this segment.</w:t>
      </w:r>
    </w:p>
    <w:p>
      <w:pPr>
        <w:spacing w:after="0" w:line="125"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The consumer loan segment is impacted by general economic conditions, unemployment rates in the geographic areas in which borrowers and loan collateral are located, and the forward expectation of improvement or deterioration in economic conditions.</w:t>
      </w:r>
    </w:p>
    <w:p>
      <w:pPr>
        <w:spacing w:after="0" w:line="137"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Real estate loans, including residential mortgages, commercial real estate loans and home equity, comprised 74.9% and 74.5% of the total loans held in the portfolio in 2025 and 2024, respectively. Loans secured by real estate generally provide strong collateral protection and thus significantly reduce the inherent credit risk in the portfolio.</w:t>
      </w:r>
    </w:p>
    <w:p>
      <w:pPr>
        <w:spacing w:after="0" w:line="102"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Management has reviewed its loan portfolio and determined that, to the best of its knowledge, little or no exposure exists to sub-prime or other high-risk residential mortgages. The Company is not in the practice of originating these types of loans.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Credit Quality Indicators</w:t>
      </w:r>
    </w:p>
    <w:p>
      <w:pPr>
        <w:spacing w:after="0" w:line="20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The Company utilizes an eight tier risk rating system to evaluate the quality of its loan portfolio. Loans that are risk rated “1” through “4” are considered “Pass” loans. In accordance with regulatory guidelines, loans rated “5” through “8” are termed “criticized” loans and loans rated “6” through “8” are termed “classified” loans. A description of the Company’s credit quality indicators follows.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Commercial Loans:</w:t>
      </w:r>
    </w:p>
    <w:p>
      <w:pPr>
        <w:spacing w:after="0" w:line="245" w:lineRule="exact"/>
        <w:rPr>
          <w:sz w:val="20"/>
          <w:szCs w:val="20"/>
          <w:color w:val="auto"/>
        </w:rPr>
      </w:pPr>
    </w:p>
    <w:p>
      <w:pPr>
        <w:jc w:val="both"/>
        <w:ind w:left="840" w:right="20" w:hanging="420"/>
        <w:spacing w:after="0" w:line="372" w:lineRule="auto"/>
        <w:tabs>
          <w:tab w:leader="none" w:pos="84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Prime</w:t>
      </w:r>
      <w:r>
        <w:rPr>
          <w:rFonts w:ascii="Arial" w:cs="Arial" w:eastAsia="Arial" w:hAnsi="Arial"/>
          <w:sz w:val="20"/>
          <w:szCs w:val="20"/>
          <w:color w:val="auto"/>
        </w:rPr>
        <w:t>: A loan that is fully secured by properly margined Pathfinder Bank deposit account(s) or an obligation of the US Government. It may also be unsecured if it is supported by a very strong financial condition and, in the case of a commercial loan, excellent management. There exists an unquestioned ability to repay the loan in accordance with its terms.</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 / 16</w:t>
      </w:r>
    </w:p>
    <w:p>
      <w:pPr>
        <w:sectPr>
          <w:pgSz w:w="11900" w:h="16838" w:orient="portrait"/>
          <w:cols w:equalWidth="0" w:num="1">
            <w:col w:w="9340"/>
          </w:cols>
          <w:pgMar w:left="1260" w:top="1440" w:right="1306" w:bottom="0" w:gutter="0" w:footer="0" w:header="0"/>
          <w:type w:val="continuous"/>
        </w:sectPr>
      </w:pPr>
    </w:p>
    <w:bookmarkStart w:id="178" w:name="page179"/>
    <w:bookmarkEnd w:id="178"/>
    <w:p>
      <w:pPr>
        <w:jc w:val="both"/>
        <w:ind w:left="660" w:right="20" w:hanging="420"/>
        <w:spacing w:after="0" w:line="396" w:lineRule="auto"/>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Strong</w:t>
      </w:r>
      <w:r>
        <w:rPr>
          <w:rFonts w:ascii="Arial" w:cs="Arial" w:eastAsia="Arial" w:hAnsi="Arial"/>
          <w:sz w:val="19"/>
          <w:szCs w:val="19"/>
          <w:color w:val="auto"/>
        </w:rPr>
        <w:t>: Desirable relationship of somewhat less stature than Prime grade. Possesses a sound documented repayment source, and back up, which will allow repayment within the terms of the loan. Individual loans backed by solid assets, character and integrity. Ability of individual or company management is good and well established. Probability of serious financial deterioration is unlikely.</w:t>
      </w:r>
    </w:p>
    <w:p>
      <w:pPr>
        <w:spacing w:after="0" w:line="117" w:lineRule="exact"/>
        <w:rPr>
          <w:rFonts w:ascii="Arial" w:cs="Arial" w:eastAsia="Arial" w:hAnsi="Arial"/>
          <w:sz w:val="19"/>
          <w:szCs w:val="19"/>
          <w:color w:val="auto"/>
        </w:rPr>
      </w:pPr>
    </w:p>
    <w:p>
      <w:pPr>
        <w:jc w:val="both"/>
        <w:ind w:left="660" w:right="20" w:hanging="420"/>
        <w:spacing w:after="0" w:line="395" w:lineRule="auto"/>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Satisfactory</w:t>
      </w:r>
      <w:r>
        <w:rPr>
          <w:rFonts w:ascii="Arial" w:cs="Arial" w:eastAsia="Arial" w:hAnsi="Arial"/>
          <w:sz w:val="19"/>
          <w:szCs w:val="19"/>
          <w:color w:val="auto"/>
        </w:rPr>
        <w:t>: Stable financial condition with cash flow sufficient for debt service coverage. Satisfactory loans of average strength having some deficiency or vulnerability to changing economic or industry conditions but performing as agreed with documented evidence of repayment capacity. May be unsecured loans to borrowers with satisfactory credit and financial strength. Satisfactory provisions for management succession and a secondary source of repayment exists.</w:t>
      </w:r>
    </w:p>
    <w:p>
      <w:pPr>
        <w:spacing w:after="0" w:line="122" w:lineRule="exact"/>
        <w:rPr>
          <w:rFonts w:ascii="Arial" w:cs="Arial" w:eastAsia="Arial" w:hAnsi="Arial"/>
          <w:sz w:val="19"/>
          <w:szCs w:val="19"/>
          <w:color w:val="auto"/>
        </w:rPr>
      </w:pPr>
    </w:p>
    <w:p>
      <w:pPr>
        <w:jc w:val="both"/>
        <w:ind w:left="660" w:right="20" w:hanging="420"/>
        <w:spacing w:after="0" w:line="395" w:lineRule="auto"/>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Satisfactory Watch:</w:t>
      </w:r>
      <w:r>
        <w:rPr>
          <w:rFonts w:ascii="Arial" w:cs="Arial" w:eastAsia="Arial" w:hAnsi="Arial"/>
          <w:sz w:val="19"/>
          <w:szCs w:val="19"/>
          <w:color w:val="auto"/>
        </w:rPr>
        <w:t xml:space="preserve"> A four is not a criticized or classified credit. These credits do not display the characteristics of a criticized asset as defined by the regulatory definitions. A credit is given a Satisfactory Watch designation if there are matters or trends observed deserving attention somewhat beyond normal monitoring. Borrowing obligations may be handled according to agreement but could be adversely impacted by developing factors such as industry conditions, operating problems, pending litigation of a significant nature or declining collateral quality and adequacy.</w:t>
      </w:r>
    </w:p>
    <w:p>
      <w:pPr>
        <w:spacing w:after="0" w:line="122" w:lineRule="exact"/>
        <w:rPr>
          <w:rFonts w:ascii="Arial" w:cs="Arial" w:eastAsia="Arial" w:hAnsi="Arial"/>
          <w:sz w:val="19"/>
          <w:szCs w:val="19"/>
          <w:color w:val="auto"/>
        </w:rPr>
      </w:pPr>
    </w:p>
    <w:p>
      <w:pPr>
        <w:jc w:val="both"/>
        <w:ind w:left="660" w:right="20" w:hanging="420"/>
        <w:spacing w:after="0" w:line="395" w:lineRule="auto"/>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Special Mention</w:t>
      </w:r>
      <w:r>
        <w:rPr>
          <w:rFonts w:ascii="Arial" w:cs="Arial" w:eastAsia="Arial" w:hAnsi="Arial"/>
          <w:sz w:val="19"/>
          <w:szCs w:val="19"/>
          <w:color w:val="auto"/>
        </w:rPr>
        <w:t>: A warning risk grade that portrays one or more weaknesses that may be tolerated in the short term. Assets in this category are currently protected but are potentially weak. This loan would not normally be booked as a new credit, but may have redeeming characteristics persuading the Bank to continue working with the borrower. Loans accorded this classification have potential weaknesses which may, if not checked or corrected, weaken the Company’s assets, inadequately protect the Bank’s position or effect the orderly, scheduled reduction of the debt at some future time.</w:t>
      </w:r>
    </w:p>
    <w:p>
      <w:pPr>
        <w:spacing w:after="0" w:line="122" w:lineRule="exact"/>
        <w:rPr>
          <w:rFonts w:ascii="Arial" w:cs="Arial" w:eastAsia="Arial" w:hAnsi="Arial"/>
          <w:sz w:val="19"/>
          <w:szCs w:val="19"/>
          <w:color w:val="auto"/>
        </w:rPr>
      </w:pPr>
    </w:p>
    <w:p>
      <w:pPr>
        <w:jc w:val="both"/>
        <w:ind w:left="660" w:hanging="420"/>
        <w:spacing w:after="0" w:line="37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Substandard</w:t>
      </w:r>
      <w:r>
        <w:rPr>
          <w:rFonts w:ascii="Arial" w:cs="Arial" w:eastAsia="Arial" w:hAnsi="Arial"/>
          <w:sz w:val="20"/>
          <w:szCs w:val="20"/>
          <w:color w:val="auto"/>
        </w:rPr>
        <w:t>: The relationship is inadequately protected by the current net worth and cash flow capacity of the borrower, guarantor/endorser, or of the collateral pledged. Assets have a well-defined weakness or weaknesses that jeopardize the</w:t>
      </w:r>
    </w:p>
    <w:p>
      <w:pPr>
        <w:spacing w:after="0" w:line="203" w:lineRule="exact"/>
        <w:rPr>
          <w:rFonts w:ascii="Arial" w:cs="Arial" w:eastAsia="Arial" w:hAnsi="Arial"/>
          <w:sz w:val="20"/>
          <w:szCs w:val="20"/>
          <w:color w:val="auto"/>
        </w:rPr>
      </w:pPr>
    </w:p>
    <w:p>
      <w:pPr>
        <w:ind w:left="4400" w:hanging="125"/>
        <w:spacing w:after="0"/>
        <w:tabs>
          <w:tab w:leader="none" w:pos="44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561975</wp:posOffset>
            </wp:positionV>
            <wp:extent cx="5967730"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21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13 / 16</w:t>
      </w:r>
    </w:p>
    <w:p>
      <w:pPr>
        <w:sectPr>
          <w:pgSz w:w="11900" w:h="16838" w:orient="portrait"/>
          <w:cols w:equalWidth="0" w:num="1">
            <w:col w:w="9180"/>
          </w:cols>
          <w:pgMar w:left="1440" w:top="1218" w:right="1286" w:bottom="0" w:gutter="0" w:footer="0" w:header="0"/>
          <w:type w:val="continuous"/>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840"/>
        <w:spacing w:after="0" w:line="373" w:lineRule="auto"/>
        <w:rPr>
          <w:sz w:val="20"/>
          <w:szCs w:val="20"/>
          <w:color w:val="auto"/>
        </w:rPr>
      </w:pPr>
      <w:r>
        <w:rPr>
          <w:rFonts w:ascii="Arial" w:cs="Arial" w:eastAsia="Arial" w:hAnsi="Arial"/>
          <w:sz w:val="20"/>
          <w:szCs w:val="20"/>
          <w:color w:val="auto"/>
        </w:rPr>
        <w:t>orderly liquidation of the debt. The relationship shows deteriorating trends or other deficient areas. The loan may be nonperforming and expected to remain so for the foreseeable future. Relationship balances may be adequately secured by asset value; however a deteriorated financial condition may necessitate collateral liquidation to effect repayment. This would also include any relationship with an unacceptable financial condition requiring excessive attention of the officer due to the nature of the credit risk or lack of borrower cooperation.</w:t>
      </w:r>
    </w:p>
    <w:p>
      <w:pPr>
        <w:spacing w:after="0" w:line="135" w:lineRule="exact"/>
        <w:rPr>
          <w:sz w:val="20"/>
          <w:szCs w:val="20"/>
          <w:color w:val="auto"/>
        </w:rPr>
      </w:pPr>
    </w:p>
    <w:p>
      <w:pPr>
        <w:jc w:val="both"/>
        <w:ind w:left="840" w:right="20" w:hanging="420"/>
        <w:spacing w:after="0" w:line="373" w:lineRule="auto"/>
        <w:tabs>
          <w:tab w:leader="none" w:pos="84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Doubtful</w:t>
      </w:r>
      <w:r>
        <w:rPr>
          <w:rFonts w:ascii="Arial" w:cs="Arial" w:eastAsia="Arial" w:hAnsi="Arial"/>
          <w:sz w:val="20"/>
          <w:szCs w:val="20"/>
          <w:color w:val="auto"/>
        </w:rPr>
        <w:t>: The relationship has all the weaknesses inherent in a credit graded 6 with the added characteristic that the weaknesses make collection on the basis of currently existing facts, conditions and value, highly questionable or improbable. The possibility of some loss is extremely high, however its classification as an anticipated loss is deferred until a more exact determination of the extent of loss is determined. Loans in this category must be on nonaccrual.</w:t>
      </w:r>
    </w:p>
    <w:p>
      <w:pPr>
        <w:spacing w:after="0" w:line="132" w:lineRule="exact"/>
        <w:rPr>
          <w:rFonts w:ascii="Arial" w:cs="Arial" w:eastAsia="Arial" w:hAnsi="Arial"/>
          <w:sz w:val="20"/>
          <w:szCs w:val="20"/>
          <w:color w:val="auto"/>
        </w:rPr>
      </w:pPr>
    </w:p>
    <w:p>
      <w:pPr>
        <w:jc w:val="both"/>
        <w:ind w:left="840" w:right="20" w:hanging="420"/>
        <w:spacing w:after="0" w:line="370" w:lineRule="auto"/>
        <w:tabs>
          <w:tab w:leader="none" w:pos="84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Loss</w:t>
      </w:r>
      <w:r>
        <w:rPr>
          <w:rFonts w:ascii="Arial" w:cs="Arial" w:eastAsia="Arial" w:hAnsi="Arial"/>
          <w:sz w:val="20"/>
          <w:szCs w:val="20"/>
          <w:color w:val="auto"/>
        </w:rPr>
        <w:t>: Loans are considered uncollectible and of such little value that continuance as bankable assets is not warranted. It is not practicable or desirable to defer writing off this basically worthless asset even though partial recovery may be possible in the future.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Residential Mortgage and Consumer Loans:</w:t>
      </w:r>
    </w:p>
    <w:p>
      <w:pPr>
        <w:spacing w:after="0" w:line="200"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Residential mortgage and consumer loans are assigned a “Pass” rating unless the loan has demonstrated signs of weakness as indicated by the ratings below.</w:t>
      </w:r>
    </w:p>
    <w:p>
      <w:pPr>
        <w:spacing w:after="0" w:line="187" w:lineRule="exact"/>
        <w:rPr>
          <w:sz w:val="20"/>
          <w:szCs w:val="20"/>
          <w:color w:val="auto"/>
        </w:rPr>
      </w:pPr>
    </w:p>
    <w:p>
      <w:pPr>
        <w:ind w:left="840" w:right="40" w:hanging="420"/>
        <w:spacing w:after="0" w:line="365" w:lineRule="auto"/>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Special Mention</w:t>
      </w:r>
      <w:r>
        <w:rPr>
          <w:rFonts w:ascii="Arial" w:cs="Arial" w:eastAsia="Arial" w:hAnsi="Arial"/>
          <w:sz w:val="20"/>
          <w:szCs w:val="20"/>
          <w:color w:val="auto"/>
        </w:rPr>
        <w:t>: All loans sixty days past due are classified Special Mention. The loan is not upgraded until it has been current for at least six consecutive months.</w:t>
      </w:r>
    </w:p>
    <w:p>
      <w:pPr>
        <w:spacing w:after="0" w:line="140" w:lineRule="exact"/>
        <w:rPr>
          <w:rFonts w:ascii="Arial" w:cs="Arial" w:eastAsia="Arial" w:hAnsi="Arial"/>
          <w:sz w:val="20"/>
          <w:szCs w:val="20"/>
          <w:color w:val="auto"/>
        </w:rPr>
      </w:pPr>
    </w:p>
    <w:p>
      <w:pPr>
        <w:ind w:left="840" w:right="20" w:hanging="420"/>
        <w:spacing w:after="0" w:line="365" w:lineRule="auto"/>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Substandard</w:t>
      </w:r>
      <w:r>
        <w:rPr>
          <w:rFonts w:ascii="Arial" w:cs="Arial" w:eastAsia="Arial" w:hAnsi="Arial"/>
          <w:sz w:val="20"/>
          <w:szCs w:val="20"/>
          <w:color w:val="auto"/>
        </w:rPr>
        <w:t>: All loans 90 days past due are classified Substandard. The loan is not upgraded until it has been current for at least six consecutive months.</w:t>
      </w:r>
    </w:p>
    <w:p>
      <w:pPr>
        <w:spacing w:after="0" w:line="140" w:lineRule="exact"/>
        <w:rPr>
          <w:rFonts w:ascii="Arial" w:cs="Arial" w:eastAsia="Arial" w:hAnsi="Arial"/>
          <w:sz w:val="20"/>
          <w:szCs w:val="20"/>
          <w:color w:val="auto"/>
        </w:rPr>
      </w:pPr>
    </w:p>
    <w:p>
      <w:pPr>
        <w:jc w:val="both"/>
        <w:ind w:left="840" w:right="20" w:hanging="420"/>
        <w:spacing w:after="0" w:line="396" w:lineRule="auto"/>
        <w:tabs>
          <w:tab w:leader="none" w:pos="84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Doubtful</w:t>
      </w:r>
      <w:r>
        <w:rPr>
          <w:rFonts w:ascii="Arial" w:cs="Arial" w:eastAsia="Arial" w:hAnsi="Arial"/>
          <w:sz w:val="19"/>
          <w:szCs w:val="19"/>
          <w:color w:val="auto"/>
        </w:rPr>
        <w:t>: The relationship has all the weaknesses inherent in a credit graded 6 with the added characteristic that the weaknesses make collection on the basis of currently existing facts, conditions and value, highly questionable or improbable. The possibility of some loss is extremely high.</w:t>
      </w:r>
    </w:p>
    <w:p>
      <w:pPr>
        <w:spacing w:after="0" w:line="73"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The risk ratings for classified loans are evaluated at least quarterly for commercial loans or when credit deficiencies arise, such as delinquent loan payments, for commercial, residential mortgage or consumer loans. See further discussion of risk ratings in Note 1.</w:t>
      </w:r>
    </w:p>
    <w:p>
      <w:pPr>
        <w:spacing w:after="0" w:line="137"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The following tables present the classes of the loan portfolio, summarized by the aggregate pass rating and the classified ratings of special mention, substandard and doubtful within the Company's internal risk rating system as of the dates indicated: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 / 16</w:t>
      </w:r>
    </w:p>
    <w:p>
      <w:pPr>
        <w:sectPr>
          <w:pgSz w:w="11900" w:h="16838" w:orient="portrait"/>
          <w:cols w:equalWidth="0" w:num="1">
            <w:col w:w="9360"/>
          </w:cols>
          <w:pgMar w:left="1260" w:top="1440" w:right="1286" w:bottom="0" w:gutter="0" w:footer="0" w:header="0"/>
          <w:type w:val="continuous"/>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80" w:type="dxa"/>
            <w:vAlign w:val="bottom"/>
            <w:gridSpan w:val="4"/>
          </w:tcPr>
          <w:p>
            <w:pPr>
              <w:jc w:val="right"/>
              <w:ind w:right="300"/>
              <w:spacing w:after="0"/>
              <w:rPr>
                <w:sz w:val="20"/>
                <w:szCs w:val="20"/>
                <w:color w:val="auto"/>
              </w:rPr>
            </w:pPr>
            <w:r>
              <w:rPr>
                <w:rFonts w:ascii="Arial" w:cs="Arial" w:eastAsia="Arial" w:hAnsi="Arial"/>
                <w:sz w:val="16"/>
                <w:szCs w:val="16"/>
                <w:color w:val="auto"/>
              </w:rPr>
              <w:t>Term Loans By Origination Year</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2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w w:val="93"/>
              </w:rPr>
              <w:t>Revolving</w:t>
            </w:r>
          </w:p>
        </w:tc>
        <w:tc>
          <w:tcPr>
            <w:tcW w:w="820" w:type="dxa"/>
            <w:vAlign w:val="bottom"/>
          </w:tcPr>
          <w:p>
            <w:pPr>
              <w:spacing w:after="0"/>
              <w:rPr>
                <w:sz w:val="22"/>
                <w:szCs w:val="22"/>
                <w:color w:val="auto"/>
              </w:rPr>
            </w:pPr>
          </w:p>
        </w:tc>
      </w:tr>
      <w:tr>
        <w:trPr>
          <w:trHeight w:val="240"/>
        </w:trPr>
        <w:tc>
          <w:tcPr>
            <w:tcW w:w="2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loans</w:t>
            </w:r>
          </w:p>
        </w:tc>
        <w:tc>
          <w:tcPr>
            <w:tcW w:w="820" w:type="dxa"/>
            <w:vAlign w:val="bottom"/>
          </w:tcPr>
          <w:p>
            <w:pPr>
              <w:spacing w:after="0"/>
              <w:rPr>
                <w:sz w:val="20"/>
                <w:szCs w:val="20"/>
                <w:color w:val="auto"/>
              </w:rPr>
            </w:pPr>
          </w:p>
        </w:tc>
      </w:tr>
      <w:tr>
        <w:trPr>
          <w:trHeight w:val="240"/>
        </w:trPr>
        <w:tc>
          <w:tcPr>
            <w:tcW w:w="2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color w:val="auto"/>
              </w:rPr>
              <w:t>Revolving</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converted to</w:t>
            </w:r>
          </w:p>
        </w:tc>
        <w:tc>
          <w:tcPr>
            <w:tcW w:w="820" w:type="dxa"/>
            <w:vAlign w:val="bottom"/>
          </w:tcPr>
          <w:p>
            <w:pPr>
              <w:spacing w:after="0"/>
              <w:rPr>
                <w:sz w:val="20"/>
                <w:szCs w:val="20"/>
                <w:color w:val="auto"/>
              </w:rPr>
            </w:pPr>
          </w:p>
        </w:tc>
      </w:tr>
      <w:tr>
        <w:trPr>
          <w:trHeight w:val="240"/>
        </w:trPr>
        <w:tc>
          <w:tcPr>
            <w:tcW w:w="21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2025</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2024</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2023</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2022</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2021</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Prior</w:t>
            </w: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loans</w:t>
            </w: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3"/>
              </w:rPr>
              <w:t>term loans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Total</w:t>
            </w:r>
          </w:p>
        </w:tc>
      </w:tr>
      <w:tr>
        <w:trPr>
          <w:trHeight w:val="42"/>
        </w:trPr>
        <w:tc>
          <w:tcPr>
            <w:tcW w:w="2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4"/>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Commercial real estate:</w:t>
            </w:r>
          </w:p>
        </w:tc>
        <w:tc>
          <w:tcPr>
            <w:tcW w:w="7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r>
      <w:tr>
        <w:trPr>
          <w:trHeight w:val="282"/>
        </w:trPr>
        <w:tc>
          <w:tcPr>
            <w:tcW w:w="2120" w:type="dxa"/>
            <w:vAlign w:val="bottom"/>
          </w:tcPr>
          <w:p>
            <w:pPr>
              <w:ind w:left="40"/>
              <w:spacing w:after="0"/>
              <w:rPr>
                <w:sz w:val="20"/>
                <w:szCs w:val="20"/>
                <w:color w:val="auto"/>
              </w:rPr>
            </w:pPr>
            <w:r>
              <w:rPr>
                <w:rFonts w:ascii="Arial" w:cs="Arial" w:eastAsia="Arial" w:hAnsi="Arial"/>
                <w:sz w:val="16"/>
                <w:szCs w:val="16"/>
                <w:color w:val="auto"/>
              </w:rPr>
              <w:t>Pass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$49,693</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$42,604</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$29,527</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$51,634</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$35,764</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$121,653</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$330,875</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4"/>
        </w:trPr>
        <w:tc>
          <w:tcPr>
            <w:tcW w:w="2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Special Mention</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6,113</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11,761</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7,747</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4,875</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30,496</w:t>
            </w:r>
          </w:p>
        </w:tc>
      </w:tr>
      <w:tr>
        <w:trPr>
          <w:trHeight w:val="282"/>
        </w:trPr>
        <w:tc>
          <w:tcPr>
            <w:tcW w:w="2120" w:type="dxa"/>
            <w:vAlign w:val="bottom"/>
          </w:tcPr>
          <w:p>
            <w:pPr>
              <w:ind w:left="40"/>
              <w:spacing w:after="0"/>
              <w:rPr>
                <w:sz w:val="20"/>
                <w:szCs w:val="20"/>
                <w:color w:val="auto"/>
              </w:rPr>
            </w:pPr>
            <w:r>
              <w:rPr>
                <w:rFonts w:ascii="Arial" w:cs="Arial" w:eastAsia="Arial" w:hAnsi="Arial"/>
                <w:sz w:val="16"/>
                <w:szCs w:val="16"/>
                <w:color w:val="auto"/>
              </w:rPr>
              <w:t>Substandard</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3,474</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830</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1,235</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2,220</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8,456</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2,674</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18,889</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04"/>
        </w:trPr>
        <w:tc>
          <w:tcPr>
            <w:tcW w:w="2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Doubtful</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51</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51</w:t>
            </w:r>
          </w:p>
        </w:tc>
      </w:tr>
      <w:tr>
        <w:trPr>
          <w:trHeight w:val="282"/>
        </w:trPr>
        <w:tc>
          <w:tcPr>
            <w:tcW w:w="2120" w:type="dxa"/>
            <w:vAlign w:val="bottom"/>
          </w:tcPr>
          <w:p>
            <w:pPr>
              <w:spacing w:after="0"/>
              <w:rPr>
                <w:sz w:val="20"/>
                <w:szCs w:val="20"/>
                <w:color w:val="auto"/>
              </w:rPr>
            </w:pPr>
            <w:r>
              <w:rPr>
                <w:rFonts w:ascii="Arial" w:cs="Arial" w:eastAsia="Arial" w:hAnsi="Arial"/>
                <w:sz w:val="16"/>
                <w:szCs w:val="16"/>
                <w:color w:val="auto"/>
              </w:rPr>
              <w:t>Total commercial real estate</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53,167</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49,547</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42,523</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61,601</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44,220</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129,253</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380,311</w:t>
            </w:r>
          </w:p>
        </w:tc>
      </w:tr>
      <w:tr>
        <w:trPr>
          <w:trHeight w:val="42"/>
        </w:trPr>
        <w:tc>
          <w:tcPr>
            <w:tcW w:w="2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4"/>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Commercial lines of credit:</w:t>
            </w:r>
          </w:p>
        </w:tc>
        <w:tc>
          <w:tcPr>
            <w:tcW w:w="7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r>
      <w:tr>
        <w:trPr>
          <w:trHeight w:val="282"/>
        </w:trPr>
        <w:tc>
          <w:tcPr>
            <w:tcW w:w="2120" w:type="dxa"/>
            <w:vAlign w:val="bottom"/>
          </w:tcPr>
          <w:p>
            <w:pPr>
              <w:ind w:left="40"/>
              <w:spacing w:after="0"/>
              <w:rPr>
                <w:sz w:val="20"/>
                <w:szCs w:val="20"/>
                <w:color w:val="auto"/>
              </w:rPr>
            </w:pPr>
            <w:r>
              <w:rPr>
                <w:rFonts w:ascii="Arial" w:cs="Arial" w:eastAsia="Arial" w:hAnsi="Arial"/>
                <w:sz w:val="16"/>
                <w:szCs w:val="16"/>
                <w:color w:val="auto"/>
              </w:rPr>
              <w:t>Pass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64,594</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2,516</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67,110</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4"/>
        </w:trPr>
        <w:tc>
          <w:tcPr>
            <w:tcW w:w="2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Special Mention</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6,080</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6,080</w:t>
            </w:r>
          </w:p>
        </w:tc>
      </w:tr>
      <w:tr>
        <w:trPr>
          <w:trHeight w:val="282"/>
        </w:trPr>
        <w:tc>
          <w:tcPr>
            <w:tcW w:w="2120" w:type="dxa"/>
            <w:vAlign w:val="bottom"/>
          </w:tcPr>
          <w:p>
            <w:pPr>
              <w:ind w:left="40"/>
              <w:spacing w:after="0"/>
              <w:rPr>
                <w:sz w:val="20"/>
                <w:szCs w:val="20"/>
                <w:color w:val="auto"/>
              </w:rPr>
            </w:pPr>
            <w:r>
              <w:rPr>
                <w:rFonts w:ascii="Arial" w:cs="Arial" w:eastAsia="Arial" w:hAnsi="Arial"/>
                <w:sz w:val="16"/>
                <w:szCs w:val="16"/>
                <w:color w:val="auto"/>
              </w:rPr>
              <w:t>Substandard</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2,119</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2,166</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04"/>
        </w:trPr>
        <w:tc>
          <w:tcPr>
            <w:tcW w:w="2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Doubtful</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15</w:t>
            </w:r>
          </w:p>
        </w:tc>
      </w:tr>
      <w:tr>
        <w:trPr>
          <w:trHeight w:val="282"/>
        </w:trPr>
        <w:tc>
          <w:tcPr>
            <w:tcW w:w="2120" w:type="dxa"/>
            <w:vAlign w:val="bottom"/>
          </w:tcPr>
          <w:p>
            <w:pPr>
              <w:spacing w:after="0"/>
              <w:rPr>
                <w:sz w:val="20"/>
                <w:szCs w:val="20"/>
                <w:color w:val="auto"/>
              </w:rPr>
            </w:pPr>
            <w:r>
              <w:rPr>
                <w:rFonts w:ascii="Arial" w:cs="Arial" w:eastAsia="Arial" w:hAnsi="Arial"/>
                <w:sz w:val="16"/>
                <w:szCs w:val="16"/>
                <w:color w:val="auto"/>
                <w:w w:val="95"/>
              </w:rPr>
              <w:t>Total commercial lines of credit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72,808</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2,563</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75,371</w:t>
            </w:r>
          </w:p>
        </w:tc>
      </w:tr>
      <w:tr>
        <w:trPr>
          <w:trHeight w:val="42"/>
        </w:trPr>
        <w:tc>
          <w:tcPr>
            <w:tcW w:w="2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2"/>
        </w:trPr>
        <w:tc>
          <w:tcPr>
            <w:tcW w:w="2120" w:type="dxa"/>
            <w:vAlign w:val="bottom"/>
            <w:shd w:val="clear" w:color="auto" w:fill="CFF0FC"/>
          </w:tcPr>
          <w:p>
            <w:pPr>
              <w:spacing w:after="0"/>
              <w:rPr>
                <w:sz w:val="20"/>
                <w:szCs w:val="20"/>
                <w:color w:val="auto"/>
              </w:rPr>
            </w:pPr>
            <w:r>
              <w:rPr>
                <w:rFonts w:ascii="Arial" w:cs="Arial" w:eastAsia="Arial" w:hAnsi="Arial"/>
                <w:sz w:val="16"/>
                <w:szCs w:val="16"/>
                <w:color w:val="auto"/>
              </w:rPr>
              <w:t>Other commercial and</w:t>
            </w: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52"/>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industrial:</w:t>
            </w:r>
          </w:p>
        </w:tc>
        <w:tc>
          <w:tcPr>
            <w:tcW w:w="7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r>
      <w:tr>
        <w:trPr>
          <w:trHeight w:val="282"/>
        </w:trPr>
        <w:tc>
          <w:tcPr>
            <w:tcW w:w="2120" w:type="dxa"/>
            <w:vAlign w:val="bottom"/>
          </w:tcPr>
          <w:p>
            <w:pPr>
              <w:ind w:left="40"/>
              <w:spacing w:after="0"/>
              <w:rPr>
                <w:sz w:val="20"/>
                <w:szCs w:val="20"/>
                <w:color w:val="auto"/>
              </w:rPr>
            </w:pPr>
            <w:r>
              <w:rPr>
                <w:rFonts w:ascii="Arial" w:cs="Arial" w:eastAsia="Arial" w:hAnsi="Arial"/>
                <w:sz w:val="16"/>
                <w:szCs w:val="16"/>
                <w:color w:val="auto"/>
              </w:rPr>
              <w:t>Pass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14,970</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14,164</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12,205</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11,416</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2,234</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12,413</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999</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68,401</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4"/>
        </w:trPr>
        <w:tc>
          <w:tcPr>
            <w:tcW w:w="2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Special Mention</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959</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1,422</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2,013</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21</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1,339</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5,754</w:t>
            </w:r>
          </w:p>
        </w:tc>
      </w:tr>
      <w:tr>
        <w:trPr>
          <w:trHeight w:val="282"/>
        </w:trPr>
        <w:tc>
          <w:tcPr>
            <w:tcW w:w="2120" w:type="dxa"/>
            <w:vAlign w:val="bottom"/>
          </w:tcPr>
          <w:p>
            <w:pPr>
              <w:ind w:left="40"/>
              <w:spacing w:after="0"/>
              <w:rPr>
                <w:sz w:val="20"/>
                <w:szCs w:val="20"/>
                <w:color w:val="auto"/>
              </w:rPr>
            </w:pPr>
            <w:r>
              <w:rPr>
                <w:rFonts w:ascii="Arial" w:cs="Arial" w:eastAsia="Arial" w:hAnsi="Arial"/>
                <w:sz w:val="16"/>
                <w:szCs w:val="16"/>
                <w:color w:val="auto"/>
              </w:rPr>
              <w:t>Substandard</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189</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4,192</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4,700</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04"/>
        </w:trPr>
        <w:tc>
          <w:tcPr>
            <w:tcW w:w="2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Doubtful</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2,355</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2,355</w:t>
            </w:r>
          </w:p>
        </w:tc>
      </w:tr>
      <w:tr>
        <w:trPr>
          <w:trHeight w:val="222"/>
        </w:trPr>
        <w:tc>
          <w:tcPr>
            <w:tcW w:w="2120" w:type="dxa"/>
            <w:vAlign w:val="bottom"/>
          </w:tcPr>
          <w:p>
            <w:pPr>
              <w:spacing w:after="0"/>
              <w:rPr>
                <w:sz w:val="20"/>
                <w:szCs w:val="20"/>
                <w:color w:val="auto"/>
              </w:rPr>
            </w:pPr>
            <w:r>
              <w:rPr>
                <w:rFonts w:ascii="Arial" w:cs="Arial" w:eastAsia="Arial" w:hAnsi="Arial"/>
                <w:sz w:val="16"/>
                <w:szCs w:val="16"/>
                <w:color w:val="auto"/>
              </w:rPr>
              <w:t>Total other commercial and</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0"/>
        </w:trPr>
        <w:tc>
          <w:tcPr>
            <w:tcW w:w="2120" w:type="dxa"/>
            <w:vAlign w:val="bottom"/>
          </w:tcPr>
          <w:p>
            <w:pPr>
              <w:spacing w:after="0"/>
              <w:rPr>
                <w:sz w:val="20"/>
                <w:szCs w:val="20"/>
                <w:color w:val="auto"/>
              </w:rPr>
            </w:pPr>
            <w:r>
              <w:rPr>
                <w:rFonts w:ascii="Arial" w:cs="Arial" w:eastAsia="Arial" w:hAnsi="Arial"/>
                <w:sz w:val="16"/>
                <w:szCs w:val="16"/>
                <w:color w:val="auto"/>
              </w:rPr>
              <w:t>industrial</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15,929</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15,775</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16,883</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11,416</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2,264</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17,944</w:t>
            </w: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999</w:t>
            </w: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81,210</w:t>
            </w:r>
          </w:p>
        </w:tc>
      </w:tr>
      <w:tr>
        <w:trPr>
          <w:trHeight w:val="42"/>
        </w:trPr>
        <w:tc>
          <w:tcPr>
            <w:tcW w:w="2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2"/>
        </w:trPr>
        <w:tc>
          <w:tcPr>
            <w:tcW w:w="2120" w:type="dxa"/>
            <w:vAlign w:val="bottom"/>
            <w:shd w:val="clear" w:color="auto" w:fill="CFF0FC"/>
          </w:tcPr>
          <w:p>
            <w:pPr>
              <w:spacing w:after="0"/>
              <w:rPr>
                <w:sz w:val="20"/>
                <w:szCs w:val="20"/>
                <w:color w:val="auto"/>
              </w:rPr>
            </w:pPr>
            <w:r>
              <w:rPr>
                <w:rFonts w:ascii="Arial" w:cs="Arial" w:eastAsia="Arial" w:hAnsi="Arial"/>
                <w:sz w:val="16"/>
                <w:szCs w:val="16"/>
                <w:color w:val="auto"/>
                <w:w w:val="99"/>
              </w:rPr>
              <w:t>Paycheck Protection Program</w:t>
            </w: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52"/>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loans</w:t>
            </w:r>
          </w:p>
        </w:tc>
        <w:tc>
          <w:tcPr>
            <w:tcW w:w="7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r>
      <w:tr>
        <w:trPr>
          <w:trHeight w:val="282"/>
        </w:trPr>
        <w:tc>
          <w:tcPr>
            <w:tcW w:w="2120" w:type="dxa"/>
            <w:vAlign w:val="bottom"/>
          </w:tcPr>
          <w:p>
            <w:pPr>
              <w:ind w:left="240"/>
              <w:spacing w:after="0"/>
              <w:rPr>
                <w:sz w:val="20"/>
                <w:szCs w:val="20"/>
                <w:color w:val="auto"/>
              </w:rPr>
            </w:pPr>
            <w:r>
              <w:rPr>
                <w:rFonts w:ascii="Arial" w:cs="Arial" w:eastAsia="Arial" w:hAnsi="Arial"/>
                <w:sz w:val="16"/>
                <w:szCs w:val="16"/>
                <w:color w:val="auto"/>
              </w:rPr>
              <w:t>Pass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63</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4"/>
        </w:trPr>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Special Mention</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82"/>
        </w:trPr>
        <w:tc>
          <w:tcPr>
            <w:tcW w:w="2120" w:type="dxa"/>
            <w:vAlign w:val="bottom"/>
          </w:tcPr>
          <w:p>
            <w:pPr>
              <w:ind w:left="240"/>
              <w:spacing w:after="0"/>
              <w:rPr>
                <w:sz w:val="20"/>
                <w:szCs w:val="20"/>
                <w:color w:val="auto"/>
              </w:rPr>
            </w:pPr>
            <w:r>
              <w:rPr>
                <w:rFonts w:ascii="Arial" w:cs="Arial" w:eastAsia="Arial" w:hAnsi="Arial"/>
                <w:sz w:val="16"/>
                <w:szCs w:val="16"/>
                <w:color w:val="auto"/>
              </w:rPr>
              <w:t>Substandard</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04"/>
        </w:trPr>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Doubtful</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22"/>
        </w:trPr>
        <w:tc>
          <w:tcPr>
            <w:tcW w:w="2120" w:type="dxa"/>
            <w:vAlign w:val="bottom"/>
          </w:tcPr>
          <w:p>
            <w:pPr>
              <w:spacing w:after="0"/>
              <w:rPr>
                <w:sz w:val="20"/>
                <w:szCs w:val="20"/>
                <w:color w:val="auto"/>
              </w:rPr>
            </w:pPr>
            <w:r>
              <w:rPr>
                <w:rFonts w:ascii="Arial" w:cs="Arial" w:eastAsia="Arial" w:hAnsi="Arial"/>
                <w:sz w:val="16"/>
                <w:szCs w:val="16"/>
                <w:color w:val="auto"/>
              </w:rPr>
              <w:t>Total Paycheck Protection</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0"/>
        </w:trPr>
        <w:tc>
          <w:tcPr>
            <w:tcW w:w="2120" w:type="dxa"/>
            <w:vAlign w:val="bottom"/>
          </w:tcPr>
          <w:p>
            <w:pPr>
              <w:spacing w:after="0"/>
              <w:rPr>
                <w:sz w:val="20"/>
                <w:szCs w:val="20"/>
                <w:color w:val="auto"/>
              </w:rPr>
            </w:pPr>
            <w:r>
              <w:rPr>
                <w:rFonts w:ascii="Arial" w:cs="Arial" w:eastAsia="Arial" w:hAnsi="Arial"/>
                <w:sz w:val="16"/>
                <w:szCs w:val="16"/>
                <w:color w:val="auto"/>
              </w:rPr>
              <w:t>Program loans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63</w:t>
            </w:r>
          </w:p>
        </w:tc>
      </w:tr>
      <w:tr>
        <w:trPr>
          <w:trHeight w:val="42"/>
        </w:trPr>
        <w:tc>
          <w:tcPr>
            <w:tcW w:w="2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4"/>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 exempt loans</w:t>
            </w:r>
          </w:p>
        </w:tc>
        <w:tc>
          <w:tcPr>
            <w:tcW w:w="7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r>
      <w:tr>
        <w:trPr>
          <w:trHeight w:val="282"/>
        </w:trPr>
        <w:tc>
          <w:tcPr>
            <w:tcW w:w="2120" w:type="dxa"/>
            <w:vAlign w:val="bottom"/>
          </w:tcPr>
          <w:p>
            <w:pPr>
              <w:ind w:left="240"/>
              <w:spacing w:after="0"/>
              <w:rPr>
                <w:sz w:val="20"/>
                <w:szCs w:val="20"/>
                <w:color w:val="auto"/>
              </w:rPr>
            </w:pPr>
            <w:r>
              <w:rPr>
                <w:rFonts w:ascii="Arial" w:cs="Arial" w:eastAsia="Arial" w:hAnsi="Arial"/>
                <w:sz w:val="16"/>
                <w:szCs w:val="16"/>
                <w:color w:val="auto"/>
              </w:rPr>
              <w:t>Pass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2,619</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4,093</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6,716</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4"/>
        </w:trPr>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Special Mention</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82"/>
        </w:trPr>
        <w:tc>
          <w:tcPr>
            <w:tcW w:w="2120" w:type="dxa"/>
            <w:vAlign w:val="bottom"/>
          </w:tcPr>
          <w:p>
            <w:pPr>
              <w:ind w:left="240"/>
              <w:spacing w:after="0"/>
              <w:rPr>
                <w:sz w:val="20"/>
                <w:szCs w:val="20"/>
                <w:color w:val="auto"/>
              </w:rPr>
            </w:pPr>
            <w:r>
              <w:rPr>
                <w:rFonts w:ascii="Arial" w:cs="Arial" w:eastAsia="Arial" w:hAnsi="Arial"/>
                <w:sz w:val="16"/>
                <w:szCs w:val="16"/>
                <w:color w:val="auto"/>
              </w:rPr>
              <w:t>Substandard</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04"/>
        </w:trPr>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Doubtful</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82"/>
        </w:trPr>
        <w:tc>
          <w:tcPr>
            <w:tcW w:w="2120" w:type="dxa"/>
            <w:vAlign w:val="bottom"/>
          </w:tcPr>
          <w:p>
            <w:pPr>
              <w:spacing w:after="0"/>
              <w:rPr>
                <w:sz w:val="20"/>
                <w:szCs w:val="20"/>
                <w:color w:val="auto"/>
              </w:rPr>
            </w:pPr>
            <w:r>
              <w:rPr>
                <w:rFonts w:ascii="Arial" w:cs="Arial" w:eastAsia="Arial" w:hAnsi="Arial"/>
                <w:sz w:val="16"/>
                <w:szCs w:val="16"/>
                <w:color w:val="auto"/>
              </w:rPr>
              <w:t>Total tax exempt loans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2,619</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4,093</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6,716</w:t>
            </w:r>
          </w:p>
        </w:tc>
      </w:tr>
      <w:tr>
        <w:trPr>
          <w:trHeight w:val="42"/>
        </w:trPr>
        <w:tc>
          <w:tcPr>
            <w:tcW w:w="2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2"/>
        </w:trPr>
        <w:tc>
          <w:tcPr>
            <w:tcW w:w="2120" w:type="dxa"/>
            <w:vAlign w:val="bottom"/>
            <w:shd w:val="clear" w:color="auto" w:fill="CFF0FC"/>
          </w:tcPr>
          <w:p>
            <w:pPr>
              <w:spacing w:after="0"/>
              <w:rPr>
                <w:sz w:val="20"/>
                <w:szCs w:val="20"/>
                <w:color w:val="auto"/>
              </w:rPr>
            </w:pPr>
            <w:r>
              <w:rPr>
                <w:rFonts w:ascii="Arial" w:cs="Arial" w:eastAsia="Arial" w:hAnsi="Arial"/>
                <w:sz w:val="16"/>
                <w:szCs w:val="16"/>
                <w:color w:val="auto"/>
              </w:rPr>
              <w:t>1-4 family first-lien residential</w:t>
            </w: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52"/>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mortgages:</w:t>
            </w:r>
          </w:p>
        </w:tc>
        <w:tc>
          <w:tcPr>
            <w:tcW w:w="7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r>
      <w:tr>
        <w:trPr>
          <w:trHeight w:val="282"/>
        </w:trPr>
        <w:tc>
          <w:tcPr>
            <w:tcW w:w="2120" w:type="dxa"/>
            <w:vAlign w:val="bottom"/>
          </w:tcPr>
          <w:p>
            <w:pPr>
              <w:ind w:left="40"/>
              <w:spacing w:after="0"/>
              <w:rPr>
                <w:sz w:val="20"/>
                <w:szCs w:val="20"/>
                <w:color w:val="auto"/>
              </w:rPr>
            </w:pPr>
            <w:r>
              <w:rPr>
                <w:rFonts w:ascii="Arial" w:cs="Arial" w:eastAsia="Arial" w:hAnsi="Arial"/>
                <w:sz w:val="16"/>
                <w:szCs w:val="16"/>
                <w:color w:val="auto"/>
              </w:rPr>
              <w:t>Pass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14,993</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10,769</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14,905</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26,481</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42,090</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125,533</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234,771</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4"/>
        </w:trPr>
        <w:tc>
          <w:tcPr>
            <w:tcW w:w="2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Special Mention</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123</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160</w:t>
            </w:r>
          </w:p>
        </w:tc>
        <w:tc>
          <w:tcPr>
            <w:tcW w:w="7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949</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1,317</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2,549</w:t>
            </w:r>
          </w:p>
        </w:tc>
      </w:tr>
      <w:tr>
        <w:trPr>
          <w:trHeight w:val="282"/>
        </w:trPr>
        <w:tc>
          <w:tcPr>
            <w:tcW w:w="2120" w:type="dxa"/>
            <w:vAlign w:val="bottom"/>
          </w:tcPr>
          <w:p>
            <w:pPr>
              <w:ind w:left="40"/>
              <w:spacing w:after="0"/>
              <w:rPr>
                <w:sz w:val="20"/>
                <w:szCs w:val="20"/>
                <w:color w:val="auto"/>
              </w:rPr>
            </w:pPr>
            <w:r>
              <w:rPr>
                <w:rFonts w:ascii="Arial" w:cs="Arial" w:eastAsia="Arial" w:hAnsi="Arial"/>
                <w:sz w:val="16"/>
                <w:szCs w:val="16"/>
                <w:color w:val="auto"/>
              </w:rPr>
              <w:t>Substandard</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1,429</w:t>
            </w:r>
          </w:p>
        </w:tc>
        <w:tc>
          <w:tcPr>
            <w:tcW w:w="26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1,725</w:t>
            </w:r>
          </w:p>
        </w:tc>
      </w:tr>
      <w:tr>
        <w:trPr>
          <w:trHeight w:val="32"/>
        </w:trPr>
        <w:tc>
          <w:tcPr>
            <w:tcW w:w="2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82"/>
        </w:trPr>
        <w:tc>
          <w:tcPr>
            <w:tcW w:w="2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Doubtful</w:t>
            </w:r>
          </w:p>
        </w:tc>
        <w:tc>
          <w:tcPr>
            <w:tcW w:w="7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647</w:t>
            </w:r>
          </w:p>
        </w:tc>
        <w:tc>
          <w:tcPr>
            <w:tcW w:w="260" w:type="dxa"/>
            <w:vAlign w:val="bottom"/>
            <w:shd w:val="clear" w:color="auto" w:fill="CFF0FC"/>
          </w:tcPr>
          <w:p>
            <w:pPr>
              <w:spacing w:after="0"/>
              <w:rPr>
                <w:sz w:val="24"/>
                <w:szCs w:val="24"/>
                <w:color w:val="auto"/>
              </w:rPr>
            </w:pPr>
          </w:p>
        </w:tc>
        <w:tc>
          <w:tcPr>
            <w:tcW w:w="6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647</w:t>
            </w:r>
          </w:p>
        </w:tc>
      </w:tr>
      <w:tr>
        <w:trPr>
          <w:trHeight w:val="42"/>
        </w:trPr>
        <w:tc>
          <w:tcPr>
            <w:tcW w:w="212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1389380</wp:posOffset>
            </wp:positionH>
            <wp:positionV relativeFrom="paragraph">
              <wp:posOffset>-8145145</wp:posOffset>
            </wp:positionV>
            <wp:extent cx="280924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0924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-7520305</wp:posOffset>
            </wp:positionV>
            <wp:extent cx="596773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-6553835</wp:posOffset>
            </wp:positionV>
            <wp:extent cx="596773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-6348095</wp:posOffset>
            </wp:positionV>
            <wp:extent cx="596773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-5381625</wp:posOffset>
            </wp:positionV>
            <wp:extent cx="596773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-5175250</wp:posOffset>
            </wp:positionV>
            <wp:extent cx="596773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-4056380</wp:posOffset>
            </wp:positionV>
            <wp:extent cx="5967730"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-3736340</wp:posOffset>
            </wp:positionV>
            <wp:extent cx="5967730"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-2617470</wp:posOffset>
            </wp:positionV>
            <wp:extent cx="5967730"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-2296795</wp:posOffset>
            </wp:positionV>
            <wp:extent cx="5967730"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-1330325</wp:posOffset>
            </wp:positionV>
            <wp:extent cx="5967730"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-1124585</wp:posOffset>
            </wp:positionV>
            <wp:extent cx="5967730"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5967730"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16</w:t>
      </w:r>
    </w:p>
    <w:p>
      <w:pPr>
        <w:sectPr>
          <w:pgSz w:w="11900" w:h="16838" w:orient="portrait"/>
          <w:cols w:equalWidth="0" w:num="1">
            <w:col w:w="9400"/>
          </w:cols>
          <w:pgMar w:left="1260" w:top="1440" w:right="1246" w:bottom="0" w:gutter="0" w:footer="0" w:header="0"/>
          <w:type w:val="continuous"/>
        </w:sectPr>
      </w:pPr>
    </w:p>
    <w:bookmarkStart w:id="181" w:name="page182"/>
    <w:bookmarkEnd w:id="181"/>
    <w:p>
      <w:pPr>
        <w:ind w:right="260"/>
        <w:spacing w:after="0" w:line="353" w:lineRule="auto"/>
        <w:rPr>
          <w:sz w:val="20"/>
          <w:szCs w:val="20"/>
          <w:color w:val="auto"/>
        </w:rPr>
      </w:pPr>
      <w:r>
        <w:rPr>
          <w:rFonts w:ascii="Arial" w:cs="Arial" w:eastAsia="Arial" w:hAnsi="Arial"/>
          <w:sz w:val="15"/>
          <w:szCs w:val="15"/>
          <w:color w:val="auto"/>
        </w:rPr>
        <w:t>Total 1-4 family first-lien residential mortgages 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1327150"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27150" cy="63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Pass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Special Mention</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Substandard</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Doubtful</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Total 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132715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27150" cy="635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Home equity and junior liens: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Pass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jc w:val="right"/>
              <w:ind w:right="80"/>
              <w:spacing w:after="0"/>
              <w:rPr>
                <w:sz w:val="20"/>
                <w:szCs w:val="20"/>
                <w:color w:val="auto"/>
              </w:rPr>
            </w:pPr>
            <w:r>
              <w:rPr>
                <w:rFonts w:ascii="Arial" w:cs="Arial" w:eastAsia="Arial" w:hAnsi="Arial"/>
                <w:sz w:val="16"/>
                <w:szCs w:val="16"/>
                <w:color w:val="auto"/>
                <w:w w:val="85"/>
              </w:rPr>
              <w:t>15,116</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10,769</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15,012</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26,741</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43,128</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128,926</w:t>
            </w:r>
          </w:p>
        </w:tc>
        <w:tc>
          <w:tcPr>
            <w:tcW w:w="9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239,692</w:t>
            </w:r>
          </w:p>
        </w:tc>
      </w:tr>
      <w:tr>
        <w:trPr>
          <w:trHeight w:val="579"/>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2,039</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2,039</w:t>
            </w:r>
          </w:p>
        </w:tc>
      </w:tr>
      <w:tr>
        <w:trPr>
          <w:trHeight w:val="314"/>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4"/>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2,039</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2,039</w:t>
            </w:r>
          </w:p>
        </w:tc>
      </w:tr>
      <w:tr>
        <w:trPr>
          <w:trHeight w:val="579"/>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4,623</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2,502</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-1508760</wp:posOffset>
            </wp:positionV>
            <wp:extent cx="5967730" cy="13404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967730" cy="134048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-1508760</wp:posOffset>
            </wp:positionV>
            <wp:extent cx="5967730" cy="13404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967730" cy="134048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1900" w:space="380"/>
            <w:col w:w="7000"/>
          </w:cols>
          <w:pgMar w:left="1260" w:top="1179"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16 / 16</w:t>
      </w:r>
    </w:p>
    <w:p>
      <w:pPr>
        <w:sectPr>
          <w:pgSz w:w="11900" w:h="16838" w:orient="portrait"/>
          <w:cols w:equalWidth="0" w:num="1">
            <w:col w:w="9280"/>
          </w:cols>
          <w:pgMar w:left="1260" w:top="1179" w:right="1366" w:bottom="0" w:gutter="0" w:footer="0" w:header="0"/>
          <w:type w:val="continuous"/>
        </w:sectPr>
      </w:pPr>
    </w:p>
    <w:bookmarkStart w:id="182" w:name="page183"/>
    <w:bookmarkEnd w:id="182"/>
    <w:p>
      <w:pPr>
        <w:spacing w:after="0" w:line="1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10,459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21,313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48,289</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Special Mention</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9240"/>
          </w:cols>
          <w:pgMar w:left="142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 / 18</w:t>
      </w:r>
    </w:p>
    <w:p>
      <w:pPr>
        <w:sectPr>
          <w:pgSz w:w="11900" w:h="16838" w:orient="portrait"/>
          <w:cols w:equalWidth="0" w:num="1">
            <w:col w:w="9240"/>
          </w:cols>
          <w:pgMar w:left="1420" w:top="1440" w:right="1246" w:bottom="0" w:gutter="0" w:footer="0" w:header="0"/>
          <w:type w:val="continuous"/>
        </w:sectPr>
      </w:pPr>
    </w:p>
    <w:bookmarkStart w:id="183" w:name="page184"/>
    <w:bookmarkEnd w:id="183"/>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382</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Substandard</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1,100</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Doubtful</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240"/>
          </w:cols>
          <w:pgMar w:left="1420" w:top="1440" w:right="124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 / 18</w:t>
      </w:r>
    </w:p>
    <w:p>
      <w:pPr>
        <w:sectPr>
          <w:pgSz w:w="11900" w:h="16838" w:orient="portrait"/>
          <w:cols w:equalWidth="0" w:num="1">
            <w:col w:w="9240"/>
          </w:cols>
          <w:pgMar w:left="1420" w:top="1440" w:right="1246" w:bottom="0" w:gutter="0" w:footer="0" w:header="0"/>
          <w:type w:val="continuous"/>
        </w:sectPr>
      </w:pPr>
    </w:p>
    <w:bookmarkStart w:id="184" w:name="page185"/>
    <w:bookmarkEnd w:id="184"/>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Total home equity and junior liens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10,733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22,242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889</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18</w:t>
      </w:r>
    </w:p>
    <w:p>
      <w:pPr>
        <w:sectPr>
          <w:pgSz w:w="11900" w:h="16838" w:orient="portrait"/>
          <w:cols w:equalWidth="0" w:num="1">
            <w:col w:w="9400"/>
          </w:cols>
          <w:pgMar w:left="1260" w:top="1440" w:right="1246" w:bottom="0" w:gutter="0" w:footer="0" w:header="0"/>
          <w:type w:val="continuous"/>
        </w:sectPr>
      </w:pPr>
    </w:p>
    <w:bookmarkStart w:id="185" w:name="page186"/>
    <w:bookmarkEnd w:id="185"/>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49,783</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Other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Pass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51,295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2,033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18</w:t>
      </w:r>
    </w:p>
    <w:p>
      <w:pPr>
        <w:sectPr>
          <w:pgSz w:w="11900" w:h="16838" w:orient="portrait"/>
          <w:cols w:equalWidth="0" w:num="1">
            <w:col w:w="9400"/>
          </w:cols>
          <w:pgMar w:left="1260" w:top="1440" w:right="1246" w:bottom="0" w:gutter="0" w:footer="0" w:header="0"/>
          <w:type w:val="continuous"/>
        </w:sectPr>
      </w:pPr>
    </w:p>
    <w:bookmarkStart w:id="186" w:name="page187"/>
    <w:bookmarkEnd w:id="186"/>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62,552</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Special Mention</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152</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Substandard</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240"/>
          </w:cols>
          <w:pgMar w:left="1420" w:top="1440" w:right="124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5 / 18</w:t>
      </w:r>
    </w:p>
    <w:p>
      <w:pPr>
        <w:sectPr>
          <w:pgSz w:w="11900" w:h="16838" w:orient="portrait"/>
          <w:cols w:equalWidth="0" w:num="1">
            <w:col w:w="9240"/>
          </w:cols>
          <w:pgMar w:left="1420" w:top="1440" w:right="1246" w:bottom="0" w:gutter="0" w:footer="0" w:header="0"/>
          <w:type w:val="continuous"/>
        </w:sectPr>
      </w:pPr>
    </w:p>
    <w:bookmarkStart w:id="187" w:name="page188"/>
    <w:bookmarkEnd w:id="187"/>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Doubtful</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240"/>
          </w:cols>
          <w:pgMar w:left="1420" w:top="1440" w:right="124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6 / 18</w:t>
      </w:r>
    </w:p>
    <w:p>
      <w:pPr>
        <w:sectPr>
          <w:pgSz w:w="11900" w:h="16838" w:orient="portrait"/>
          <w:cols w:equalWidth="0" w:num="1">
            <w:col w:w="9240"/>
          </w:cols>
          <w:pgMar w:left="1420" w:top="1440" w:right="1246" w:bottom="0" w:gutter="0" w:footer="0" w:header="0"/>
          <w:type w:val="continuous"/>
        </w:sectPr>
      </w:pPr>
    </w:p>
    <w:bookmarkStart w:id="188" w:name="page189"/>
    <w:bookmarkEnd w:id="188"/>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Total other consumer</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51,310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62,825</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Net deferred loan fees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18</w:t>
      </w:r>
    </w:p>
    <w:p>
      <w:pPr>
        <w:sectPr>
          <w:pgSz w:w="11900" w:h="16838" w:orient="portrait"/>
          <w:cols w:equalWidth="0" w:num="1">
            <w:col w:w="9400"/>
          </w:cols>
          <w:pgMar w:left="1260" w:top="1440" w:right="1246" w:bottom="0" w:gutter="0" w:footer="0" w:header="0"/>
          <w:type w:val="continuous"/>
        </w:sectPr>
      </w:pPr>
    </w:p>
    <w:bookmarkStart w:id="189" w:name="page190"/>
    <w:bookmarkEnd w:id="189"/>
    <w:p>
      <w:pPr>
        <w:jc w:val="right"/>
        <w:spacing w:after="0"/>
        <w:rPr>
          <w:sz w:val="20"/>
          <w:szCs w:val="20"/>
          <w:color w:val="auto"/>
        </w:rPr>
      </w:pPr>
      <w:r>
        <w:rPr>
          <w:rFonts w:ascii="Arial" w:cs="Arial" w:eastAsia="Arial" w:hAnsi="Arial"/>
          <w:sz w:val="16"/>
          <w:szCs w:val="16"/>
          <w:color w:val="auto"/>
        </w:rPr>
        <w:t>(9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Loans, net of deferred fees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95,870</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81,133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129,058</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105,204</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93,462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292,442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96,049</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201"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18</w:t>
      </w:r>
    </w:p>
    <w:p>
      <w:pPr>
        <w:sectPr>
          <w:pgSz w:w="11900" w:h="16838" w:orient="portrait"/>
          <w:cols w:equalWidth="0" w:num="1">
            <w:col w:w="9400"/>
          </w:cols>
          <w:pgMar w:left="1260" w:top="1201" w:right="1246" w:bottom="0" w:gutter="0" w:footer="0" w:header="0"/>
          <w:type w:val="continuous"/>
        </w:sectPr>
      </w:pPr>
    </w:p>
    <w:bookmarkStart w:id="190" w:name="page191"/>
    <w:bookmarkEnd w:id="190"/>
    <w:p>
      <w:pPr>
        <w:jc w:val="right"/>
        <w:spacing w:after="0"/>
        <w:rPr>
          <w:sz w:val="20"/>
          <w:szCs w:val="20"/>
          <w:color w:val="auto"/>
        </w:rPr>
      </w:pPr>
      <w:r>
        <w:rPr>
          <w:rFonts w:ascii="Arial" w:cs="Arial" w:eastAsia="Arial" w:hAnsi="Arial"/>
          <w:sz w:val="16"/>
          <w:szCs w:val="16"/>
          <w:color w:val="auto"/>
        </w:rPr>
        <w:t>3,452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896,670</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0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18</w:t>
      </w:r>
    </w:p>
    <w:p>
      <w:pPr>
        <w:sectPr>
          <w:pgSz w:w="11900" w:h="16838" w:orient="portrait"/>
          <w:cols w:equalWidth="0" w:num="1">
            <w:col w:w="9400"/>
          </w:cols>
          <w:pgMar w:left="1260" w:top="1201" w:right="1246" w:bottom="0" w:gutter="0" w:footer="0" w:header="0"/>
          <w:type w:val="continuous"/>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Nonaccrual and Past Due Loans</w:t>
      </w:r>
    </w:p>
    <w:p>
      <w:pPr>
        <w:spacing w:after="0" w:line="20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Loans are placed on nonaccrual when the contractual payment of principal and interest has become 90 days past due or management has serious doubts about further collectability of principal or interest, even though the loan may be performing.</w:t>
      </w:r>
    </w:p>
    <w:p>
      <w:pPr>
        <w:spacing w:after="0" w:line="137"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Loans are considered past due if the required principal and interest payments have not been received within thirty days of the payment due date.</w:t>
      </w:r>
    </w:p>
    <w:p>
      <w:pPr>
        <w:spacing w:after="0" w:line="141"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An age analysis of loans, not including net deferred loan costs, segregated by portfolio segment and class of loans, as of December 31, 2025 and 2024, are detailed in the following tables: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gridSpan w:val="5"/>
          </w:tcPr>
          <w:p>
            <w:pPr>
              <w:jc w:val="right"/>
              <w:spacing w:after="0"/>
              <w:rPr>
                <w:sz w:val="20"/>
                <w:szCs w:val="20"/>
                <w:color w:val="auto"/>
              </w:rPr>
            </w:pPr>
            <w:r>
              <w:rPr>
                <w:rFonts w:ascii="Arial" w:cs="Arial" w:eastAsia="Arial" w:hAnsi="Arial"/>
                <w:sz w:val="20"/>
                <w:szCs w:val="20"/>
                <w:color w:val="auto"/>
              </w:rPr>
              <w:t>As of December 31, 2025</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24"/>
        </w:trPr>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30-59</w:t>
            </w:r>
          </w:p>
        </w:tc>
        <w:tc>
          <w:tcPr>
            <w:tcW w:w="16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60-89</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80"/>
              <w:spacing w:after="0"/>
              <w:rPr>
                <w:sz w:val="20"/>
                <w:szCs w:val="20"/>
                <w:color w:val="auto"/>
              </w:rPr>
            </w:pPr>
            <w:r>
              <w:rPr>
                <w:rFonts w:ascii="Arial" w:cs="Arial" w:eastAsia="Arial" w:hAnsi="Arial"/>
                <w:sz w:val="20"/>
                <w:szCs w:val="20"/>
                <w:color w:val="auto"/>
              </w:rPr>
              <w:t>Total</w:t>
            </w:r>
          </w:p>
        </w:tc>
      </w:tr>
      <w:tr>
        <w:trPr>
          <w:trHeight w:val="300"/>
        </w:trPr>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Days</w:t>
            </w:r>
          </w:p>
        </w:tc>
        <w:tc>
          <w:tcPr>
            <w:tcW w:w="16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Days</w:t>
            </w:r>
          </w:p>
        </w:tc>
        <w:tc>
          <w:tcPr>
            <w:tcW w:w="180" w:type="dxa"/>
            <w:vAlign w:val="bottom"/>
          </w:tcPr>
          <w:p>
            <w:pPr>
              <w:spacing w:after="0"/>
              <w:rPr>
                <w:sz w:val="24"/>
                <w:szCs w:val="24"/>
                <w:color w:val="auto"/>
              </w:rPr>
            </w:pPr>
          </w:p>
        </w:tc>
        <w:tc>
          <w:tcPr>
            <w:tcW w:w="860" w:type="dxa"/>
            <w:vAlign w:val="bottom"/>
          </w:tcPr>
          <w:p>
            <w:pPr>
              <w:jc w:val="right"/>
              <w:ind w:right="80"/>
              <w:spacing w:after="0"/>
              <w:rPr>
                <w:sz w:val="20"/>
                <w:szCs w:val="20"/>
                <w:color w:val="auto"/>
              </w:rPr>
            </w:pPr>
            <w:r>
              <w:rPr>
                <w:rFonts w:ascii="Arial" w:cs="Arial" w:eastAsia="Arial" w:hAnsi="Arial"/>
                <w:sz w:val="20"/>
                <w:szCs w:val="20"/>
                <w:color w:val="auto"/>
                <w:w w:val="89"/>
              </w:rPr>
              <w:t>90 Days</w:t>
            </w:r>
          </w:p>
        </w:tc>
        <w:tc>
          <w:tcPr>
            <w:tcW w:w="20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20"/>
                <w:szCs w:val="20"/>
                <w:color w:val="auto"/>
              </w:rPr>
              <w:t>Total</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20"/>
              <w:spacing w:after="0"/>
              <w:rPr>
                <w:sz w:val="20"/>
                <w:szCs w:val="20"/>
                <w:color w:val="auto"/>
              </w:rPr>
            </w:pPr>
            <w:r>
              <w:rPr>
                <w:rFonts w:ascii="Arial" w:cs="Arial" w:eastAsia="Arial" w:hAnsi="Arial"/>
                <w:sz w:val="20"/>
                <w:szCs w:val="20"/>
                <w:color w:val="auto"/>
                <w:w w:val="95"/>
              </w:rPr>
              <w:t>Loans</w:t>
            </w:r>
          </w:p>
        </w:tc>
      </w:tr>
      <w:tr>
        <w:trPr>
          <w:trHeight w:val="314"/>
        </w:trPr>
        <w:tc>
          <w:tcPr>
            <w:tcW w:w="316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36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w w:val="85"/>
              </w:rPr>
              <w:t>Past Due</w:t>
            </w:r>
          </w:p>
        </w:tc>
        <w:tc>
          <w:tcPr>
            <w:tcW w:w="16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w w:val="85"/>
              </w:rPr>
              <w:t>Past Due</w:t>
            </w: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and Over</w:t>
            </w: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w w:val="97"/>
              </w:rPr>
              <w:t>Past Due</w:t>
            </w:r>
          </w:p>
        </w:tc>
        <w:tc>
          <w:tcPr>
            <w:tcW w:w="140" w:type="dxa"/>
            <w:vAlign w:val="bottom"/>
          </w:tcPr>
          <w:p>
            <w:pPr>
              <w:spacing w:after="0"/>
              <w:rPr>
                <w:sz w:val="24"/>
                <w:szCs w:val="24"/>
                <w:color w:val="auto"/>
              </w:rPr>
            </w:pPr>
          </w:p>
        </w:tc>
        <w:tc>
          <w:tcPr>
            <w:tcW w:w="800" w:type="dxa"/>
            <w:vAlign w:val="bottom"/>
          </w:tcPr>
          <w:p>
            <w:pPr>
              <w:jc w:val="right"/>
              <w:ind w:right="80"/>
              <w:spacing w:after="0"/>
              <w:rPr>
                <w:sz w:val="20"/>
                <w:szCs w:val="20"/>
                <w:color w:val="auto"/>
              </w:rPr>
            </w:pPr>
            <w:r>
              <w:rPr>
                <w:rFonts w:ascii="Arial" w:cs="Arial" w:eastAsia="Arial" w:hAnsi="Arial"/>
                <w:sz w:val="20"/>
                <w:szCs w:val="20"/>
                <w:color w:val="auto"/>
                <w:w w:val="89"/>
              </w:rPr>
              <w:t>Current</w:t>
            </w:r>
          </w:p>
        </w:tc>
        <w:tc>
          <w:tcPr>
            <w:tcW w:w="1060" w:type="dxa"/>
            <w:vAlign w:val="bottom"/>
            <w:gridSpan w:val="2"/>
          </w:tcPr>
          <w:p>
            <w:pPr>
              <w:ind w:left="60"/>
              <w:spacing w:after="0"/>
              <w:rPr>
                <w:sz w:val="20"/>
                <w:szCs w:val="20"/>
                <w:color w:val="auto"/>
              </w:rPr>
            </w:pPr>
            <w:r>
              <w:rPr>
                <w:rFonts w:ascii="Arial" w:cs="Arial" w:eastAsia="Arial" w:hAnsi="Arial"/>
                <w:sz w:val="20"/>
                <w:szCs w:val="20"/>
                <w:color w:val="auto"/>
                <w:w w:val="99"/>
              </w:rPr>
              <w:t>Receivable</w:t>
            </w:r>
          </w:p>
        </w:tc>
      </w:tr>
      <w:tr>
        <w:trPr>
          <w:trHeight w:val="51"/>
        </w:trPr>
        <w:tc>
          <w:tcPr>
            <w:tcW w:w="3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94"/>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Residential mortgage loans:</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r>
      <w:tr>
        <w:trPr>
          <w:trHeight w:val="274"/>
        </w:trPr>
        <w:tc>
          <w:tcPr>
            <w:tcW w:w="3520" w:type="dxa"/>
            <w:vAlign w:val="bottom"/>
            <w:gridSpan w:val="2"/>
          </w:tcPr>
          <w:p>
            <w:pPr>
              <w:ind w:left="60"/>
              <w:spacing w:after="0"/>
              <w:rPr>
                <w:sz w:val="20"/>
                <w:szCs w:val="20"/>
                <w:color w:val="auto"/>
              </w:rPr>
            </w:pPr>
            <w:r>
              <w:rPr>
                <w:rFonts w:ascii="Arial" w:cs="Arial" w:eastAsia="Arial" w:hAnsi="Arial"/>
                <w:sz w:val="20"/>
                <w:szCs w:val="20"/>
                <w:color w:val="auto"/>
                <w:w w:val="92"/>
              </w:rPr>
              <w:t>1-4 family first-lien residential mortgages$</w:t>
            </w:r>
          </w:p>
        </w:tc>
        <w:tc>
          <w:tcPr>
            <w:tcW w:w="860" w:type="dxa"/>
            <w:vAlign w:val="bottom"/>
          </w:tcPr>
          <w:p>
            <w:pPr>
              <w:jc w:val="right"/>
              <w:spacing w:after="0"/>
              <w:rPr>
                <w:sz w:val="20"/>
                <w:szCs w:val="20"/>
                <w:color w:val="auto"/>
              </w:rPr>
            </w:pPr>
            <w:r>
              <w:rPr>
                <w:rFonts w:ascii="Arial" w:cs="Arial" w:eastAsia="Arial" w:hAnsi="Arial"/>
                <w:sz w:val="20"/>
                <w:szCs w:val="20"/>
                <w:color w:val="auto"/>
              </w:rPr>
              <w:t>2,871</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2,934</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1,977</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7,782</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9"/>
              </w:rPr>
              <w:t>231,910</w:t>
            </w:r>
          </w:p>
        </w:tc>
        <w:tc>
          <w:tcPr>
            <w:tcW w:w="200" w:type="dxa"/>
            <w:vAlign w:val="bottom"/>
          </w:tcPr>
          <w:p>
            <w:pPr>
              <w:ind w:left="6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w w:val="99"/>
              </w:rPr>
              <w:t>239,692</w:t>
            </w: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304"/>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Construction</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2,039</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2,039</w:t>
            </w:r>
          </w:p>
        </w:tc>
      </w:tr>
      <w:tr>
        <w:trPr>
          <w:trHeight w:val="274"/>
        </w:trPr>
        <w:tc>
          <w:tcPr>
            <w:tcW w:w="3160" w:type="dxa"/>
            <w:vAlign w:val="bottom"/>
          </w:tcPr>
          <w:p>
            <w:pPr>
              <w:spacing w:after="0"/>
              <w:rPr>
                <w:sz w:val="20"/>
                <w:szCs w:val="20"/>
                <w:color w:val="auto"/>
              </w:rPr>
            </w:pPr>
            <w:r>
              <w:rPr>
                <w:rFonts w:ascii="Arial" w:cs="Arial" w:eastAsia="Arial" w:hAnsi="Arial"/>
                <w:sz w:val="20"/>
                <w:szCs w:val="20"/>
                <w:color w:val="auto"/>
              </w:rPr>
              <w:t>Total residential mortgage loans</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2,871</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2,934</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1,977</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7,782</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9"/>
              </w:rPr>
              <w:t>233,949</w:t>
            </w:r>
          </w:p>
        </w:tc>
        <w:tc>
          <w:tcPr>
            <w:tcW w:w="20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w w:val="99"/>
              </w:rPr>
              <w:t>241,731</w:t>
            </w:r>
          </w:p>
        </w:tc>
      </w:tr>
      <w:tr>
        <w:trPr>
          <w:trHeight w:val="51"/>
        </w:trPr>
        <w:tc>
          <w:tcPr>
            <w:tcW w:w="3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94"/>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loans:</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r>
      <w:tr>
        <w:trPr>
          <w:trHeight w:val="274"/>
        </w:trPr>
        <w:tc>
          <w:tcPr>
            <w:tcW w:w="3160" w:type="dxa"/>
            <w:vAlign w:val="bottom"/>
          </w:tcPr>
          <w:p>
            <w:pPr>
              <w:ind w:left="60"/>
              <w:spacing w:after="0"/>
              <w:rPr>
                <w:sz w:val="20"/>
                <w:szCs w:val="20"/>
                <w:color w:val="auto"/>
              </w:rPr>
            </w:pPr>
            <w:r>
              <w:rPr>
                <w:rFonts w:ascii="Arial" w:cs="Arial" w:eastAsia="Arial" w:hAnsi="Arial"/>
                <w:sz w:val="20"/>
                <w:szCs w:val="20"/>
                <w:color w:val="auto"/>
              </w:rPr>
              <w:t>Real estate</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9,042</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7,461</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15,567</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32,070</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9"/>
              </w:rPr>
              <w:t>348,241</w:t>
            </w:r>
          </w:p>
        </w:tc>
        <w:tc>
          <w:tcPr>
            <w:tcW w:w="20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w w:val="99"/>
              </w:rPr>
              <w:t>380,311</w:t>
            </w: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Lines of credit</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444</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1,135</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1,579</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73,792</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75,371</w:t>
            </w:r>
          </w:p>
        </w:tc>
      </w:tr>
      <w:tr>
        <w:trPr>
          <w:trHeight w:val="274"/>
        </w:trPr>
        <w:tc>
          <w:tcPr>
            <w:tcW w:w="3160" w:type="dxa"/>
            <w:vAlign w:val="bottom"/>
          </w:tcPr>
          <w:p>
            <w:pPr>
              <w:ind w:left="60"/>
              <w:spacing w:after="0"/>
              <w:rPr>
                <w:sz w:val="20"/>
                <w:szCs w:val="20"/>
                <w:color w:val="auto"/>
              </w:rPr>
            </w:pPr>
            <w:r>
              <w:rPr>
                <w:rFonts w:ascii="Arial" w:cs="Arial" w:eastAsia="Arial" w:hAnsi="Arial"/>
                <w:sz w:val="20"/>
                <w:szCs w:val="20"/>
                <w:color w:val="auto"/>
              </w:rPr>
              <w:t>Other commercial and industrial</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315</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508</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7,914</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8,737</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72,473</w:t>
            </w:r>
          </w:p>
        </w:tc>
        <w:tc>
          <w:tcPr>
            <w:tcW w:w="20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81,210</w:t>
            </w: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w w:val="96"/>
              </w:rPr>
              <w:t>Paycheck Protection Program loans</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63</w:t>
            </w:r>
          </w:p>
        </w:tc>
      </w:tr>
      <w:tr>
        <w:trPr>
          <w:trHeight w:val="274"/>
        </w:trPr>
        <w:tc>
          <w:tcPr>
            <w:tcW w:w="3160" w:type="dxa"/>
            <w:vAlign w:val="bottom"/>
          </w:tcPr>
          <w:p>
            <w:pPr>
              <w:ind w:left="60"/>
              <w:spacing w:after="0"/>
              <w:rPr>
                <w:sz w:val="20"/>
                <w:szCs w:val="20"/>
                <w:color w:val="auto"/>
              </w:rPr>
            </w:pPr>
            <w:r>
              <w:rPr>
                <w:rFonts w:ascii="Arial" w:cs="Arial" w:eastAsia="Arial" w:hAnsi="Arial"/>
                <w:sz w:val="20"/>
                <w:szCs w:val="20"/>
                <w:color w:val="auto"/>
              </w:rPr>
              <w:t>Tax exempt loans</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6,716</w:t>
            </w:r>
          </w:p>
        </w:tc>
        <w:tc>
          <w:tcPr>
            <w:tcW w:w="20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6,716</w:t>
            </w:r>
          </w:p>
        </w:tc>
      </w:tr>
      <w:tr>
        <w:trPr>
          <w:trHeight w:val="51"/>
        </w:trPr>
        <w:tc>
          <w:tcPr>
            <w:tcW w:w="3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commercial loans</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9,801</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7,969</w:t>
            </w: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24,616</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42,386</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9"/>
              </w:rPr>
              <w:t>501,285</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9"/>
              </w:rPr>
              <w:t>543,671</w:t>
            </w:r>
          </w:p>
        </w:tc>
      </w:tr>
      <w:tr>
        <w:trPr>
          <w:trHeight w:val="274"/>
        </w:trPr>
        <w:tc>
          <w:tcPr>
            <w:tcW w:w="3160" w:type="dxa"/>
            <w:vAlign w:val="bottom"/>
          </w:tcPr>
          <w:p>
            <w:pPr>
              <w:spacing w:after="0"/>
              <w:rPr>
                <w:sz w:val="20"/>
                <w:szCs w:val="20"/>
                <w:color w:val="auto"/>
              </w:rPr>
            </w:pPr>
            <w:r>
              <w:rPr>
                <w:rFonts w:ascii="Arial" w:cs="Arial" w:eastAsia="Arial" w:hAnsi="Arial"/>
                <w:sz w:val="20"/>
                <w:szCs w:val="20"/>
                <w:color w:val="auto"/>
              </w:rPr>
              <w:t>Consumer loans:</w:t>
            </w: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Home equity and junior liens</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615</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229</w:t>
            </w: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537</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1,381</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48,402</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49,783</w:t>
            </w:r>
          </w:p>
        </w:tc>
      </w:tr>
      <w:tr>
        <w:trPr>
          <w:trHeight w:val="274"/>
        </w:trPr>
        <w:tc>
          <w:tcPr>
            <w:tcW w:w="3160" w:type="dxa"/>
            <w:vAlign w:val="bottom"/>
          </w:tcPr>
          <w:p>
            <w:pPr>
              <w:ind w:left="60"/>
              <w:spacing w:after="0"/>
              <w:rPr>
                <w:sz w:val="20"/>
                <w:szCs w:val="20"/>
                <w:color w:val="auto"/>
              </w:rPr>
            </w:pPr>
            <w:r>
              <w:rPr>
                <w:rFonts w:ascii="Arial" w:cs="Arial" w:eastAsia="Arial" w:hAnsi="Arial"/>
                <w:sz w:val="20"/>
                <w:szCs w:val="20"/>
                <w:color w:val="auto"/>
              </w:rPr>
              <w:t>Other consumer</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649</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399</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431</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1,479</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61,346</w:t>
            </w:r>
          </w:p>
        </w:tc>
        <w:tc>
          <w:tcPr>
            <w:tcW w:w="20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62,825</w:t>
            </w:r>
          </w:p>
        </w:tc>
      </w:tr>
      <w:tr>
        <w:trPr>
          <w:trHeight w:val="51"/>
        </w:trPr>
        <w:tc>
          <w:tcPr>
            <w:tcW w:w="3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consumer loans</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1,264</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628</w:t>
            </w: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968</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2,860</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9"/>
              </w:rPr>
              <w:t>109,748</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9"/>
              </w:rPr>
              <w:t>112,608</w:t>
            </w:r>
          </w:p>
        </w:tc>
      </w:tr>
      <w:tr>
        <w:trPr>
          <w:trHeight w:val="274"/>
        </w:trPr>
        <w:tc>
          <w:tcPr>
            <w:tcW w:w="3160" w:type="dxa"/>
            <w:vAlign w:val="bottom"/>
          </w:tcPr>
          <w:p>
            <w:pPr>
              <w:spacing w:after="0"/>
              <w:rPr>
                <w:sz w:val="20"/>
                <w:szCs w:val="20"/>
                <w:color w:val="auto"/>
              </w:rPr>
            </w:pPr>
            <w:r>
              <w:rPr>
                <w:rFonts w:ascii="Arial" w:cs="Arial" w:eastAsia="Arial" w:hAnsi="Arial"/>
                <w:sz w:val="20"/>
                <w:szCs w:val="20"/>
                <w:color w:val="auto"/>
              </w:rPr>
              <w:t>Loans, gross</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13,936</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11,531</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27,561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53,028</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9"/>
              </w:rPr>
              <w:t>844,982</w:t>
            </w:r>
          </w:p>
        </w:tc>
        <w:tc>
          <w:tcPr>
            <w:tcW w:w="200" w:type="dxa"/>
            <w:vAlign w:val="bottom"/>
          </w:tcPr>
          <w:p>
            <w:pPr>
              <w:ind w:left="6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w w:val="99"/>
              </w:rPr>
              <w:t>898,010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-3808730</wp:posOffset>
            </wp:positionV>
            <wp:extent cx="3794760"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79476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-3212465</wp:posOffset>
            </wp:positionV>
            <wp:extent cx="5967730"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-2607310</wp:posOffset>
            </wp:positionV>
            <wp:extent cx="596773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-2400935</wp:posOffset>
            </wp:positionV>
            <wp:extent cx="5967730"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-1196975</wp:posOffset>
            </wp:positionV>
            <wp:extent cx="5967730"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-990600</wp:posOffset>
            </wp:positionV>
            <wp:extent cx="5967730"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-385445</wp:posOffset>
            </wp:positionV>
            <wp:extent cx="596773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gridSpan w:val="4"/>
          </w:tcPr>
          <w:p>
            <w:pPr>
              <w:jc w:val="right"/>
              <w:spacing w:after="0"/>
              <w:rPr>
                <w:sz w:val="20"/>
                <w:szCs w:val="20"/>
                <w:color w:val="auto"/>
              </w:rPr>
            </w:pPr>
            <w:r>
              <w:rPr>
                <w:rFonts w:ascii="Arial" w:cs="Arial" w:eastAsia="Arial" w:hAnsi="Arial"/>
                <w:sz w:val="20"/>
                <w:szCs w:val="20"/>
                <w:color w:val="auto"/>
              </w:rPr>
              <w:t>As of December 31, 2024</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24"/>
        </w:trPr>
        <w:tc>
          <w:tcPr>
            <w:tcW w:w="352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30-59</w:t>
            </w:r>
          </w:p>
        </w:tc>
        <w:tc>
          <w:tcPr>
            <w:tcW w:w="16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60-89</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jc w:val="center"/>
              <w:ind w:right="20"/>
              <w:spacing w:after="0"/>
              <w:rPr>
                <w:sz w:val="20"/>
                <w:szCs w:val="20"/>
                <w:color w:val="auto"/>
              </w:rPr>
            </w:pPr>
            <w:r>
              <w:rPr>
                <w:rFonts w:ascii="Arial" w:cs="Arial" w:eastAsia="Arial" w:hAnsi="Arial"/>
                <w:sz w:val="20"/>
                <w:szCs w:val="20"/>
                <w:color w:val="auto"/>
                <w:w w:val="94"/>
              </w:rPr>
              <w:t>Total</w:t>
            </w:r>
          </w:p>
        </w:tc>
      </w:tr>
      <w:tr>
        <w:trPr>
          <w:trHeight w:val="300"/>
        </w:trPr>
        <w:tc>
          <w:tcPr>
            <w:tcW w:w="352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Days</w:t>
            </w:r>
          </w:p>
        </w:tc>
        <w:tc>
          <w:tcPr>
            <w:tcW w:w="16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Days</w:t>
            </w:r>
          </w:p>
        </w:tc>
        <w:tc>
          <w:tcPr>
            <w:tcW w:w="180" w:type="dxa"/>
            <w:vAlign w:val="bottom"/>
          </w:tcPr>
          <w:p>
            <w:pPr>
              <w:spacing w:after="0"/>
              <w:rPr>
                <w:sz w:val="24"/>
                <w:szCs w:val="24"/>
                <w:color w:val="auto"/>
              </w:rPr>
            </w:pPr>
          </w:p>
        </w:tc>
        <w:tc>
          <w:tcPr>
            <w:tcW w:w="860" w:type="dxa"/>
            <w:vAlign w:val="bottom"/>
          </w:tcPr>
          <w:p>
            <w:pPr>
              <w:jc w:val="right"/>
              <w:ind w:right="80"/>
              <w:spacing w:after="0"/>
              <w:rPr>
                <w:sz w:val="20"/>
                <w:szCs w:val="20"/>
                <w:color w:val="auto"/>
              </w:rPr>
            </w:pPr>
            <w:r>
              <w:rPr>
                <w:rFonts w:ascii="Arial" w:cs="Arial" w:eastAsia="Arial" w:hAnsi="Arial"/>
                <w:sz w:val="20"/>
                <w:szCs w:val="20"/>
                <w:color w:val="auto"/>
                <w:w w:val="89"/>
              </w:rPr>
              <w:t>90 Days</w:t>
            </w:r>
          </w:p>
        </w:tc>
        <w:tc>
          <w:tcPr>
            <w:tcW w:w="960" w:type="dxa"/>
            <w:vAlign w:val="bottom"/>
          </w:tcPr>
          <w:p>
            <w:pPr>
              <w:jc w:val="right"/>
              <w:ind w:right="180"/>
              <w:spacing w:after="0"/>
              <w:rPr>
                <w:sz w:val="20"/>
                <w:szCs w:val="20"/>
                <w:color w:val="auto"/>
              </w:rPr>
            </w:pPr>
            <w:r>
              <w:rPr>
                <w:rFonts w:ascii="Arial" w:cs="Arial" w:eastAsia="Arial" w:hAnsi="Arial"/>
                <w:sz w:val="20"/>
                <w:szCs w:val="20"/>
                <w:color w:val="auto"/>
              </w:rPr>
              <w:t>Total</w:t>
            </w:r>
          </w:p>
        </w:tc>
        <w:tc>
          <w:tcPr>
            <w:tcW w:w="9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8"/>
              </w:rPr>
              <w:t>Loans</w:t>
            </w:r>
          </w:p>
        </w:tc>
      </w:tr>
      <w:tr>
        <w:trPr>
          <w:trHeight w:val="314"/>
        </w:trPr>
        <w:tc>
          <w:tcPr>
            <w:tcW w:w="352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860" w:type="dxa"/>
            <w:vAlign w:val="bottom"/>
          </w:tcPr>
          <w:p>
            <w:pPr>
              <w:jc w:val="right"/>
              <w:ind w:right="40"/>
              <w:spacing w:after="0"/>
              <w:rPr>
                <w:sz w:val="20"/>
                <w:szCs w:val="20"/>
                <w:color w:val="auto"/>
              </w:rPr>
            </w:pPr>
            <w:r>
              <w:rPr>
                <w:rFonts w:ascii="Arial" w:cs="Arial" w:eastAsia="Arial" w:hAnsi="Arial"/>
                <w:sz w:val="20"/>
                <w:szCs w:val="20"/>
                <w:color w:val="auto"/>
                <w:w w:val="85"/>
              </w:rPr>
              <w:t>Past Due</w:t>
            </w:r>
          </w:p>
        </w:tc>
        <w:tc>
          <w:tcPr>
            <w:tcW w:w="16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w w:val="85"/>
              </w:rPr>
              <w:t>Past Due</w:t>
            </w: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and Over</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w w:val="97"/>
              </w:rPr>
              <w:t>Past Due</w:t>
            </w:r>
          </w:p>
        </w:tc>
        <w:tc>
          <w:tcPr>
            <w:tcW w:w="940" w:type="dxa"/>
            <w:vAlign w:val="bottom"/>
          </w:tcPr>
          <w:p>
            <w:pPr>
              <w:jc w:val="right"/>
              <w:ind w:right="80"/>
              <w:spacing w:after="0"/>
              <w:rPr>
                <w:sz w:val="20"/>
                <w:szCs w:val="20"/>
                <w:color w:val="auto"/>
              </w:rPr>
            </w:pPr>
            <w:r>
              <w:rPr>
                <w:rFonts w:ascii="Arial" w:cs="Arial" w:eastAsia="Arial" w:hAnsi="Arial"/>
                <w:sz w:val="20"/>
                <w:szCs w:val="20"/>
                <w:color w:val="auto"/>
              </w:rPr>
              <w:t>Current</w:t>
            </w:r>
          </w:p>
        </w:tc>
        <w:tc>
          <w:tcPr>
            <w:tcW w:w="1060" w:type="dxa"/>
            <w:vAlign w:val="bottom"/>
          </w:tcPr>
          <w:p>
            <w:pPr>
              <w:jc w:val="center"/>
              <w:spacing w:after="0"/>
              <w:rPr>
                <w:sz w:val="20"/>
                <w:szCs w:val="20"/>
                <w:color w:val="auto"/>
              </w:rPr>
            </w:pPr>
            <w:r>
              <w:rPr>
                <w:rFonts w:ascii="Arial" w:cs="Arial" w:eastAsia="Arial" w:hAnsi="Arial"/>
                <w:sz w:val="20"/>
                <w:szCs w:val="20"/>
                <w:color w:val="auto"/>
                <w:w w:val="88"/>
              </w:rPr>
              <w:t>Receivable</w:t>
            </w:r>
          </w:p>
        </w:tc>
      </w:tr>
      <w:tr>
        <w:trPr>
          <w:trHeight w:val="51"/>
        </w:trPr>
        <w:tc>
          <w:tcPr>
            <w:tcW w:w="3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94"/>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Residential mortgage loans:</w:t>
            </w:r>
          </w:p>
        </w:tc>
        <w:tc>
          <w:tcPr>
            <w:tcW w:w="8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r>
      <w:tr>
        <w:trPr>
          <w:trHeight w:val="274"/>
        </w:trPr>
        <w:tc>
          <w:tcPr>
            <w:tcW w:w="3520" w:type="dxa"/>
            <w:vAlign w:val="bottom"/>
          </w:tcPr>
          <w:p>
            <w:pPr>
              <w:ind w:left="60"/>
              <w:spacing w:after="0"/>
              <w:rPr>
                <w:sz w:val="20"/>
                <w:szCs w:val="20"/>
                <w:color w:val="auto"/>
              </w:rPr>
            </w:pPr>
            <w:r>
              <w:rPr>
                <w:rFonts w:ascii="Arial" w:cs="Arial" w:eastAsia="Arial" w:hAnsi="Arial"/>
                <w:sz w:val="20"/>
                <w:szCs w:val="20"/>
                <w:color w:val="auto"/>
                <w:w w:val="92"/>
              </w:rPr>
              <w:t>1-4 family first-lien residential mortgages$</w:t>
            </w:r>
          </w:p>
        </w:tc>
        <w:tc>
          <w:tcPr>
            <w:tcW w:w="860" w:type="dxa"/>
            <w:vAlign w:val="bottom"/>
          </w:tcPr>
          <w:p>
            <w:pPr>
              <w:jc w:val="right"/>
              <w:spacing w:after="0"/>
              <w:rPr>
                <w:sz w:val="20"/>
                <w:szCs w:val="20"/>
                <w:color w:val="auto"/>
              </w:rPr>
            </w:pPr>
            <w:r>
              <w:rPr>
                <w:rFonts w:ascii="Arial" w:cs="Arial" w:eastAsia="Arial" w:hAnsi="Arial"/>
                <w:sz w:val="20"/>
                <w:szCs w:val="20"/>
                <w:color w:val="auto"/>
              </w:rPr>
              <w:t>2,262</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805</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3,162</w:t>
            </w:r>
          </w:p>
        </w:tc>
        <w:tc>
          <w:tcPr>
            <w:tcW w:w="960" w:type="dxa"/>
            <w:vAlign w:val="bottom"/>
          </w:tcPr>
          <w:p>
            <w:pPr>
              <w:jc w:val="right"/>
              <w:spacing w:after="0"/>
              <w:rPr>
                <w:sz w:val="20"/>
                <w:szCs w:val="20"/>
                <w:color w:val="auto"/>
              </w:rPr>
            </w:pPr>
            <w:r>
              <w:rPr>
                <w:rFonts w:ascii="Arial" w:cs="Arial" w:eastAsia="Arial" w:hAnsi="Arial"/>
                <w:sz w:val="20"/>
                <w:szCs w:val="20"/>
                <w:color w:val="auto"/>
              </w:rPr>
              <w:t>$   6,229</w:t>
            </w:r>
          </w:p>
        </w:tc>
        <w:tc>
          <w:tcPr>
            <w:tcW w:w="940" w:type="dxa"/>
            <w:vAlign w:val="bottom"/>
          </w:tcPr>
          <w:p>
            <w:pPr>
              <w:jc w:val="right"/>
              <w:spacing w:after="0"/>
              <w:rPr>
                <w:sz w:val="20"/>
                <w:szCs w:val="20"/>
                <w:color w:val="auto"/>
              </w:rPr>
            </w:pPr>
            <w:r>
              <w:rPr>
                <w:rFonts w:ascii="Arial" w:cs="Arial" w:eastAsia="Arial" w:hAnsi="Arial"/>
                <w:sz w:val="20"/>
                <w:szCs w:val="20"/>
                <w:color w:val="auto"/>
                <w:w w:val="96"/>
              </w:rPr>
              <w:t>$ 245,144</w:t>
            </w:r>
          </w:p>
        </w:tc>
        <w:tc>
          <w:tcPr>
            <w:tcW w:w="1060" w:type="dxa"/>
            <w:vAlign w:val="bottom"/>
          </w:tcPr>
          <w:p>
            <w:pPr>
              <w:jc w:val="right"/>
              <w:ind w:right="20"/>
              <w:spacing w:after="0"/>
              <w:rPr>
                <w:sz w:val="20"/>
                <w:szCs w:val="20"/>
                <w:color w:val="auto"/>
              </w:rPr>
            </w:pPr>
            <w:r>
              <w:rPr>
                <w:rFonts w:ascii="Arial" w:cs="Arial" w:eastAsia="Arial" w:hAnsi="Arial"/>
                <w:sz w:val="20"/>
                <w:szCs w:val="20"/>
                <w:color w:val="auto"/>
                <w:w w:val="97"/>
              </w:rPr>
              <w:t>$  251,373</w:t>
            </w:r>
          </w:p>
        </w:tc>
      </w:tr>
      <w:tr>
        <w:trPr>
          <w:trHeight w:val="41"/>
        </w:trPr>
        <w:tc>
          <w:tcPr>
            <w:tcW w:w="3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304"/>
        </w:trPr>
        <w:tc>
          <w:tcPr>
            <w:tcW w:w="35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Construction</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4,864</w:t>
            </w:r>
          </w:p>
        </w:tc>
        <w:tc>
          <w:tcPr>
            <w:tcW w:w="10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4,864</w:t>
            </w:r>
          </w:p>
        </w:tc>
      </w:tr>
      <w:tr>
        <w:trPr>
          <w:trHeight w:val="274"/>
        </w:trPr>
        <w:tc>
          <w:tcPr>
            <w:tcW w:w="3520" w:type="dxa"/>
            <w:vAlign w:val="bottom"/>
          </w:tcPr>
          <w:p>
            <w:pPr>
              <w:spacing w:after="0"/>
              <w:rPr>
                <w:sz w:val="20"/>
                <w:szCs w:val="20"/>
                <w:color w:val="auto"/>
              </w:rPr>
            </w:pPr>
            <w:r>
              <w:rPr>
                <w:rFonts w:ascii="Arial" w:cs="Arial" w:eastAsia="Arial" w:hAnsi="Arial"/>
                <w:sz w:val="20"/>
                <w:szCs w:val="20"/>
                <w:color w:val="auto"/>
              </w:rPr>
              <w:t>Total residential mortgage loans</w:t>
            </w:r>
          </w:p>
        </w:tc>
        <w:tc>
          <w:tcPr>
            <w:tcW w:w="860" w:type="dxa"/>
            <w:vAlign w:val="bottom"/>
          </w:tcPr>
          <w:p>
            <w:pPr>
              <w:jc w:val="right"/>
              <w:spacing w:after="0"/>
              <w:rPr>
                <w:sz w:val="20"/>
                <w:szCs w:val="20"/>
                <w:color w:val="auto"/>
              </w:rPr>
            </w:pPr>
            <w:r>
              <w:rPr>
                <w:rFonts w:ascii="Arial" w:cs="Arial" w:eastAsia="Arial" w:hAnsi="Arial"/>
                <w:sz w:val="20"/>
                <w:szCs w:val="20"/>
                <w:color w:val="auto"/>
              </w:rPr>
              <w:t>2,262</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805</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3,162</w:t>
            </w:r>
          </w:p>
        </w:tc>
        <w:tc>
          <w:tcPr>
            <w:tcW w:w="960" w:type="dxa"/>
            <w:vAlign w:val="bottom"/>
          </w:tcPr>
          <w:p>
            <w:pPr>
              <w:jc w:val="right"/>
              <w:spacing w:after="0"/>
              <w:rPr>
                <w:sz w:val="20"/>
                <w:szCs w:val="20"/>
                <w:color w:val="auto"/>
              </w:rPr>
            </w:pPr>
            <w:r>
              <w:rPr>
                <w:rFonts w:ascii="Arial" w:cs="Arial" w:eastAsia="Arial" w:hAnsi="Arial"/>
                <w:sz w:val="20"/>
                <w:szCs w:val="20"/>
                <w:color w:val="auto"/>
              </w:rPr>
              <w:t>6,229</w:t>
            </w:r>
          </w:p>
        </w:tc>
        <w:tc>
          <w:tcPr>
            <w:tcW w:w="940" w:type="dxa"/>
            <w:vAlign w:val="bottom"/>
          </w:tcPr>
          <w:p>
            <w:pPr>
              <w:jc w:val="right"/>
              <w:spacing w:after="0"/>
              <w:rPr>
                <w:sz w:val="20"/>
                <w:szCs w:val="20"/>
                <w:color w:val="auto"/>
              </w:rPr>
            </w:pPr>
            <w:r>
              <w:rPr>
                <w:rFonts w:ascii="Arial" w:cs="Arial" w:eastAsia="Arial" w:hAnsi="Arial"/>
                <w:sz w:val="20"/>
                <w:szCs w:val="20"/>
                <w:color w:val="auto"/>
              </w:rPr>
              <w:t>250,008</w:t>
            </w:r>
          </w:p>
        </w:tc>
        <w:tc>
          <w:tcPr>
            <w:tcW w:w="1060" w:type="dxa"/>
            <w:vAlign w:val="bottom"/>
          </w:tcPr>
          <w:p>
            <w:pPr>
              <w:jc w:val="right"/>
              <w:ind w:right="20"/>
              <w:spacing w:after="0"/>
              <w:rPr>
                <w:sz w:val="20"/>
                <w:szCs w:val="20"/>
                <w:color w:val="auto"/>
              </w:rPr>
            </w:pPr>
            <w:r>
              <w:rPr>
                <w:rFonts w:ascii="Arial" w:cs="Arial" w:eastAsia="Arial" w:hAnsi="Arial"/>
                <w:sz w:val="20"/>
                <w:szCs w:val="20"/>
                <w:color w:val="auto"/>
              </w:rPr>
              <w:t>256,237</w:t>
            </w:r>
          </w:p>
        </w:tc>
      </w:tr>
      <w:tr>
        <w:trPr>
          <w:trHeight w:val="51"/>
        </w:trPr>
        <w:tc>
          <w:tcPr>
            <w:tcW w:w="3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94"/>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loans:</w:t>
            </w:r>
          </w:p>
        </w:tc>
        <w:tc>
          <w:tcPr>
            <w:tcW w:w="8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r>
      <w:tr>
        <w:trPr>
          <w:trHeight w:val="274"/>
        </w:trPr>
        <w:tc>
          <w:tcPr>
            <w:tcW w:w="3520" w:type="dxa"/>
            <w:vAlign w:val="bottom"/>
          </w:tcPr>
          <w:p>
            <w:pPr>
              <w:ind w:left="60"/>
              <w:spacing w:after="0"/>
              <w:rPr>
                <w:sz w:val="20"/>
                <w:szCs w:val="20"/>
                <w:color w:val="auto"/>
              </w:rPr>
            </w:pPr>
            <w:r>
              <w:rPr>
                <w:rFonts w:ascii="Arial" w:cs="Arial" w:eastAsia="Arial" w:hAnsi="Arial"/>
                <w:sz w:val="20"/>
                <w:szCs w:val="20"/>
                <w:color w:val="auto"/>
              </w:rPr>
              <w:t>Real estate</w:t>
            </w:r>
          </w:p>
        </w:tc>
        <w:tc>
          <w:tcPr>
            <w:tcW w:w="860" w:type="dxa"/>
            <w:vAlign w:val="bottom"/>
          </w:tcPr>
          <w:p>
            <w:pPr>
              <w:jc w:val="right"/>
              <w:spacing w:after="0"/>
              <w:rPr>
                <w:sz w:val="20"/>
                <w:szCs w:val="20"/>
                <w:color w:val="auto"/>
              </w:rPr>
            </w:pPr>
            <w:r>
              <w:rPr>
                <w:rFonts w:ascii="Arial" w:cs="Arial" w:eastAsia="Arial" w:hAnsi="Arial"/>
                <w:sz w:val="20"/>
                <w:szCs w:val="20"/>
                <w:color w:val="auto"/>
              </w:rPr>
              <w:t>1,110</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2,086</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10,261</w:t>
            </w:r>
          </w:p>
        </w:tc>
        <w:tc>
          <w:tcPr>
            <w:tcW w:w="960" w:type="dxa"/>
            <w:vAlign w:val="bottom"/>
          </w:tcPr>
          <w:p>
            <w:pPr>
              <w:jc w:val="right"/>
              <w:spacing w:after="0"/>
              <w:rPr>
                <w:sz w:val="20"/>
                <w:szCs w:val="20"/>
                <w:color w:val="auto"/>
              </w:rPr>
            </w:pPr>
            <w:r>
              <w:rPr>
                <w:rFonts w:ascii="Arial" w:cs="Arial" w:eastAsia="Arial" w:hAnsi="Arial"/>
                <w:sz w:val="20"/>
                <w:szCs w:val="20"/>
                <w:color w:val="auto"/>
              </w:rPr>
              <w:t>13,457</w:t>
            </w:r>
          </w:p>
        </w:tc>
        <w:tc>
          <w:tcPr>
            <w:tcW w:w="940" w:type="dxa"/>
            <w:vAlign w:val="bottom"/>
          </w:tcPr>
          <w:p>
            <w:pPr>
              <w:jc w:val="right"/>
              <w:spacing w:after="0"/>
              <w:rPr>
                <w:sz w:val="20"/>
                <w:szCs w:val="20"/>
                <w:color w:val="auto"/>
              </w:rPr>
            </w:pPr>
            <w:r>
              <w:rPr>
                <w:rFonts w:ascii="Arial" w:cs="Arial" w:eastAsia="Arial" w:hAnsi="Arial"/>
                <w:sz w:val="20"/>
                <w:szCs w:val="20"/>
                <w:color w:val="auto"/>
              </w:rPr>
              <w:t>364,162</w:t>
            </w:r>
          </w:p>
        </w:tc>
        <w:tc>
          <w:tcPr>
            <w:tcW w:w="1060" w:type="dxa"/>
            <w:vAlign w:val="bottom"/>
          </w:tcPr>
          <w:p>
            <w:pPr>
              <w:jc w:val="right"/>
              <w:ind w:right="20"/>
              <w:spacing w:after="0"/>
              <w:rPr>
                <w:sz w:val="20"/>
                <w:szCs w:val="20"/>
                <w:color w:val="auto"/>
              </w:rPr>
            </w:pPr>
            <w:r>
              <w:rPr>
                <w:rFonts w:ascii="Arial" w:cs="Arial" w:eastAsia="Arial" w:hAnsi="Arial"/>
                <w:sz w:val="20"/>
                <w:szCs w:val="20"/>
                <w:color w:val="auto"/>
              </w:rPr>
              <w:t>377,619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-1786890</wp:posOffset>
            </wp:positionV>
            <wp:extent cx="3794760"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79476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-1190625</wp:posOffset>
            </wp:positionV>
            <wp:extent cx="5967730"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-585470</wp:posOffset>
            </wp:positionV>
            <wp:extent cx="5967730"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-379095</wp:posOffset>
            </wp:positionV>
            <wp:extent cx="596773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18</w:t>
      </w:r>
    </w:p>
    <w:p>
      <w:pPr>
        <w:sectPr>
          <w:pgSz w:w="11900" w:h="16838" w:orient="portrait"/>
          <w:cols w:equalWidth="0" w:num="1">
            <w:col w:w="9400"/>
          </w:cols>
          <w:pgMar w:left="1260" w:top="1440" w:right="1246" w:bottom="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294"/>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Lines of credit</w:t>
            </w:r>
          </w:p>
        </w:tc>
        <w:tc>
          <w:tcPr>
            <w:tcW w:w="5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953</w:t>
            </w:r>
          </w:p>
        </w:tc>
        <w:tc>
          <w:tcPr>
            <w:tcW w:w="3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1,448</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2,429</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65,173</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67,602</w:t>
            </w:r>
          </w:p>
        </w:tc>
      </w:tr>
      <w:tr>
        <w:trPr>
          <w:trHeight w:val="274"/>
        </w:trPr>
        <w:tc>
          <w:tcPr>
            <w:tcW w:w="3160" w:type="dxa"/>
            <w:vAlign w:val="bottom"/>
          </w:tcPr>
          <w:p>
            <w:pPr>
              <w:ind w:left="60"/>
              <w:spacing w:after="0"/>
              <w:rPr>
                <w:sz w:val="20"/>
                <w:szCs w:val="20"/>
                <w:color w:val="auto"/>
              </w:rPr>
            </w:pPr>
            <w:r>
              <w:rPr>
                <w:rFonts w:ascii="Arial" w:cs="Arial" w:eastAsia="Arial" w:hAnsi="Arial"/>
                <w:sz w:val="20"/>
                <w:szCs w:val="20"/>
                <w:color w:val="auto"/>
              </w:rPr>
              <w:t>Other commercial and industrial</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3,022</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366</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6,503</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9,891</w:t>
            </w:r>
          </w:p>
        </w:tc>
        <w:tc>
          <w:tcPr>
            <w:tcW w:w="960" w:type="dxa"/>
            <w:vAlign w:val="bottom"/>
          </w:tcPr>
          <w:p>
            <w:pPr>
              <w:jc w:val="right"/>
              <w:spacing w:after="0"/>
              <w:rPr>
                <w:sz w:val="20"/>
                <w:szCs w:val="20"/>
                <w:color w:val="auto"/>
              </w:rPr>
            </w:pPr>
            <w:r>
              <w:rPr>
                <w:rFonts w:ascii="Arial" w:cs="Arial" w:eastAsia="Arial" w:hAnsi="Arial"/>
                <w:sz w:val="20"/>
                <w:szCs w:val="20"/>
                <w:color w:val="auto"/>
              </w:rPr>
              <w:t>79,909</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89,800</w:t>
            </w:r>
          </w:p>
        </w:tc>
      </w:tr>
      <w:tr>
        <w:trPr>
          <w:trHeight w:val="41"/>
        </w:trPr>
        <w:tc>
          <w:tcPr>
            <w:tcW w:w="3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w w:val="96"/>
              </w:rPr>
              <w:t>Paycheck Protection Program loans</w:t>
            </w:r>
          </w:p>
        </w:tc>
        <w:tc>
          <w:tcPr>
            <w:tcW w:w="5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113</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113</w:t>
            </w:r>
          </w:p>
        </w:tc>
      </w:tr>
      <w:tr>
        <w:trPr>
          <w:trHeight w:val="274"/>
        </w:trPr>
        <w:tc>
          <w:tcPr>
            <w:tcW w:w="3160" w:type="dxa"/>
            <w:vAlign w:val="bottom"/>
          </w:tcPr>
          <w:p>
            <w:pPr>
              <w:ind w:left="60"/>
              <w:spacing w:after="0"/>
              <w:rPr>
                <w:sz w:val="20"/>
                <w:szCs w:val="20"/>
                <w:color w:val="auto"/>
              </w:rPr>
            </w:pPr>
            <w:r>
              <w:rPr>
                <w:rFonts w:ascii="Arial" w:cs="Arial" w:eastAsia="Arial" w:hAnsi="Arial"/>
                <w:sz w:val="20"/>
                <w:szCs w:val="20"/>
                <w:color w:val="auto"/>
              </w:rPr>
              <w:t>Tax exempt loans</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4,544</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4,544</w:t>
            </w:r>
          </w:p>
        </w:tc>
      </w:tr>
      <w:tr>
        <w:trPr>
          <w:trHeight w:val="51"/>
        </w:trPr>
        <w:tc>
          <w:tcPr>
            <w:tcW w:w="3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04"/>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commercial loans</w:t>
            </w:r>
          </w:p>
        </w:tc>
        <w:tc>
          <w:tcPr>
            <w:tcW w:w="5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5,085</w:t>
            </w:r>
          </w:p>
        </w:tc>
        <w:tc>
          <w:tcPr>
            <w:tcW w:w="3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2,480</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18,212</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25,777</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513,901</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6"/>
              </w:rPr>
              <w:t>539,678</w:t>
            </w:r>
          </w:p>
        </w:tc>
      </w:tr>
      <w:tr>
        <w:trPr>
          <w:trHeight w:val="274"/>
        </w:trPr>
        <w:tc>
          <w:tcPr>
            <w:tcW w:w="3160" w:type="dxa"/>
            <w:vAlign w:val="bottom"/>
          </w:tcPr>
          <w:p>
            <w:pPr>
              <w:spacing w:after="0"/>
              <w:rPr>
                <w:sz w:val="20"/>
                <w:szCs w:val="20"/>
                <w:color w:val="auto"/>
              </w:rPr>
            </w:pPr>
            <w:r>
              <w:rPr>
                <w:rFonts w:ascii="Arial" w:cs="Arial" w:eastAsia="Arial" w:hAnsi="Arial"/>
                <w:sz w:val="20"/>
                <w:szCs w:val="20"/>
                <w:color w:val="auto"/>
              </w:rPr>
              <w:t>Consumer loans:</w:t>
            </w: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1"/>
        </w:trPr>
        <w:tc>
          <w:tcPr>
            <w:tcW w:w="3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Home equity and junior liens</w:t>
            </w:r>
          </w:p>
        </w:tc>
        <w:tc>
          <w:tcPr>
            <w:tcW w:w="5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584</w:t>
            </w:r>
          </w:p>
        </w:tc>
        <w:tc>
          <w:tcPr>
            <w:tcW w:w="3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329</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414</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1,327</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50,621</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51,948</w:t>
            </w:r>
          </w:p>
        </w:tc>
      </w:tr>
      <w:tr>
        <w:trPr>
          <w:trHeight w:val="274"/>
        </w:trPr>
        <w:tc>
          <w:tcPr>
            <w:tcW w:w="3160" w:type="dxa"/>
            <w:vAlign w:val="bottom"/>
          </w:tcPr>
          <w:p>
            <w:pPr>
              <w:ind w:left="60"/>
              <w:spacing w:after="0"/>
              <w:rPr>
                <w:sz w:val="20"/>
                <w:szCs w:val="20"/>
                <w:color w:val="auto"/>
              </w:rPr>
            </w:pPr>
            <w:r>
              <w:rPr>
                <w:rFonts w:ascii="Arial" w:cs="Arial" w:eastAsia="Arial" w:hAnsi="Arial"/>
                <w:sz w:val="20"/>
                <w:szCs w:val="20"/>
                <w:color w:val="auto"/>
              </w:rPr>
              <w:t>Other consumer</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912</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560</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296</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1,768</w:t>
            </w:r>
          </w:p>
        </w:tc>
        <w:tc>
          <w:tcPr>
            <w:tcW w:w="960" w:type="dxa"/>
            <w:vAlign w:val="bottom"/>
          </w:tcPr>
          <w:p>
            <w:pPr>
              <w:jc w:val="right"/>
              <w:spacing w:after="0"/>
              <w:rPr>
                <w:sz w:val="20"/>
                <w:szCs w:val="20"/>
                <w:color w:val="auto"/>
              </w:rPr>
            </w:pPr>
            <w:r>
              <w:rPr>
                <w:rFonts w:ascii="Arial" w:cs="Arial" w:eastAsia="Arial" w:hAnsi="Arial"/>
                <w:sz w:val="20"/>
                <w:szCs w:val="20"/>
                <w:color w:val="auto"/>
              </w:rPr>
              <w:t>70,942</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72,710</w:t>
            </w:r>
          </w:p>
        </w:tc>
      </w:tr>
      <w:tr>
        <w:trPr>
          <w:trHeight w:val="51"/>
        </w:trPr>
        <w:tc>
          <w:tcPr>
            <w:tcW w:w="3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04"/>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consumer loans</w:t>
            </w:r>
          </w:p>
        </w:tc>
        <w:tc>
          <w:tcPr>
            <w:tcW w:w="5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1,496</w:t>
            </w:r>
          </w:p>
        </w:tc>
        <w:tc>
          <w:tcPr>
            <w:tcW w:w="3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889</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710</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3,095</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121,563</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6"/>
              </w:rPr>
              <w:t>124,658</w:t>
            </w:r>
          </w:p>
        </w:tc>
      </w:tr>
      <w:tr>
        <w:trPr>
          <w:trHeight w:val="274"/>
        </w:trPr>
        <w:tc>
          <w:tcPr>
            <w:tcW w:w="3160" w:type="dxa"/>
            <w:vAlign w:val="bottom"/>
          </w:tcPr>
          <w:p>
            <w:pPr>
              <w:spacing w:after="0"/>
              <w:rPr>
                <w:sz w:val="20"/>
                <w:szCs w:val="20"/>
                <w:color w:val="auto"/>
              </w:rPr>
            </w:pPr>
            <w:r>
              <w:rPr>
                <w:rFonts w:ascii="Arial" w:cs="Arial" w:eastAsia="Arial" w:hAnsi="Arial"/>
                <w:sz w:val="20"/>
                <w:szCs w:val="20"/>
                <w:color w:val="auto"/>
              </w:rPr>
              <w:t>Loans, gross</w:t>
            </w:r>
          </w:p>
        </w:tc>
        <w:tc>
          <w:tcPr>
            <w:tcW w:w="5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8,843</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4,174</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22,084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35,101</w:t>
            </w:r>
          </w:p>
        </w:tc>
        <w:tc>
          <w:tcPr>
            <w:tcW w:w="960" w:type="dxa"/>
            <w:vAlign w:val="bottom"/>
          </w:tcPr>
          <w:p>
            <w:pPr>
              <w:jc w:val="right"/>
              <w:spacing w:after="0"/>
              <w:rPr>
                <w:sz w:val="20"/>
                <w:szCs w:val="20"/>
                <w:color w:val="auto"/>
              </w:rPr>
            </w:pPr>
            <w:r>
              <w:rPr>
                <w:rFonts w:ascii="Arial" w:cs="Arial" w:eastAsia="Arial" w:hAnsi="Arial"/>
                <w:sz w:val="20"/>
                <w:szCs w:val="20"/>
                <w:color w:val="auto"/>
                <w:w w:val="98"/>
              </w:rPr>
              <w:t>$ 885,472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w w:val="96"/>
              </w:rPr>
              <w:t>920,573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-1196975</wp:posOffset>
            </wp:positionV>
            <wp:extent cx="5967730"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-990600</wp:posOffset>
            </wp:positionV>
            <wp:extent cx="5967730"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-385445</wp:posOffset>
            </wp:positionV>
            <wp:extent cx="5967730"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18</w:t>
      </w:r>
    </w:p>
    <w:p>
      <w:pPr>
        <w:sectPr>
          <w:pgSz w:w="11900" w:h="16838" w:orient="portrait"/>
          <w:cols w:equalWidth="0" w:num="1">
            <w:col w:w="9400"/>
          </w:cols>
          <w:pgMar w:left="1260" w:top="1133" w:right="1246" w:bottom="0" w:gutter="0" w:footer="0" w:header="0"/>
          <w:type w:val="continuous"/>
        </w:sectPr>
      </w:pPr>
    </w:p>
    <w:bookmarkStart w:id="193" w:name="page194"/>
    <w:bookmarkEnd w:id="1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Nonaccrual loans as of December 31, 2025 and 2024, segregated by class of loan,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80" w:type="dxa"/>
            <w:vAlign w:val="bottom"/>
            <w:gridSpan w:val="3"/>
          </w:tcPr>
          <w:p>
            <w:pPr>
              <w:jc w:val="right"/>
              <w:ind w:right="110"/>
              <w:spacing w:after="0"/>
              <w:rPr>
                <w:sz w:val="20"/>
                <w:szCs w:val="20"/>
                <w:color w:val="auto"/>
              </w:rPr>
            </w:pPr>
            <w:r>
              <w:rPr>
                <w:rFonts w:ascii="Arial" w:cs="Arial" w:eastAsia="Arial" w:hAnsi="Arial"/>
                <w:sz w:val="18"/>
                <w:szCs w:val="18"/>
                <w:color w:val="auto"/>
              </w:rPr>
              <w:t>As of and for the year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84"/>
        </w:trPr>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40" w:type="dxa"/>
            <w:vAlign w:val="bottom"/>
            <w:gridSpan w:val="2"/>
          </w:tcPr>
          <w:p>
            <w:pPr>
              <w:jc w:val="right"/>
              <w:ind w:right="430"/>
              <w:spacing w:after="0"/>
              <w:rPr>
                <w:sz w:val="20"/>
                <w:szCs w:val="20"/>
                <w:color w:val="auto"/>
              </w:rPr>
            </w:pPr>
            <w:r>
              <w:rPr>
                <w:rFonts w:ascii="Arial" w:cs="Arial" w:eastAsia="Arial" w:hAnsi="Arial"/>
                <w:sz w:val="18"/>
                <w:szCs w:val="18"/>
                <w:color w:val="auto"/>
                <w:w w:val="94"/>
              </w:rPr>
              <w:t>December 31, 2025</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Nonaccrual loans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3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without related</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3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4"/>
              </w:rPr>
              <w:t>allowance for credit</w:t>
            </w:r>
          </w:p>
        </w:tc>
        <w:tc>
          <w:tcPr>
            <w:tcW w:w="36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6"/>
              </w:rPr>
              <w:t>Recognized</w:t>
            </w:r>
          </w:p>
        </w:tc>
      </w:tr>
      <w:tr>
        <w:trPr>
          <w:trHeight w:val="270"/>
        </w:trPr>
        <w:tc>
          <w:tcPr>
            <w:tcW w:w="3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w w:val="97"/>
              </w:rPr>
              <w:t>Nonaccrual Loans</w:t>
            </w:r>
          </w:p>
        </w:tc>
        <w:tc>
          <w:tcPr>
            <w:tcW w:w="320" w:type="dxa"/>
            <w:vAlign w:val="bottom"/>
          </w:tcPr>
          <w:p>
            <w:pPr>
              <w:spacing w:after="0"/>
              <w:rPr>
                <w:sz w:val="23"/>
                <w:szCs w:val="23"/>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loss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interest income</w:t>
            </w:r>
          </w:p>
        </w:tc>
      </w:tr>
      <w:tr>
        <w:trPr>
          <w:trHeight w:val="294"/>
        </w:trPr>
        <w:tc>
          <w:tcPr>
            <w:tcW w:w="360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
        </w:trPr>
        <w:tc>
          <w:tcPr>
            <w:tcW w:w="3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304"/>
        </w:trPr>
        <w:tc>
          <w:tcPr>
            <w:tcW w:w="3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1-4 family first-lien residential mortgages</w:t>
            </w:r>
          </w:p>
        </w:tc>
        <w:tc>
          <w:tcPr>
            <w:tcW w:w="7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1,977</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108</w:t>
            </w:r>
          </w:p>
        </w:tc>
      </w:tr>
      <w:tr>
        <w:trPr>
          <w:trHeight w:val="278"/>
        </w:trPr>
        <w:tc>
          <w:tcPr>
            <w:tcW w:w="3600" w:type="dxa"/>
            <w:vAlign w:val="bottom"/>
          </w:tcPr>
          <w:p>
            <w:pPr>
              <w:spacing w:after="0"/>
              <w:rPr>
                <w:sz w:val="20"/>
                <w:szCs w:val="20"/>
                <w:color w:val="auto"/>
              </w:rPr>
            </w:pPr>
            <w:r>
              <w:rPr>
                <w:rFonts w:ascii="Arial" w:cs="Arial" w:eastAsia="Arial" w:hAnsi="Arial"/>
                <w:sz w:val="18"/>
                <w:szCs w:val="18"/>
                <w:color w:val="auto"/>
              </w:rPr>
              <w:t>Total residential mortgage loans</w:t>
            </w:r>
          </w:p>
        </w:tc>
        <w:tc>
          <w:tcPr>
            <w:tcW w:w="76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32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108</w:t>
            </w:r>
          </w:p>
        </w:tc>
      </w:tr>
      <w:tr>
        <w:trPr>
          <w:trHeight w:val="46"/>
        </w:trPr>
        <w:tc>
          <w:tcPr>
            <w:tcW w:w="3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4"/>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loans:</w:t>
            </w:r>
          </w:p>
        </w:tc>
        <w:tc>
          <w:tcPr>
            <w:tcW w:w="76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7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r>
      <w:tr>
        <w:trPr>
          <w:trHeight w:val="278"/>
        </w:trPr>
        <w:tc>
          <w:tcPr>
            <w:tcW w:w="36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76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15,567</w:t>
            </w:r>
          </w:p>
        </w:tc>
        <w:tc>
          <w:tcPr>
            <w:tcW w:w="32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4,853</w:t>
            </w:r>
          </w:p>
        </w:tc>
        <w:tc>
          <w:tcPr>
            <w:tcW w:w="3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428</w:t>
            </w:r>
          </w:p>
        </w:tc>
      </w:tr>
      <w:tr>
        <w:trPr>
          <w:trHeight w:val="36"/>
        </w:trPr>
        <w:tc>
          <w:tcPr>
            <w:tcW w:w="3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3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Lines of credit</w:t>
            </w:r>
          </w:p>
        </w:tc>
        <w:tc>
          <w:tcPr>
            <w:tcW w:w="76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1,135</w:t>
            </w:r>
          </w:p>
        </w:tc>
        <w:tc>
          <w:tcPr>
            <w:tcW w:w="3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r>
      <w:tr>
        <w:trPr>
          <w:trHeight w:val="278"/>
        </w:trPr>
        <w:tc>
          <w:tcPr>
            <w:tcW w:w="3600" w:type="dxa"/>
            <w:vAlign w:val="bottom"/>
          </w:tcPr>
          <w:p>
            <w:pPr>
              <w:ind w:left="40"/>
              <w:spacing w:after="0"/>
              <w:rPr>
                <w:sz w:val="20"/>
                <w:szCs w:val="20"/>
                <w:color w:val="auto"/>
              </w:rPr>
            </w:pPr>
            <w:r>
              <w:rPr>
                <w:rFonts w:ascii="Arial" w:cs="Arial" w:eastAsia="Arial" w:hAnsi="Arial"/>
                <w:sz w:val="18"/>
                <w:szCs w:val="18"/>
                <w:color w:val="auto"/>
              </w:rPr>
              <w:t>Other commercial and industrial</w:t>
            </w:r>
          </w:p>
        </w:tc>
        <w:tc>
          <w:tcPr>
            <w:tcW w:w="76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7,914</w:t>
            </w:r>
          </w:p>
        </w:tc>
        <w:tc>
          <w:tcPr>
            <w:tcW w:w="32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449</w:t>
            </w:r>
          </w:p>
        </w:tc>
      </w:tr>
      <w:tr>
        <w:trPr>
          <w:trHeight w:val="46"/>
        </w:trPr>
        <w:tc>
          <w:tcPr>
            <w:tcW w:w="3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commercial loans</w:t>
            </w:r>
          </w:p>
        </w:tc>
        <w:tc>
          <w:tcPr>
            <w:tcW w:w="76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24,616</w:t>
            </w:r>
          </w:p>
        </w:tc>
        <w:tc>
          <w:tcPr>
            <w:tcW w:w="3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4,853</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986</w:t>
            </w:r>
          </w:p>
        </w:tc>
      </w:tr>
      <w:tr>
        <w:trPr>
          <w:trHeight w:val="248"/>
        </w:trPr>
        <w:tc>
          <w:tcPr>
            <w:tcW w:w="3600" w:type="dxa"/>
            <w:vAlign w:val="bottom"/>
          </w:tcPr>
          <w:p>
            <w:pPr>
              <w:spacing w:after="0"/>
              <w:rPr>
                <w:sz w:val="20"/>
                <w:szCs w:val="20"/>
                <w:color w:val="auto"/>
              </w:rPr>
            </w:pPr>
            <w:r>
              <w:rPr>
                <w:rFonts w:ascii="Arial" w:cs="Arial" w:eastAsia="Arial" w:hAnsi="Arial"/>
                <w:sz w:val="18"/>
                <w:szCs w:val="18"/>
                <w:color w:val="auto"/>
              </w:rPr>
              <w:t>Consumer loans:</w:t>
            </w:r>
          </w:p>
        </w:tc>
        <w:tc>
          <w:tcPr>
            <w:tcW w:w="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36"/>
        </w:trPr>
        <w:tc>
          <w:tcPr>
            <w:tcW w:w="3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3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Home equity and junior liens</w:t>
            </w:r>
          </w:p>
        </w:tc>
        <w:tc>
          <w:tcPr>
            <w:tcW w:w="76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537</w:t>
            </w:r>
          </w:p>
        </w:tc>
        <w:tc>
          <w:tcPr>
            <w:tcW w:w="3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r>
      <w:tr>
        <w:trPr>
          <w:trHeight w:val="278"/>
        </w:trPr>
        <w:tc>
          <w:tcPr>
            <w:tcW w:w="3600" w:type="dxa"/>
            <w:vAlign w:val="bottom"/>
          </w:tcPr>
          <w:p>
            <w:pPr>
              <w:ind w:left="40"/>
              <w:spacing w:after="0"/>
              <w:rPr>
                <w:sz w:val="20"/>
                <w:szCs w:val="20"/>
                <w:color w:val="auto"/>
              </w:rPr>
            </w:pPr>
            <w:r>
              <w:rPr>
                <w:rFonts w:ascii="Arial" w:cs="Arial" w:eastAsia="Arial" w:hAnsi="Arial"/>
                <w:sz w:val="18"/>
                <w:szCs w:val="18"/>
                <w:color w:val="auto"/>
              </w:rPr>
              <w:t>Other consumer</w:t>
            </w:r>
          </w:p>
        </w:tc>
        <w:tc>
          <w:tcPr>
            <w:tcW w:w="76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46"/>
        </w:trPr>
        <w:tc>
          <w:tcPr>
            <w:tcW w:w="3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consumer loans</w:t>
            </w:r>
          </w:p>
        </w:tc>
        <w:tc>
          <w:tcPr>
            <w:tcW w:w="76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968</w:t>
            </w:r>
          </w:p>
        </w:tc>
        <w:tc>
          <w:tcPr>
            <w:tcW w:w="3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r>
      <w:tr>
        <w:trPr>
          <w:trHeight w:val="278"/>
        </w:trPr>
        <w:tc>
          <w:tcPr>
            <w:tcW w:w="3600" w:type="dxa"/>
            <w:vAlign w:val="bottom"/>
          </w:tcPr>
          <w:p>
            <w:pPr>
              <w:ind w:left="60"/>
              <w:spacing w:after="0"/>
              <w:rPr>
                <w:sz w:val="20"/>
                <w:szCs w:val="20"/>
                <w:color w:val="auto"/>
              </w:rPr>
            </w:pPr>
            <w:r>
              <w:rPr>
                <w:rFonts w:ascii="Arial" w:cs="Arial" w:eastAsia="Arial" w:hAnsi="Arial"/>
                <w:sz w:val="18"/>
                <w:szCs w:val="18"/>
                <w:color w:val="auto"/>
              </w:rPr>
              <w:t>Total nonaccrual loans</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27,561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4,853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1,158</w:t>
            </w:r>
          </w:p>
        </w:tc>
      </w:tr>
      <w:tr>
        <w:trPr>
          <w:trHeight w:val="898"/>
        </w:trPr>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80" w:type="dxa"/>
            <w:vAlign w:val="bottom"/>
            <w:gridSpan w:val="3"/>
          </w:tcPr>
          <w:p>
            <w:pPr>
              <w:jc w:val="right"/>
              <w:ind w:right="110"/>
              <w:spacing w:after="0"/>
              <w:rPr>
                <w:sz w:val="20"/>
                <w:szCs w:val="20"/>
                <w:color w:val="auto"/>
              </w:rPr>
            </w:pPr>
            <w:r>
              <w:rPr>
                <w:rFonts w:ascii="Arial" w:cs="Arial" w:eastAsia="Arial" w:hAnsi="Arial"/>
                <w:sz w:val="18"/>
                <w:szCs w:val="18"/>
                <w:color w:val="auto"/>
              </w:rPr>
              <w:t>As of and for the year ended</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4"/>
        </w:trPr>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40" w:type="dxa"/>
            <w:vAlign w:val="bottom"/>
            <w:gridSpan w:val="2"/>
          </w:tcPr>
          <w:p>
            <w:pPr>
              <w:jc w:val="right"/>
              <w:ind w:right="430"/>
              <w:spacing w:after="0"/>
              <w:rPr>
                <w:sz w:val="20"/>
                <w:szCs w:val="20"/>
                <w:color w:val="auto"/>
              </w:rPr>
            </w:pPr>
            <w:r>
              <w:rPr>
                <w:rFonts w:ascii="Arial" w:cs="Arial" w:eastAsia="Arial" w:hAnsi="Arial"/>
                <w:sz w:val="18"/>
                <w:szCs w:val="18"/>
                <w:color w:val="auto"/>
                <w:w w:val="94"/>
              </w:rPr>
              <w:t>December 31, 2024</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Nonaccrual loans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3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without related</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3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4"/>
              </w:rPr>
              <w:t>allowance for credit</w:t>
            </w:r>
          </w:p>
        </w:tc>
        <w:tc>
          <w:tcPr>
            <w:tcW w:w="36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6"/>
              </w:rPr>
              <w:t>Recognized</w:t>
            </w:r>
          </w:p>
        </w:tc>
      </w:tr>
      <w:tr>
        <w:trPr>
          <w:trHeight w:val="270"/>
        </w:trPr>
        <w:tc>
          <w:tcPr>
            <w:tcW w:w="3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w w:val="97"/>
              </w:rPr>
              <w:t>Nonaccrual Loans</w:t>
            </w:r>
          </w:p>
        </w:tc>
        <w:tc>
          <w:tcPr>
            <w:tcW w:w="320" w:type="dxa"/>
            <w:vAlign w:val="bottom"/>
          </w:tcPr>
          <w:p>
            <w:pPr>
              <w:spacing w:after="0"/>
              <w:rPr>
                <w:sz w:val="23"/>
                <w:szCs w:val="23"/>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loss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interest income</w:t>
            </w:r>
          </w:p>
        </w:tc>
      </w:tr>
      <w:tr>
        <w:trPr>
          <w:trHeight w:val="294"/>
        </w:trPr>
        <w:tc>
          <w:tcPr>
            <w:tcW w:w="360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
        </w:trPr>
        <w:tc>
          <w:tcPr>
            <w:tcW w:w="3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304"/>
        </w:trPr>
        <w:tc>
          <w:tcPr>
            <w:tcW w:w="3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1-4 family first-lien residential mortgages</w:t>
            </w:r>
          </w:p>
        </w:tc>
        <w:tc>
          <w:tcPr>
            <w:tcW w:w="7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3,162</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641</w:t>
            </w:r>
          </w:p>
        </w:tc>
        <w:tc>
          <w:tcPr>
            <w:tcW w:w="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r>
      <w:tr>
        <w:trPr>
          <w:trHeight w:val="278"/>
        </w:trPr>
        <w:tc>
          <w:tcPr>
            <w:tcW w:w="3600" w:type="dxa"/>
            <w:vAlign w:val="bottom"/>
          </w:tcPr>
          <w:p>
            <w:pPr>
              <w:spacing w:after="0"/>
              <w:rPr>
                <w:sz w:val="20"/>
                <w:szCs w:val="20"/>
                <w:color w:val="auto"/>
              </w:rPr>
            </w:pPr>
            <w:r>
              <w:rPr>
                <w:rFonts w:ascii="Arial" w:cs="Arial" w:eastAsia="Arial" w:hAnsi="Arial"/>
                <w:sz w:val="18"/>
                <w:szCs w:val="18"/>
                <w:color w:val="auto"/>
              </w:rPr>
              <w:t>Total residential mortgage loans</w:t>
            </w:r>
          </w:p>
        </w:tc>
        <w:tc>
          <w:tcPr>
            <w:tcW w:w="76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3,162</w:t>
            </w:r>
          </w:p>
        </w:tc>
        <w:tc>
          <w:tcPr>
            <w:tcW w:w="32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641</w:t>
            </w:r>
          </w:p>
        </w:tc>
        <w:tc>
          <w:tcPr>
            <w:tcW w:w="3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46"/>
        </w:trPr>
        <w:tc>
          <w:tcPr>
            <w:tcW w:w="3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4"/>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loans:</w:t>
            </w:r>
          </w:p>
        </w:tc>
        <w:tc>
          <w:tcPr>
            <w:tcW w:w="76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7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r>
      <w:tr>
        <w:trPr>
          <w:trHeight w:val="278"/>
        </w:trPr>
        <w:tc>
          <w:tcPr>
            <w:tcW w:w="36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76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10,261</w:t>
            </w:r>
          </w:p>
        </w:tc>
        <w:tc>
          <w:tcPr>
            <w:tcW w:w="32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4,537</w:t>
            </w:r>
          </w:p>
        </w:tc>
        <w:tc>
          <w:tcPr>
            <w:tcW w:w="3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302</w:t>
            </w:r>
          </w:p>
        </w:tc>
      </w:tr>
      <w:tr>
        <w:trPr>
          <w:trHeight w:val="36"/>
        </w:trPr>
        <w:tc>
          <w:tcPr>
            <w:tcW w:w="3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3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Lines of credit</w:t>
            </w:r>
          </w:p>
        </w:tc>
        <w:tc>
          <w:tcPr>
            <w:tcW w:w="76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1,448</w:t>
            </w:r>
          </w:p>
        </w:tc>
        <w:tc>
          <w:tcPr>
            <w:tcW w:w="3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1,255</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r>
      <w:tr>
        <w:trPr>
          <w:trHeight w:val="278"/>
        </w:trPr>
        <w:tc>
          <w:tcPr>
            <w:tcW w:w="3600" w:type="dxa"/>
            <w:vAlign w:val="bottom"/>
          </w:tcPr>
          <w:p>
            <w:pPr>
              <w:ind w:left="40"/>
              <w:spacing w:after="0"/>
              <w:rPr>
                <w:sz w:val="20"/>
                <w:szCs w:val="20"/>
                <w:color w:val="auto"/>
              </w:rPr>
            </w:pPr>
            <w:r>
              <w:rPr>
                <w:rFonts w:ascii="Arial" w:cs="Arial" w:eastAsia="Arial" w:hAnsi="Arial"/>
                <w:sz w:val="18"/>
                <w:szCs w:val="18"/>
                <w:color w:val="auto"/>
              </w:rPr>
              <w:t>Other commercial and industrial</w:t>
            </w:r>
          </w:p>
        </w:tc>
        <w:tc>
          <w:tcPr>
            <w:tcW w:w="76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6,503</w:t>
            </w:r>
          </w:p>
        </w:tc>
        <w:tc>
          <w:tcPr>
            <w:tcW w:w="32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1,921</w:t>
            </w:r>
          </w:p>
        </w:tc>
        <w:tc>
          <w:tcPr>
            <w:tcW w:w="3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258</w:t>
            </w:r>
          </w:p>
        </w:tc>
      </w:tr>
      <w:tr>
        <w:trPr>
          <w:trHeight w:val="46"/>
        </w:trPr>
        <w:tc>
          <w:tcPr>
            <w:tcW w:w="3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commercial loans</w:t>
            </w:r>
          </w:p>
        </w:tc>
        <w:tc>
          <w:tcPr>
            <w:tcW w:w="76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18,212</w:t>
            </w:r>
          </w:p>
        </w:tc>
        <w:tc>
          <w:tcPr>
            <w:tcW w:w="3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7,713</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641</w:t>
            </w:r>
          </w:p>
        </w:tc>
      </w:tr>
      <w:tr>
        <w:trPr>
          <w:trHeight w:val="248"/>
        </w:trPr>
        <w:tc>
          <w:tcPr>
            <w:tcW w:w="3600" w:type="dxa"/>
            <w:vAlign w:val="bottom"/>
          </w:tcPr>
          <w:p>
            <w:pPr>
              <w:spacing w:after="0"/>
              <w:rPr>
                <w:sz w:val="20"/>
                <w:szCs w:val="20"/>
                <w:color w:val="auto"/>
              </w:rPr>
            </w:pPr>
            <w:r>
              <w:rPr>
                <w:rFonts w:ascii="Arial" w:cs="Arial" w:eastAsia="Arial" w:hAnsi="Arial"/>
                <w:sz w:val="18"/>
                <w:szCs w:val="18"/>
                <w:color w:val="auto"/>
              </w:rPr>
              <w:t>Consumer loans:</w:t>
            </w:r>
          </w:p>
        </w:tc>
        <w:tc>
          <w:tcPr>
            <w:tcW w:w="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36"/>
        </w:trPr>
        <w:tc>
          <w:tcPr>
            <w:tcW w:w="3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3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Home equity and junior liens</w:t>
            </w:r>
          </w:p>
        </w:tc>
        <w:tc>
          <w:tcPr>
            <w:tcW w:w="76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414</w:t>
            </w:r>
          </w:p>
        </w:tc>
        <w:tc>
          <w:tcPr>
            <w:tcW w:w="3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78"/>
        </w:trPr>
        <w:tc>
          <w:tcPr>
            <w:tcW w:w="3600" w:type="dxa"/>
            <w:vAlign w:val="bottom"/>
          </w:tcPr>
          <w:p>
            <w:pPr>
              <w:ind w:left="40"/>
              <w:spacing w:after="0"/>
              <w:rPr>
                <w:sz w:val="20"/>
                <w:szCs w:val="20"/>
                <w:color w:val="auto"/>
              </w:rPr>
            </w:pPr>
            <w:r>
              <w:rPr>
                <w:rFonts w:ascii="Arial" w:cs="Arial" w:eastAsia="Arial" w:hAnsi="Arial"/>
                <w:sz w:val="18"/>
                <w:szCs w:val="18"/>
                <w:color w:val="auto"/>
              </w:rPr>
              <w:t>Other consumer</w:t>
            </w:r>
          </w:p>
        </w:tc>
        <w:tc>
          <w:tcPr>
            <w:tcW w:w="76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46"/>
        </w:trPr>
        <w:tc>
          <w:tcPr>
            <w:tcW w:w="3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consumer loans</w:t>
            </w:r>
          </w:p>
        </w:tc>
        <w:tc>
          <w:tcPr>
            <w:tcW w:w="76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710</w:t>
            </w:r>
          </w:p>
        </w:tc>
        <w:tc>
          <w:tcPr>
            <w:tcW w:w="3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r>
      <w:tr>
        <w:trPr>
          <w:trHeight w:val="278"/>
        </w:trPr>
        <w:tc>
          <w:tcPr>
            <w:tcW w:w="3600" w:type="dxa"/>
            <w:vAlign w:val="bottom"/>
          </w:tcPr>
          <w:p>
            <w:pPr>
              <w:ind w:left="60"/>
              <w:spacing w:after="0"/>
              <w:rPr>
                <w:sz w:val="20"/>
                <w:szCs w:val="20"/>
                <w:color w:val="auto"/>
              </w:rPr>
            </w:pPr>
            <w:r>
              <w:rPr>
                <w:rFonts w:ascii="Arial" w:cs="Arial" w:eastAsia="Arial" w:hAnsi="Arial"/>
                <w:sz w:val="18"/>
                <w:szCs w:val="18"/>
                <w:color w:val="auto"/>
              </w:rPr>
              <w:t>Total nonaccrual loans</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22,084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8,354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-7295515</wp:posOffset>
            </wp:positionV>
            <wp:extent cx="3329940"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2994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-6593840</wp:posOffset>
            </wp:positionV>
            <wp:extent cx="596773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-6207125</wp:posOffset>
            </wp:positionV>
            <wp:extent cx="5967730"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-6001385</wp:posOffset>
            </wp:positionV>
            <wp:extent cx="5967730"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-5215255</wp:posOffset>
            </wp:positionV>
            <wp:extent cx="5967730"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-5009515</wp:posOffset>
            </wp:positionV>
            <wp:extent cx="5967730"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-4423410</wp:posOffset>
            </wp:positionV>
            <wp:extent cx="5967730"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-4217035</wp:posOffset>
            </wp:positionV>
            <wp:extent cx="5967730"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-4011295</wp:posOffset>
            </wp:positionV>
            <wp:extent cx="5967730" cy="285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-3260090</wp:posOffset>
            </wp:positionV>
            <wp:extent cx="3329940"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2994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-2559050</wp:posOffset>
            </wp:positionV>
            <wp:extent cx="5967730"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-2172335</wp:posOffset>
            </wp:positionV>
            <wp:extent cx="5967730"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-1966595</wp:posOffset>
            </wp:positionV>
            <wp:extent cx="5967730"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5967730"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-974725</wp:posOffset>
            </wp:positionV>
            <wp:extent cx="5967730"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-388620</wp:posOffset>
            </wp:positionV>
            <wp:extent cx="5967730"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-182245</wp:posOffset>
            </wp:positionV>
            <wp:extent cx="5967730"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loans past due ninety days or more and still accruing interest at December 31, 2025 or 2024.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18</w:t>
      </w:r>
    </w:p>
    <w:p>
      <w:pPr>
        <w:sectPr>
          <w:pgSz w:w="11900" w:h="16838" w:orient="portrait"/>
          <w:cols w:equalWidth="0" w:num="1">
            <w:col w:w="9400"/>
          </w:cols>
          <w:pgMar w:left="1260" w:top="1440" w:right="1246" w:bottom="0" w:gutter="0" w:footer="0" w:header="0"/>
          <w:type w:val="continuous"/>
        </w:sectPr>
      </w:pPr>
    </w:p>
    <w:bookmarkStart w:id="194" w:name="page195"/>
    <w:bookmarkEnd w:id="194"/>
    <w:p>
      <w:pPr>
        <w:spacing w:after="0"/>
        <w:rPr>
          <w:sz w:val="20"/>
          <w:szCs w:val="20"/>
          <w:color w:val="auto"/>
        </w:rPr>
      </w:pPr>
      <w:r>
        <w:rPr>
          <w:rFonts w:ascii="Arial" w:cs="Arial" w:eastAsia="Arial" w:hAnsi="Arial"/>
          <w:sz w:val="20"/>
          <w:szCs w:val="20"/>
          <w:i w:val="1"/>
          <w:iCs w:val="1"/>
          <w:color w:val="auto"/>
        </w:rPr>
        <w:t>Loans Modified With Borrowers Experiencing Financial Difficulty</w:t>
      </w:r>
    </w:p>
    <w:p>
      <w:pPr>
        <w:spacing w:after="0" w:line="200"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132"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Because the effect of most loan modifications made with borrowers experiencing financial difficulty is already included in the allowance for credit losses, a change to the allowance for credit losses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 be granted. Nonaccrual loans that are modified will remain on nonaccrual status, but may move to accrual status after they have performed according to the modified terms for a period of time of at least six months.</w:t>
      </w:r>
    </w:p>
    <w:p>
      <w:pPr>
        <w:spacing w:after="0" w:line="123"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The financial impact of loan modifications made to borrowers experiencing financial difficulty during the twelve months ended December 31, 2025, relates to one commercial and industrial borrower granted a maturity extension of 21 months, as well as two borrowers receiving interest rate reductions, consisting of (i) a reduction from a variable rate of prime plus 1.0%, subject to a 6.5% floor, to a fixed rate of 5.0% on a commercial and industrial loan, and (ii) a 2.2% reduction to the existing fixed interest rate on a commercial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18</w:t>
      </w:r>
    </w:p>
    <w:p>
      <w:pPr>
        <w:sectPr>
          <w:pgSz w:w="11900" w:h="16838" w:orient="portrait"/>
          <w:cols w:equalWidth="0" w:num="1">
            <w:col w:w="9360"/>
          </w:cols>
          <w:pgMar w:left="1260" w:top="1163" w:right="1286" w:bottom="0" w:gutter="0" w:footer="0" w:header="0"/>
          <w:type w:val="continuous"/>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real estate loan. The payment status of commercial and industrial modified loans was nonaccrual and the payment status of the commercial real estate modified loan was current during the twelve months ended 2025. The Company closely monitors the performance of loans that are modified to borrowers experiencing financial difficulty to understand the effectiveness of its modification efforts.</w:t>
      </w:r>
    </w:p>
    <w:p>
      <w:pPr>
        <w:spacing w:after="0" w:line="136"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color w:val="auto"/>
        </w:rPr>
        <w:t>The following table presents the amortized cost basis of loans at December 31, 2025 and 2024 that were experiencing financial difficulty and modified, by class and by type of modification.</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gridSpan w:val="2"/>
          </w:tcPr>
          <w:p>
            <w:pPr>
              <w:jc w:val="right"/>
              <w:ind w:right="890"/>
              <w:spacing w:after="0"/>
              <w:rPr>
                <w:sz w:val="20"/>
                <w:szCs w:val="20"/>
                <w:color w:val="auto"/>
              </w:rPr>
            </w:pPr>
            <w:r>
              <w:rPr>
                <w:rFonts w:ascii="Arial" w:cs="Arial" w:eastAsia="Arial" w:hAnsi="Arial"/>
                <w:sz w:val="18"/>
                <w:szCs w:val="18"/>
                <w:color w:val="auto"/>
              </w:rPr>
              <w:t>As of December 31, 2025</w:t>
            </w:r>
          </w:p>
        </w:tc>
        <w:tc>
          <w:tcPr>
            <w:tcW w:w="260" w:type="dxa"/>
            <w:vAlign w:val="bottom"/>
          </w:tcPr>
          <w:p>
            <w:pPr>
              <w:spacing w:after="0"/>
              <w:rPr>
                <w:sz w:val="17"/>
                <w:szCs w:val="17"/>
                <w:color w:val="auto"/>
              </w:rPr>
            </w:pPr>
          </w:p>
        </w:tc>
        <w:tc>
          <w:tcPr>
            <w:tcW w:w="3180" w:type="dxa"/>
            <w:vAlign w:val="bottom"/>
            <w:gridSpan w:val="2"/>
          </w:tcPr>
          <w:p>
            <w:pPr>
              <w:jc w:val="right"/>
              <w:ind w:right="730"/>
              <w:spacing w:after="0"/>
              <w:rPr>
                <w:sz w:val="20"/>
                <w:szCs w:val="20"/>
                <w:color w:val="auto"/>
              </w:rPr>
            </w:pPr>
            <w:r>
              <w:rPr>
                <w:rFonts w:ascii="Arial" w:cs="Arial" w:eastAsia="Arial" w:hAnsi="Arial"/>
                <w:sz w:val="18"/>
                <w:szCs w:val="18"/>
                <w:color w:val="auto"/>
              </w:rPr>
              <w:t>As of December 31, 2024</w:t>
            </w:r>
          </w:p>
        </w:tc>
      </w:tr>
      <w:tr>
        <w:trPr>
          <w:trHeight w:val="294"/>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Total Class of</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Total Class of</w:t>
            </w:r>
          </w:p>
        </w:tc>
      </w:tr>
      <w:tr>
        <w:trPr>
          <w:trHeight w:val="270"/>
        </w:trPr>
        <w:tc>
          <w:tcPr>
            <w:tcW w:w="2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3"/>
                <w:szCs w:val="23"/>
                <w:color w:val="auto"/>
              </w:rPr>
            </w:pPr>
          </w:p>
        </w:tc>
        <w:tc>
          <w:tcPr>
            <w:tcW w:w="1740" w:type="dxa"/>
            <w:vAlign w:val="bottom"/>
          </w:tcPr>
          <w:p>
            <w:pPr>
              <w:jc w:val="center"/>
              <w:ind w:right="370"/>
              <w:spacing w:after="0"/>
              <w:rPr>
                <w:sz w:val="20"/>
                <w:szCs w:val="20"/>
                <w:color w:val="auto"/>
              </w:rPr>
            </w:pPr>
            <w:r>
              <w:rPr>
                <w:rFonts w:ascii="Arial" w:cs="Arial" w:eastAsia="Arial" w:hAnsi="Arial"/>
                <w:sz w:val="18"/>
                <w:szCs w:val="18"/>
                <w:color w:val="auto"/>
                <w:w w:val="91"/>
              </w:rPr>
              <w:t>Term Extension</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Receivable</w:t>
            </w:r>
          </w:p>
        </w:tc>
        <w:tc>
          <w:tcPr>
            <w:tcW w:w="260" w:type="dxa"/>
            <w:vAlign w:val="bottom"/>
          </w:tcPr>
          <w:p>
            <w:pPr>
              <w:spacing w:after="0"/>
              <w:rPr>
                <w:sz w:val="23"/>
                <w:szCs w:val="23"/>
                <w:color w:val="auto"/>
              </w:rPr>
            </w:pPr>
          </w:p>
        </w:tc>
        <w:tc>
          <w:tcPr>
            <w:tcW w:w="1640" w:type="dxa"/>
            <w:vAlign w:val="bottom"/>
          </w:tcPr>
          <w:p>
            <w:pPr>
              <w:jc w:val="center"/>
              <w:ind w:right="310"/>
              <w:spacing w:after="0"/>
              <w:rPr>
                <w:sz w:val="20"/>
                <w:szCs w:val="20"/>
                <w:color w:val="auto"/>
              </w:rPr>
            </w:pPr>
            <w:r>
              <w:rPr>
                <w:rFonts w:ascii="Arial" w:cs="Arial" w:eastAsia="Arial" w:hAnsi="Arial"/>
                <w:sz w:val="18"/>
                <w:szCs w:val="18"/>
                <w:color w:val="auto"/>
                <w:w w:val="91"/>
              </w:rPr>
              <w:t>Term Extension</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Receivable</w:t>
            </w: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6"/>
        </w:trPr>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2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2,096</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w:t>
            </w:r>
          </w:p>
        </w:tc>
      </w:tr>
      <w:tr>
        <w:trPr>
          <w:trHeight w:val="278"/>
        </w:trPr>
        <w:tc>
          <w:tcPr>
            <w:tcW w:w="2380" w:type="dxa"/>
            <w:vAlign w:val="bottom"/>
          </w:tcPr>
          <w:p>
            <w:pPr>
              <w:spacing w:after="0"/>
              <w:rPr>
                <w:sz w:val="20"/>
                <w:szCs w:val="20"/>
                <w:color w:val="auto"/>
              </w:rPr>
            </w:pPr>
            <w:r>
              <w:rPr>
                <w:rFonts w:ascii="Arial" w:cs="Arial" w:eastAsia="Arial" w:hAnsi="Arial"/>
                <w:sz w:val="18"/>
                <w:szCs w:val="18"/>
                <w:color w:val="auto"/>
              </w:rPr>
              <w:t>Commercial lines of credit</w:t>
            </w:r>
          </w:p>
        </w:tc>
        <w:tc>
          <w:tcPr>
            <w:tcW w:w="200" w:type="dxa"/>
            <w:vAlign w:val="bottom"/>
          </w:tcPr>
          <w:p>
            <w:pPr>
              <w:spacing w:after="0"/>
              <w:rPr>
                <w:sz w:val="24"/>
                <w:szCs w:val="24"/>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6"/>
        </w:trPr>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2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Other commercial and industrial</w:t>
            </w:r>
          </w:p>
        </w:tc>
        <w:tc>
          <w:tcPr>
            <w:tcW w:w="2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2,355</w:t>
            </w:r>
          </w:p>
        </w:tc>
        <w:tc>
          <w:tcPr>
            <w:tcW w:w="1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78"/>
        </w:trPr>
        <w:tc>
          <w:tcPr>
            <w:tcW w:w="2380" w:type="dxa"/>
            <w:vAlign w:val="bottom"/>
          </w:tcPr>
          <w:p>
            <w:pPr>
              <w:spacing w:after="0"/>
              <w:rPr>
                <w:sz w:val="20"/>
                <w:szCs w:val="20"/>
                <w:color w:val="auto"/>
              </w:rPr>
            </w:pPr>
            <w:r>
              <w:rPr>
                <w:rFonts w:ascii="Arial" w:cs="Arial" w:eastAsia="Arial" w:hAnsi="Arial"/>
                <w:sz w:val="18"/>
                <w:szCs w:val="18"/>
                <w:color w:val="auto"/>
              </w:rPr>
              <w:t>Home equity and consumer</w:t>
            </w:r>
          </w:p>
        </w:tc>
        <w:tc>
          <w:tcPr>
            <w:tcW w:w="200" w:type="dxa"/>
            <w:vAlign w:val="bottom"/>
          </w:tcPr>
          <w:p>
            <w:pPr>
              <w:spacing w:after="0"/>
              <w:rPr>
                <w:sz w:val="24"/>
                <w:szCs w:val="24"/>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46"/>
        </w:trPr>
        <w:tc>
          <w:tcPr>
            <w:tcW w:w="2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78"/>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2,355</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2,096</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r>
      <w:tr>
        <w:trPr>
          <w:trHeight w:val="81"/>
        </w:trPr>
        <w:tc>
          <w:tcPr>
            <w:tcW w:w="23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3380" w:type="dxa"/>
            <w:vAlign w:val="bottom"/>
            <w:gridSpan w:val="2"/>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3180" w:type="dxa"/>
            <w:vAlign w:val="bottom"/>
            <w:gridSpan w:val="2"/>
            <w:shd w:val="clear" w:color="auto" w:fill="CFF0FC"/>
          </w:tcPr>
          <w:p>
            <w:pPr>
              <w:spacing w:after="0"/>
              <w:rPr>
                <w:sz w:val="7"/>
                <w:szCs w:val="7"/>
                <w:color w:val="auto"/>
              </w:rPr>
            </w:pPr>
          </w:p>
        </w:tc>
      </w:tr>
      <w:tr>
        <w:trPr>
          <w:trHeight w:val="820"/>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2"/>
          </w:tcPr>
          <w:p>
            <w:pPr>
              <w:jc w:val="right"/>
              <w:ind w:right="890"/>
              <w:spacing w:after="0"/>
              <w:rPr>
                <w:sz w:val="20"/>
                <w:szCs w:val="20"/>
                <w:color w:val="auto"/>
              </w:rPr>
            </w:pPr>
            <w:r>
              <w:rPr>
                <w:rFonts w:ascii="Arial" w:cs="Arial" w:eastAsia="Arial" w:hAnsi="Arial"/>
                <w:sz w:val="18"/>
                <w:szCs w:val="18"/>
                <w:color w:val="auto"/>
              </w:rPr>
              <w:t>As of December 31, 2025</w:t>
            </w:r>
          </w:p>
        </w:tc>
        <w:tc>
          <w:tcPr>
            <w:tcW w:w="260" w:type="dxa"/>
            <w:vAlign w:val="bottom"/>
          </w:tcPr>
          <w:p>
            <w:pPr>
              <w:spacing w:after="0"/>
              <w:rPr>
                <w:sz w:val="24"/>
                <w:szCs w:val="24"/>
                <w:color w:val="auto"/>
              </w:rPr>
            </w:pPr>
          </w:p>
        </w:tc>
        <w:tc>
          <w:tcPr>
            <w:tcW w:w="3180" w:type="dxa"/>
            <w:vAlign w:val="bottom"/>
            <w:gridSpan w:val="2"/>
          </w:tcPr>
          <w:p>
            <w:pPr>
              <w:jc w:val="right"/>
              <w:ind w:right="730"/>
              <w:spacing w:after="0"/>
              <w:rPr>
                <w:sz w:val="20"/>
                <w:szCs w:val="20"/>
                <w:color w:val="auto"/>
              </w:rPr>
            </w:pPr>
            <w:r>
              <w:rPr>
                <w:rFonts w:ascii="Arial" w:cs="Arial" w:eastAsia="Arial" w:hAnsi="Arial"/>
                <w:sz w:val="18"/>
                <w:szCs w:val="18"/>
                <w:color w:val="auto"/>
              </w:rPr>
              <w:t>As of December 31, 2024</w:t>
            </w:r>
          </w:p>
        </w:tc>
      </w:tr>
      <w:tr>
        <w:trPr>
          <w:trHeight w:val="294"/>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410"/>
              <w:spacing w:after="0"/>
              <w:rPr>
                <w:sz w:val="20"/>
                <w:szCs w:val="20"/>
                <w:color w:val="auto"/>
              </w:rPr>
            </w:pPr>
            <w:r>
              <w:rPr>
                <w:rFonts w:ascii="Arial" w:cs="Arial" w:eastAsia="Arial" w:hAnsi="Arial"/>
                <w:sz w:val="18"/>
                <w:szCs w:val="18"/>
                <w:color w:val="auto"/>
                <w:w w:val="89"/>
              </w:rPr>
              <w:t>Interest Rate</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Total Class of</w:t>
            </w:r>
          </w:p>
        </w:tc>
        <w:tc>
          <w:tcPr>
            <w:tcW w:w="260" w:type="dxa"/>
            <w:vAlign w:val="bottom"/>
          </w:tcPr>
          <w:p>
            <w:pPr>
              <w:spacing w:after="0"/>
              <w:rPr>
                <w:sz w:val="24"/>
                <w:szCs w:val="24"/>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color w:val="auto"/>
                <w:w w:val="89"/>
              </w:rPr>
              <w:t>Interest Rate</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Total Class of</w:t>
            </w:r>
          </w:p>
        </w:tc>
      </w:tr>
      <w:tr>
        <w:trPr>
          <w:trHeight w:val="270"/>
        </w:trPr>
        <w:tc>
          <w:tcPr>
            <w:tcW w:w="2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3"/>
                <w:szCs w:val="23"/>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color w:val="auto"/>
                <w:w w:val="91"/>
              </w:rPr>
              <w:t>Reduction</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Receivable</w:t>
            </w:r>
          </w:p>
        </w:tc>
        <w:tc>
          <w:tcPr>
            <w:tcW w:w="260" w:type="dxa"/>
            <w:vAlign w:val="bottom"/>
          </w:tcPr>
          <w:p>
            <w:pPr>
              <w:spacing w:after="0"/>
              <w:rPr>
                <w:sz w:val="23"/>
                <w:szCs w:val="23"/>
                <w:color w:val="auto"/>
              </w:rPr>
            </w:pPr>
          </w:p>
        </w:tc>
        <w:tc>
          <w:tcPr>
            <w:tcW w:w="1640" w:type="dxa"/>
            <w:vAlign w:val="bottom"/>
          </w:tcPr>
          <w:p>
            <w:pPr>
              <w:jc w:val="center"/>
              <w:ind w:right="330"/>
              <w:spacing w:after="0"/>
              <w:rPr>
                <w:sz w:val="20"/>
                <w:szCs w:val="20"/>
                <w:color w:val="auto"/>
              </w:rPr>
            </w:pPr>
            <w:r>
              <w:rPr>
                <w:rFonts w:ascii="Arial" w:cs="Arial" w:eastAsia="Arial" w:hAnsi="Arial"/>
                <w:sz w:val="18"/>
                <w:szCs w:val="18"/>
                <w:color w:val="auto"/>
                <w:w w:val="91"/>
              </w:rPr>
              <w:t>Reduction</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Receivable</w:t>
            </w: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6"/>
        </w:trPr>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2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11,495</w:t>
            </w:r>
          </w:p>
        </w:tc>
        <w:tc>
          <w:tcPr>
            <w:tcW w:w="1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78"/>
        </w:trPr>
        <w:tc>
          <w:tcPr>
            <w:tcW w:w="2380" w:type="dxa"/>
            <w:vAlign w:val="bottom"/>
          </w:tcPr>
          <w:p>
            <w:pPr>
              <w:spacing w:after="0"/>
              <w:rPr>
                <w:sz w:val="20"/>
                <w:szCs w:val="20"/>
                <w:color w:val="auto"/>
              </w:rPr>
            </w:pPr>
            <w:r>
              <w:rPr>
                <w:rFonts w:ascii="Arial" w:cs="Arial" w:eastAsia="Arial" w:hAnsi="Arial"/>
                <w:sz w:val="18"/>
                <w:szCs w:val="18"/>
                <w:color w:val="auto"/>
              </w:rPr>
              <w:t>Commercial lines of credit</w:t>
            </w:r>
          </w:p>
        </w:tc>
        <w:tc>
          <w:tcPr>
            <w:tcW w:w="200" w:type="dxa"/>
            <w:vAlign w:val="bottom"/>
          </w:tcPr>
          <w:p>
            <w:pPr>
              <w:spacing w:after="0"/>
              <w:rPr>
                <w:sz w:val="24"/>
                <w:szCs w:val="24"/>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6"/>
        </w:trPr>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2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Other commercial and industrial</w:t>
            </w:r>
          </w:p>
        </w:tc>
        <w:tc>
          <w:tcPr>
            <w:tcW w:w="2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1,339</w:t>
            </w:r>
          </w:p>
        </w:tc>
        <w:tc>
          <w:tcPr>
            <w:tcW w:w="16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78"/>
        </w:trPr>
        <w:tc>
          <w:tcPr>
            <w:tcW w:w="2380" w:type="dxa"/>
            <w:vAlign w:val="bottom"/>
          </w:tcPr>
          <w:p>
            <w:pPr>
              <w:spacing w:after="0"/>
              <w:rPr>
                <w:sz w:val="20"/>
                <w:szCs w:val="20"/>
                <w:color w:val="auto"/>
              </w:rPr>
            </w:pPr>
            <w:r>
              <w:rPr>
                <w:rFonts w:ascii="Arial" w:cs="Arial" w:eastAsia="Arial" w:hAnsi="Arial"/>
                <w:sz w:val="18"/>
                <w:szCs w:val="18"/>
                <w:color w:val="auto"/>
              </w:rPr>
              <w:t>Home equity and consumer</w:t>
            </w:r>
          </w:p>
        </w:tc>
        <w:tc>
          <w:tcPr>
            <w:tcW w:w="200" w:type="dxa"/>
            <w:vAlign w:val="bottom"/>
          </w:tcPr>
          <w:p>
            <w:pPr>
              <w:spacing w:after="0"/>
              <w:rPr>
                <w:sz w:val="24"/>
                <w:szCs w:val="24"/>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46"/>
        </w:trPr>
        <w:tc>
          <w:tcPr>
            <w:tcW w:w="2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78"/>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12,834</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r>
      <w:tr>
        <w:trPr>
          <w:trHeight w:val="81"/>
        </w:trPr>
        <w:tc>
          <w:tcPr>
            <w:tcW w:w="23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740" w:type="dxa"/>
            <w:vAlign w:val="bottom"/>
            <w:shd w:val="clear" w:color="auto" w:fill="CFF0FC"/>
          </w:tcPr>
          <w:p>
            <w:pPr>
              <w:spacing w:after="0"/>
              <w:rPr>
                <w:sz w:val="7"/>
                <w:szCs w:val="7"/>
                <w:color w:val="auto"/>
              </w:rPr>
            </w:pPr>
          </w:p>
        </w:tc>
        <w:tc>
          <w:tcPr>
            <w:tcW w:w="16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640" w:type="dxa"/>
            <w:vAlign w:val="bottom"/>
            <w:shd w:val="clear" w:color="auto" w:fill="CFF0FC"/>
          </w:tcPr>
          <w:p>
            <w:pPr>
              <w:spacing w:after="0"/>
              <w:rPr>
                <w:sz w:val="7"/>
                <w:szCs w:val="7"/>
                <w:color w:val="auto"/>
              </w:rPr>
            </w:pPr>
          </w:p>
        </w:tc>
        <w:tc>
          <w:tcPr>
            <w:tcW w:w="15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-3738245</wp:posOffset>
            </wp:positionV>
            <wp:extent cx="4425315"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4253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-3380105</wp:posOffset>
            </wp:positionV>
            <wp:extent cx="5967730"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-2375535</wp:posOffset>
            </wp:positionV>
            <wp:extent cx="5967730"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-2169160</wp:posOffset>
            </wp:positionV>
            <wp:extent cx="5967730" cy="285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-1597025</wp:posOffset>
            </wp:positionV>
            <wp:extent cx="4425315"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4253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-1238250</wp:posOffset>
            </wp:positionV>
            <wp:extent cx="5967730"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Collateral Dependent Loans</w:t>
      </w:r>
    </w:p>
    <w:p>
      <w:pPr>
        <w:spacing w:after="0" w:line="20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Company has certain individually evaluated loans for which repayment is dependent upon the operation or sale of collateral. The underlying collateral can vary based upon the type of loan. The following provides more detail about the types of collateral that secure collateral dependent loans:</w:t>
      </w:r>
    </w:p>
    <w:p>
      <w:pPr>
        <w:spacing w:after="0" w:line="137" w:lineRule="exact"/>
        <w:rPr>
          <w:sz w:val="20"/>
          <w:szCs w:val="20"/>
          <w:color w:val="auto"/>
        </w:rPr>
      </w:pPr>
    </w:p>
    <w:p>
      <w:pPr>
        <w:ind w:left="840" w:hanging="421"/>
        <w:spacing w:after="0" w:line="350"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108" w:lineRule="exact"/>
        <w:rPr>
          <w:rFonts w:ascii="Arial" w:cs="Arial" w:eastAsia="Arial" w:hAnsi="Arial"/>
          <w:sz w:val="18"/>
          <w:szCs w:val="18"/>
          <w:color w:val="auto"/>
        </w:rPr>
      </w:pPr>
    </w:p>
    <w:p>
      <w:pPr>
        <w:ind w:left="840" w:right="60" w:hanging="421"/>
        <w:spacing w:after="0" w:line="302" w:lineRule="auto"/>
        <w:tabs>
          <w:tab w:leader="none" w:pos="8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Residential real estate loans are typically secured by first mortgages, and in some cases could be secured by a second mortgage.</w:t>
      </w:r>
    </w:p>
    <w:p>
      <w:pPr>
        <w:spacing w:after="0" w:line="141" w:lineRule="exact"/>
        <w:rPr>
          <w:rFonts w:ascii="Arial" w:cs="Arial" w:eastAsia="Arial" w:hAnsi="Arial"/>
          <w:sz w:val="20"/>
          <w:szCs w:val="20"/>
          <w:color w:val="auto"/>
        </w:rPr>
      </w:pPr>
    </w:p>
    <w:p>
      <w:pPr>
        <w:ind w:left="840" w:hanging="421"/>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Home equity lines of credit are generally secured by second mortgages on residential real estate property.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18</w:t>
      </w:r>
    </w:p>
    <w:p>
      <w:pPr>
        <w:sectPr>
          <w:pgSz w:w="11900" w:h="16838" w:orient="portrait"/>
          <w:cols w:equalWidth="0" w:num="1">
            <w:col w:w="9400"/>
          </w:cols>
          <w:pgMar w:left="1260" w:top="1440" w:right="1246" w:bottom="0" w:gutter="0" w:footer="0" w:header="0"/>
          <w:type w:val="continuous"/>
        </w:sectPr>
      </w:pPr>
    </w:p>
    <w:bookmarkStart w:id="196" w:name="page197"/>
    <w:bookmarkEnd w:id="196"/>
    <w:p>
      <w:pPr>
        <w:ind w:left="840" w:right="100" w:hanging="421"/>
        <w:spacing w:after="0" w:line="331" w:lineRule="auto"/>
        <w:tabs>
          <w:tab w:leader="none" w:pos="8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Consumer loans are generally secured by automobiles, motorcycles, recreational vehicles and other personal property. Some consumer loans are unsecured and have no underlying collateral.</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details the amortized cost of collateral dependent loans as of December 31,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December 31, 2025</w:t>
            </w:r>
          </w:p>
        </w:tc>
        <w:tc>
          <w:tcPr>
            <w:tcW w:w="680" w:type="dxa"/>
            <w:vAlign w:val="bottom"/>
          </w:tcPr>
          <w:p>
            <w:pPr>
              <w:spacing w:after="0"/>
              <w:rPr>
                <w:sz w:val="17"/>
                <w:szCs w:val="17"/>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December 31, 2024</w:t>
            </w:r>
          </w:p>
        </w:tc>
      </w:tr>
      <w:tr>
        <w:trPr>
          <w:trHeight w:val="46"/>
        </w:trPr>
        <w:tc>
          <w:tcPr>
            <w:tcW w:w="3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80" w:type="dxa"/>
            <w:vAlign w:val="bottom"/>
          </w:tcPr>
          <w:p>
            <w:pPr>
              <w:spacing w:after="0"/>
              <w:rPr>
                <w:sz w:val="4"/>
                <w:szCs w:val="4"/>
                <w:color w:val="auto"/>
              </w:rPr>
            </w:pPr>
          </w:p>
        </w:tc>
      </w:tr>
      <w:tr>
        <w:trPr>
          <w:trHeight w:val="294"/>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34,182</w:t>
            </w:r>
          </w:p>
        </w:tc>
        <w:tc>
          <w:tcPr>
            <w:tcW w:w="680" w:type="dxa"/>
            <w:vAlign w:val="bottom"/>
            <w:tcBorders>
              <w:bottom w:val="single" w:sz="8" w:color="CFF0FC"/>
            </w:tcBorders>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7,478</w:t>
            </w:r>
          </w:p>
        </w:tc>
      </w:tr>
      <w:tr>
        <w:trPr>
          <w:trHeight w:val="278"/>
        </w:trPr>
        <w:tc>
          <w:tcPr>
            <w:tcW w:w="35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54,008</w:t>
            </w:r>
          </w:p>
        </w:tc>
        <w:tc>
          <w:tcPr>
            <w:tcW w:w="680" w:type="dxa"/>
            <w:vAlign w:val="bottom"/>
          </w:tcPr>
          <w:p>
            <w:pPr>
              <w:spacing w:after="0"/>
              <w:rPr>
                <w:sz w:val="24"/>
                <w:szCs w:val="24"/>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8,591</w:t>
            </w:r>
          </w:p>
        </w:tc>
      </w:tr>
      <w:tr>
        <w:trPr>
          <w:trHeight w:val="36"/>
        </w:trPr>
        <w:tc>
          <w:tcPr>
            <w:tcW w:w="3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294"/>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Residential (1-4 family) first mortgages</w:t>
            </w:r>
          </w:p>
        </w:tc>
        <w:tc>
          <w:tcPr>
            <w:tcW w:w="120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680" w:type="dxa"/>
            <w:vAlign w:val="bottom"/>
            <w:tcBorders>
              <w:bottom w:val="single" w:sz="8" w:color="CFF0FC"/>
            </w:tcBorders>
            <w:shd w:val="clear" w:color="auto" w:fill="CFF0FC"/>
          </w:tcPr>
          <w:p>
            <w:pPr>
              <w:spacing w:after="0"/>
              <w:rPr>
                <w:sz w:val="24"/>
                <w:szCs w:val="24"/>
                <w:color w:val="auto"/>
              </w:rPr>
            </w:pPr>
          </w:p>
        </w:tc>
        <w:tc>
          <w:tcPr>
            <w:tcW w:w="2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r>
      <w:tr>
        <w:trPr>
          <w:trHeight w:val="278"/>
        </w:trPr>
        <w:tc>
          <w:tcPr>
            <w:tcW w:w="3520" w:type="dxa"/>
            <w:vAlign w:val="bottom"/>
          </w:tcPr>
          <w:p>
            <w:pPr>
              <w:spacing w:after="0"/>
              <w:rPr>
                <w:sz w:val="20"/>
                <w:szCs w:val="20"/>
                <w:color w:val="auto"/>
              </w:rPr>
            </w:pPr>
            <w:r>
              <w:rPr>
                <w:rFonts w:ascii="Arial" w:cs="Arial" w:eastAsia="Arial" w:hAnsi="Arial"/>
                <w:sz w:val="18"/>
                <w:szCs w:val="18"/>
                <w:color w:val="auto"/>
              </w:rPr>
              <w:t>Home equity loans and lines of credit</w:t>
            </w:r>
          </w:p>
        </w:tc>
        <w:tc>
          <w:tcPr>
            <w:tcW w:w="12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599</w:t>
            </w:r>
          </w:p>
        </w:tc>
        <w:tc>
          <w:tcPr>
            <w:tcW w:w="680" w:type="dxa"/>
            <w:vAlign w:val="bottom"/>
          </w:tcPr>
          <w:p>
            <w:pPr>
              <w:spacing w:after="0"/>
              <w:rPr>
                <w:sz w:val="24"/>
                <w:szCs w:val="24"/>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528</w:t>
            </w:r>
          </w:p>
        </w:tc>
      </w:tr>
      <w:tr>
        <w:trPr>
          <w:trHeight w:val="36"/>
        </w:trPr>
        <w:tc>
          <w:tcPr>
            <w:tcW w:w="3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304"/>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loans</w:t>
            </w:r>
          </w:p>
        </w:tc>
        <w:tc>
          <w:tcPr>
            <w:tcW w:w="120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FF0FC"/>
            </w:tcBorders>
            <w:shd w:val="clear" w:color="auto" w:fill="CFF0FC"/>
          </w:tcPr>
          <w:p>
            <w:pPr>
              <w:spacing w:after="0"/>
              <w:rPr>
                <w:sz w:val="24"/>
                <w:szCs w:val="24"/>
                <w:color w:val="auto"/>
              </w:rPr>
            </w:pPr>
          </w:p>
        </w:tc>
        <w:tc>
          <w:tcPr>
            <w:tcW w:w="2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r>
      <w:tr>
        <w:trPr>
          <w:trHeight w:val="278"/>
        </w:trPr>
        <w:tc>
          <w:tcPr>
            <w:tcW w:w="3520" w:type="dxa"/>
            <w:vAlign w:val="bottom"/>
          </w:tcPr>
          <w:p>
            <w:pPr>
              <w:spacing w:after="0"/>
              <w:rPr>
                <w:sz w:val="20"/>
                <w:szCs w:val="20"/>
                <w:color w:val="auto"/>
              </w:rPr>
            </w:pPr>
            <w:r>
              <w:rPr>
                <w:rFonts w:ascii="Arial" w:cs="Arial" w:eastAsia="Arial" w:hAnsi="Arial"/>
                <w:sz w:val="18"/>
                <w:szCs w:val="18"/>
                <w:color w:val="auto"/>
              </w:rPr>
              <w:t>Total loans</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89,402</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17,038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-1186815</wp:posOffset>
            </wp:positionV>
            <wp:extent cx="5967730"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-182245</wp:posOffset>
            </wp:positionV>
            <wp:extent cx="5967730" cy="63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18</w:t>
      </w:r>
    </w:p>
    <w:p>
      <w:pPr>
        <w:sectPr>
          <w:pgSz w:w="11900" w:h="16838" w:orient="portrait"/>
          <w:cols w:equalWidth="0" w:num="1">
            <w:col w:w="9400"/>
          </w:cols>
          <w:pgMar w:left="1260" w:top="1173" w:right="1246" w:bottom="0" w:gutter="0" w:footer="0" w:header="0"/>
          <w:type w:val="continuous"/>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ALLOWANCE FOR CREDIT LOSSES</w:t>
      </w:r>
    </w:p>
    <w:p>
      <w:pPr>
        <w:spacing w:after="0" w:line="200"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 xml:space="preserve">The Bank accounts for the allowance for credit losses on loans in accordance with </w:t>
      </w:r>
      <w:r>
        <w:rPr>
          <w:rFonts w:ascii="Arial" w:cs="Arial" w:eastAsia="Arial" w:hAnsi="Arial"/>
          <w:sz w:val="20"/>
          <w:szCs w:val="20"/>
          <w:i w:val="1"/>
          <w:iCs w:val="1"/>
          <w:color w:val="auto"/>
        </w:rPr>
        <w:t>ASC 326, Financial Instruments -</w:t>
      </w:r>
      <w:r>
        <w:rPr>
          <w:rFonts w:ascii="Arial" w:cs="Arial" w:eastAsia="Arial" w:hAnsi="Arial"/>
          <w:sz w:val="20"/>
          <w:szCs w:val="20"/>
          <w:color w:val="auto"/>
        </w:rPr>
        <w:t xml:space="preserve"> </w:t>
      </w:r>
      <w:r>
        <w:rPr>
          <w:rFonts w:ascii="Arial" w:cs="Arial" w:eastAsia="Arial" w:hAnsi="Arial"/>
          <w:sz w:val="20"/>
          <w:szCs w:val="20"/>
          <w:i w:val="1"/>
          <w:iCs w:val="1"/>
          <w:color w:val="auto"/>
        </w:rPr>
        <w:t>Credit Losses</w:t>
      </w:r>
      <w:r>
        <w:rPr>
          <w:rFonts w:ascii="Arial" w:cs="Arial" w:eastAsia="Arial" w:hAnsi="Arial"/>
          <w:sz w:val="20"/>
          <w:szCs w:val="20"/>
          <w:color w:val="auto"/>
        </w:rPr>
        <w:t>.</w:t>
      </w:r>
    </w:p>
    <w:p>
      <w:pPr>
        <w:spacing w:after="0" w:line="141" w:lineRule="exact"/>
        <w:rPr>
          <w:sz w:val="20"/>
          <w:szCs w:val="20"/>
          <w:color w:val="auto"/>
        </w:rPr>
      </w:pPr>
    </w:p>
    <w:p>
      <w:pPr>
        <w:jc w:val="both"/>
        <w:ind w:right="80"/>
        <w:spacing w:after="0" w:line="347" w:lineRule="auto"/>
        <w:rPr>
          <w:sz w:val="20"/>
          <w:szCs w:val="20"/>
          <w:color w:val="auto"/>
        </w:rPr>
      </w:pPr>
      <w:r>
        <w:rPr>
          <w:rFonts w:ascii="Arial" w:cs="Arial" w:eastAsia="Arial" w:hAnsi="Arial"/>
          <w:sz w:val="18"/>
          <w:szCs w:val="18"/>
          <w:color w:val="auto"/>
        </w:rPr>
        <w:t>Changes in the allowance for credit losses for the years ended December 31, 2025 and 2024, and information pertaining to the allocation of the allowance for credit losses and balances of the allowance for credit losses and loans receivable based on individual and collective impairment evaluation by loan portfolio class at the indicated</w:t>
      </w:r>
    </w:p>
    <w:p>
      <w:pPr>
        <w:spacing w:after="0"/>
        <w:tabs>
          <w:tab w:leader="none" w:pos="1220" w:val="left"/>
          <w:tab w:leader="none" w:pos="2260" w:val="left"/>
          <w:tab w:leader="none" w:pos="4020" w:val="left"/>
          <w:tab w:leader="none" w:pos="4960" w:val="left"/>
          <w:tab w:leader="none" w:pos="6000" w:val="left"/>
          <w:tab w:leader="none" w:pos="7260" w:val="left"/>
        </w:tabs>
        <w:rPr>
          <w:sz w:val="20"/>
          <w:szCs w:val="20"/>
          <w:color w:val="auto"/>
        </w:rPr>
      </w:pPr>
      <w:r>
        <w:rPr>
          <w:rFonts w:ascii="Arial" w:cs="Arial" w:eastAsia="Arial" w:hAnsi="Arial"/>
          <w:sz w:val="20"/>
          <w:szCs w:val="20"/>
          <w:color w:val="auto"/>
        </w:rPr>
        <w:t>dates,</w:t>
      </w:r>
      <w:r>
        <w:rPr>
          <w:sz w:val="20"/>
          <w:szCs w:val="20"/>
          <w:color w:val="auto"/>
        </w:rPr>
        <w:tab/>
      </w:r>
      <w:r>
        <w:rPr>
          <w:rFonts w:ascii="Arial" w:cs="Arial" w:eastAsia="Arial" w:hAnsi="Arial"/>
          <w:sz w:val="20"/>
          <w:szCs w:val="20"/>
          <w:color w:val="auto"/>
        </w:rPr>
        <w:t>are</w:t>
      </w:r>
      <w:r>
        <w:rPr>
          <w:sz w:val="20"/>
          <w:szCs w:val="20"/>
          <w:color w:val="auto"/>
        </w:rPr>
        <w:tab/>
      </w:r>
      <w:r>
        <w:rPr>
          <w:rFonts w:ascii="Arial" w:cs="Arial" w:eastAsia="Arial" w:hAnsi="Arial"/>
          <w:sz w:val="20"/>
          <w:szCs w:val="20"/>
          <w:color w:val="auto"/>
        </w:rPr>
        <w:t>summarized</w:t>
      </w:r>
      <w:r>
        <w:rPr>
          <w:sz w:val="20"/>
          <w:szCs w:val="20"/>
          <w:color w:val="auto"/>
        </w:rPr>
        <w:tab/>
      </w: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tables</w:t>
      </w:r>
      <w:r>
        <w:rPr>
          <w:sz w:val="20"/>
          <w:szCs w:val="20"/>
          <w:color w:val="auto"/>
        </w:rPr>
        <w:tab/>
      </w:r>
      <w:r>
        <w:rPr>
          <w:rFonts w:ascii="Arial" w:cs="Arial" w:eastAsia="Arial" w:hAnsi="Arial"/>
          <w:sz w:val="18"/>
          <w:szCs w:val="18"/>
          <w:color w:val="auto"/>
        </w:rPr>
        <w:t>below.</w:t>
      </w:r>
    </w:p>
    <w:p>
      <w:pPr>
        <w:spacing w:after="0" w:line="80"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An allocation of a portion of the allowance to a given portfolio class does not limit the Company’s ability to absorb losses in another portfolio class.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Arial" w:cs="Arial" w:eastAsia="Arial" w:hAnsi="Arial"/>
                <w:sz w:val="15"/>
                <w:szCs w:val="15"/>
                <w:color w:val="auto"/>
                <w:w w:val="95"/>
              </w:rPr>
              <w:t>As of December 31, 2025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49"/>
        </w:trPr>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gridSpan w:val="2"/>
          </w:tcPr>
          <w:p>
            <w:pPr>
              <w:jc w:val="right"/>
              <w:ind w:right="105"/>
              <w:spacing w:after="0"/>
              <w:rPr>
                <w:sz w:val="20"/>
                <w:szCs w:val="20"/>
                <w:color w:val="auto"/>
              </w:rPr>
            </w:pPr>
            <w:r>
              <w:rPr>
                <w:rFonts w:ascii="Arial" w:cs="Arial" w:eastAsia="Arial" w:hAnsi="Arial"/>
                <w:sz w:val="15"/>
                <w:szCs w:val="15"/>
                <w:color w:val="auto"/>
              </w:rPr>
              <w:t>Home</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5"/>
        </w:trPr>
        <w:tc>
          <w:tcPr>
            <w:tcW w:w="1460" w:type="dxa"/>
            <w:vAlign w:val="bottom"/>
          </w:tcPr>
          <w:p>
            <w:pPr>
              <w:spacing w:after="0"/>
              <w:rPr>
                <w:sz w:val="19"/>
                <w:szCs w:val="19"/>
                <w:color w:val="auto"/>
              </w:rPr>
            </w:pPr>
          </w:p>
        </w:tc>
        <w:tc>
          <w:tcPr>
            <w:tcW w:w="860" w:type="dxa"/>
            <w:vAlign w:val="bottom"/>
            <w:gridSpan w:val="2"/>
          </w:tcPr>
          <w:p>
            <w:pPr>
              <w:jc w:val="center"/>
              <w:ind w:right="25"/>
              <w:spacing w:after="0"/>
              <w:rPr>
                <w:sz w:val="20"/>
                <w:szCs w:val="20"/>
                <w:color w:val="auto"/>
              </w:rPr>
            </w:pPr>
            <w:r>
              <w:rPr>
                <w:rFonts w:ascii="Arial" w:cs="Arial" w:eastAsia="Arial" w:hAnsi="Arial"/>
                <w:sz w:val="15"/>
                <w:szCs w:val="15"/>
                <w:color w:val="auto"/>
                <w:w w:val="98"/>
              </w:rPr>
              <w:t>1-4 family</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right="145"/>
              <w:spacing w:after="0"/>
              <w:rPr>
                <w:sz w:val="20"/>
                <w:szCs w:val="20"/>
                <w:color w:val="auto"/>
              </w:rPr>
            </w:pPr>
            <w:r>
              <w:rPr>
                <w:rFonts w:ascii="Arial" w:cs="Arial" w:eastAsia="Arial" w:hAnsi="Arial"/>
                <w:sz w:val="15"/>
                <w:szCs w:val="15"/>
                <w:color w:val="auto"/>
                <w:w w:val="90"/>
              </w:rPr>
              <w:t>Other</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Arial" w:cs="Arial" w:eastAsia="Arial" w:hAnsi="Arial"/>
                <w:sz w:val="15"/>
                <w:szCs w:val="15"/>
                <w:color w:val="auto"/>
              </w:rPr>
              <w:t>equity</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1460" w:type="dxa"/>
            <w:vAlign w:val="bottom"/>
          </w:tcPr>
          <w:p>
            <w:pPr>
              <w:spacing w:after="0"/>
              <w:rPr>
                <w:sz w:val="19"/>
                <w:szCs w:val="19"/>
                <w:color w:val="auto"/>
              </w:rPr>
            </w:pPr>
          </w:p>
        </w:tc>
        <w:tc>
          <w:tcPr>
            <w:tcW w:w="860" w:type="dxa"/>
            <w:vAlign w:val="bottom"/>
            <w:gridSpan w:val="2"/>
          </w:tcPr>
          <w:p>
            <w:pPr>
              <w:jc w:val="center"/>
              <w:ind w:right="25"/>
              <w:spacing w:after="0"/>
              <w:rPr>
                <w:sz w:val="20"/>
                <w:szCs w:val="20"/>
                <w:color w:val="auto"/>
              </w:rPr>
            </w:pPr>
            <w:r>
              <w:rPr>
                <w:rFonts w:ascii="Arial" w:cs="Arial" w:eastAsia="Arial" w:hAnsi="Arial"/>
                <w:sz w:val="15"/>
                <w:szCs w:val="15"/>
                <w:color w:val="auto"/>
                <w:w w:val="98"/>
              </w:rPr>
              <w:t>first-lien</w:t>
            </w:r>
          </w:p>
        </w:tc>
        <w:tc>
          <w:tcPr>
            <w:tcW w:w="880" w:type="dxa"/>
            <w:vAlign w:val="bottom"/>
            <w:gridSpan w:val="2"/>
          </w:tcPr>
          <w:p>
            <w:pPr>
              <w:jc w:val="center"/>
              <w:ind w:right="65"/>
              <w:spacing w:after="0"/>
              <w:rPr>
                <w:sz w:val="20"/>
                <w:szCs w:val="20"/>
                <w:color w:val="auto"/>
              </w:rPr>
            </w:pPr>
            <w:r>
              <w:rPr>
                <w:rFonts w:ascii="Arial" w:cs="Arial" w:eastAsia="Arial" w:hAnsi="Arial"/>
                <w:sz w:val="15"/>
                <w:szCs w:val="15"/>
                <w:color w:val="auto"/>
                <w:w w:val="88"/>
              </w:rPr>
              <w:t>Residential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5"/>
                <w:szCs w:val="15"/>
                <w:color w:val="auto"/>
              </w:rPr>
              <w:t>Commercial</w:t>
            </w:r>
          </w:p>
        </w:tc>
        <w:tc>
          <w:tcPr>
            <w:tcW w:w="860" w:type="dxa"/>
            <w:vAlign w:val="bottom"/>
            <w:gridSpan w:val="2"/>
          </w:tcPr>
          <w:p>
            <w:pPr>
              <w:ind w:left="20"/>
              <w:spacing w:after="0"/>
              <w:rPr>
                <w:sz w:val="20"/>
                <w:szCs w:val="20"/>
                <w:color w:val="auto"/>
              </w:rPr>
            </w:pPr>
            <w:r>
              <w:rPr>
                <w:rFonts w:ascii="Arial" w:cs="Arial" w:eastAsia="Arial" w:hAnsi="Arial"/>
                <w:sz w:val="15"/>
                <w:szCs w:val="15"/>
                <w:color w:val="auto"/>
              </w:rPr>
              <w:t>commercial</w:t>
            </w:r>
          </w:p>
        </w:tc>
        <w:tc>
          <w:tcPr>
            <w:tcW w:w="740" w:type="dxa"/>
            <w:vAlign w:val="bottom"/>
            <w:gridSpan w:val="2"/>
          </w:tcPr>
          <w:p>
            <w:pPr>
              <w:jc w:val="right"/>
              <w:ind w:right="65"/>
              <w:spacing w:after="0"/>
              <w:rPr>
                <w:sz w:val="20"/>
                <w:szCs w:val="20"/>
                <w:color w:val="auto"/>
              </w:rPr>
            </w:pPr>
            <w:r>
              <w:rPr>
                <w:rFonts w:ascii="Arial" w:cs="Arial" w:eastAsia="Arial" w:hAnsi="Arial"/>
                <w:sz w:val="15"/>
                <w:szCs w:val="15"/>
                <w:color w:val="auto"/>
                <w:w w:val="89"/>
              </w:rPr>
              <w:t>Paycheck</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ind w:right="185"/>
              <w:spacing w:after="0"/>
              <w:rPr>
                <w:sz w:val="20"/>
                <w:szCs w:val="20"/>
                <w:color w:val="auto"/>
              </w:rPr>
            </w:pPr>
            <w:r>
              <w:rPr>
                <w:rFonts w:ascii="Arial" w:cs="Arial" w:eastAsia="Arial" w:hAnsi="Arial"/>
                <w:sz w:val="15"/>
                <w:szCs w:val="15"/>
                <w:color w:val="auto"/>
                <w:w w:val="79"/>
              </w:rPr>
              <w:t>and</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1460" w:type="dxa"/>
            <w:vAlign w:val="bottom"/>
          </w:tcPr>
          <w:p>
            <w:pPr>
              <w:spacing w:after="0"/>
              <w:rPr>
                <w:sz w:val="19"/>
                <w:szCs w:val="19"/>
                <w:color w:val="auto"/>
              </w:rPr>
            </w:pPr>
          </w:p>
        </w:tc>
        <w:tc>
          <w:tcPr>
            <w:tcW w:w="860" w:type="dxa"/>
            <w:vAlign w:val="bottom"/>
            <w:gridSpan w:val="2"/>
          </w:tcPr>
          <w:p>
            <w:pPr>
              <w:jc w:val="center"/>
              <w:ind w:right="45"/>
              <w:spacing w:after="0"/>
              <w:rPr>
                <w:sz w:val="20"/>
                <w:szCs w:val="20"/>
                <w:color w:val="auto"/>
              </w:rPr>
            </w:pPr>
            <w:r>
              <w:rPr>
                <w:rFonts w:ascii="Arial" w:cs="Arial" w:eastAsia="Arial" w:hAnsi="Arial"/>
                <w:sz w:val="15"/>
                <w:szCs w:val="15"/>
                <w:color w:val="auto"/>
                <w:w w:val="90"/>
              </w:rPr>
              <w:t>residential</w:t>
            </w:r>
          </w:p>
        </w:tc>
        <w:tc>
          <w:tcPr>
            <w:tcW w:w="880" w:type="dxa"/>
            <w:vAlign w:val="bottom"/>
            <w:gridSpan w:val="2"/>
          </w:tcPr>
          <w:p>
            <w:pPr>
              <w:spacing w:after="0"/>
              <w:rPr>
                <w:sz w:val="20"/>
                <w:szCs w:val="20"/>
                <w:color w:val="auto"/>
              </w:rPr>
            </w:pPr>
            <w:r>
              <w:rPr>
                <w:rFonts w:ascii="Arial" w:cs="Arial" w:eastAsia="Arial" w:hAnsi="Arial"/>
                <w:sz w:val="15"/>
                <w:szCs w:val="15"/>
                <w:color w:val="auto"/>
              </w:rPr>
              <w:t>construction</w:t>
            </w:r>
          </w:p>
        </w:tc>
        <w:tc>
          <w:tcPr>
            <w:tcW w:w="880" w:type="dxa"/>
            <w:vAlign w:val="bottom"/>
            <w:gridSpan w:val="2"/>
          </w:tcPr>
          <w:p>
            <w:pPr>
              <w:spacing w:after="0"/>
              <w:rPr>
                <w:sz w:val="20"/>
                <w:szCs w:val="20"/>
                <w:color w:val="auto"/>
              </w:rPr>
            </w:pPr>
            <w:r>
              <w:rPr>
                <w:rFonts w:ascii="Arial" w:cs="Arial" w:eastAsia="Arial" w:hAnsi="Arial"/>
                <w:sz w:val="15"/>
                <w:szCs w:val="15"/>
                <w:color w:val="auto"/>
              </w:rPr>
              <w:t>Commercial</w:t>
            </w:r>
          </w:p>
        </w:tc>
        <w:tc>
          <w:tcPr>
            <w:tcW w:w="120" w:type="dxa"/>
            <w:vAlign w:val="bottom"/>
          </w:tcPr>
          <w:p>
            <w:pPr>
              <w:spacing w:after="0"/>
              <w:rPr>
                <w:sz w:val="19"/>
                <w:szCs w:val="19"/>
                <w:color w:val="auto"/>
              </w:rPr>
            </w:pPr>
          </w:p>
        </w:tc>
        <w:tc>
          <w:tcPr>
            <w:tcW w:w="760" w:type="dxa"/>
            <w:vAlign w:val="bottom"/>
          </w:tcPr>
          <w:p>
            <w:pPr>
              <w:jc w:val="right"/>
              <w:ind w:right="205"/>
              <w:spacing w:after="0"/>
              <w:rPr>
                <w:sz w:val="20"/>
                <w:szCs w:val="20"/>
                <w:color w:val="auto"/>
              </w:rPr>
            </w:pPr>
            <w:r>
              <w:rPr>
                <w:rFonts w:ascii="Arial" w:cs="Arial" w:eastAsia="Arial" w:hAnsi="Arial"/>
                <w:sz w:val="15"/>
                <w:szCs w:val="15"/>
                <w:color w:val="auto"/>
                <w:w w:val="96"/>
              </w:rPr>
              <w:t>lines of</w:t>
            </w:r>
          </w:p>
        </w:tc>
        <w:tc>
          <w:tcPr>
            <w:tcW w:w="100" w:type="dxa"/>
            <w:vAlign w:val="bottom"/>
          </w:tcPr>
          <w:p>
            <w:pPr>
              <w:spacing w:after="0"/>
              <w:rPr>
                <w:sz w:val="19"/>
                <w:szCs w:val="19"/>
                <w:color w:val="auto"/>
              </w:rPr>
            </w:pPr>
          </w:p>
        </w:tc>
        <w:tc>
          <w:tcPr>
            <w:tcW w:w="760" w:type="dxa"/>
            <w:vAlign w:val="bottom"/>
          </w:tcPr>
          <w:p>
            <w:pPr>
              <w:jc w:val="center"/>
              <w:ind w:right="145"/>
              <w:spacing w:after="0"/>
              <w:rPr>
                <w:sz w:val="20"/>
                <w:szCs w:val="20"/>
                <w:color w:val="auto"/>
              </w:rPr>
            </w:pPr>
            <w:r>
              <w:rPr>
                <w:rFonts w:ascii="Arial" w:cs="Arial" w:eastAsia="Arial" w:hAnsi="Arial"/>
                <w:sz w:val="15"/>
                <w:szCs w:val="15"/>
                <w:color w:val="auto"/>
                <w:w w:val="87"/>
              </w:rPr>
              <w:t>and</w:t>
            </w:r>
          </w:p>
        </w:tc>
        <w:tc>
          <w:tcPr>
            <w:tcW w:w="740" w:type="dxa"/>
            <w:vAlign w:val="bottom"/>
            <w:gridSpan w:val="2"/>
          </w:tcPr>
          <w:p>
            <w:pPr>
              <w:spacing w:after="0"/>
              <w:rPr>
                <w:sz w:val="20"/>
                <w:szCs w:val="20"/>
                <w:color w:val="auto"/>
              </w:rPr>
            </w:pPr>
            <w:r>
              <w:rPr>
                <w:rFonts w:ascii="Arial" w:cs="Arial" w:eastAsia="Arial" w:hAnsi="Arial"/>
                <w:sz w:val="15"/>
                <w:szCs w:val="15"/>
                <w:color w:val="auto"/>
              </w:rPr>
              <w:t>Protection</w:t>
            </w:r>
          </w:p>
        </w:tc>
        <w:tc>
          <w:tcPr>
            <w:tcW w:w="140" w:type="dxa"/>
            <w:vAlign w:val="bottom"/>
          </w:tcPr>
          <w:p>
            <w:pPr>
              <w:spacing w:after="0"/>
              <w:rPr>
                <w:sz w:val="19"/>
                <w:szCs w:val="19"/>
                <w:color w:val="auto"/>
              </w:rPr>
            </w:pPr>
          </w:p>
        </w:tc>
        <w:tc>
          <w:tcPr>
            <w:tcW w:w="480" w:type="dxa"/>
            <w:vAlign w:val="bottom"/>
          </w:tcPr>
          <w:p>
            <w:pPr>
              <w:jc w:val="right"/>
              <w:ind w:right="165"/>
              <w:spacing w:after="0"/>
              <w:rPr>
                <w:sz w:val="20"/>
                <w:szCs w:val="20"/>
                <w:color w:val="auto"/>
              </w:rPr>
            </w:pPr>
            <w:r>
              <w:rPr>
                <w:rFonts w:ascii="Arial" w:cs="Arial" w:eastAsia="Arial" w:hAnsi="Arial"/>
                <w:sz w:val="15"/>
                <w:szCs w:val="15"/>
                <w:color w:val="auto"/>
                <w:w w:val="87"/>
              </w:rPr>
              <w:t>Tax</w:t>
            </w:r>
          </w:p>
        </w:tc>
        <w:tc>
          <w:tcPr>
            <w:tcW w:w="640" w:type="dxa"/>
            <w:vAlign w:val="bottom"/>
            <w:gridSpan w:val="2"/>
          </w:tcPr>
          <w:p>
            <w:pPr>
              <w:ind w:left="100"/>
              <w:spacing w:after="0"/>
              <w:rPr>
                <w:sz w:val="20"/>
                <w:szCs w:val="20"/>
                <w:color w:val="auto"/>
              </w:rPr>
            </w:pPr>
            <w:r>
              <w:rPr>
                <w:rFonts w:ascii="Arial" w:cs="Arial" w:eastAsia="Arial" w:hAnsi="Arial"/>
                <w:sz w:val="15"/>
                <w:szCs w:val="15"/>
                <w:color w:val="auto"/>
              </w:rPr>
              <w:t>junior</w:t>
            </w:r>
          </w:p>
        </w:tc>
        <w:tc>
          <w:tcPr>
            <w:tcW w:w="160" w:type="dxa"/>
            <w:vAlign w:val="bottom"/>
          </w:tcPr>
          <w:p>
            <w:pPr>
              <w:spacing w:after="0"/>
              <w:rPr>
                <w:sz w:val="19"/>
                <w:szCs w:val="19"/>
                <w:color w:val="auto"/>
              </w:rPr>
            </w:pPr>
          </w:p>
        </w:tc>
        <w:tc>
          <w:tcPr>
            <w:tcW w:w="580" w:type="dxa"/>
            <w:vAlign w:val="bottom"/>
          </w:tcPr>
          <w:p>
            <w:pPr>
              <w:jc w:val="center"/>
              <w:ind w:right="165"/>
              <w:spacing w:after="0"/>
              <w:rPr>
                <w:sz w:val="20"/>
                <w:szCs w:val="20"/>
                <w:color w:val="auto"/>
              </w:rPr>
            </w:pPr>
            <w:r>
              <w:rPr>
                <w:rFonts w:ascii="Arial" w:cs="Arial" w:eastAsia="Arial" w:hAnsi="Arial"/>
                <w:sz w:val="15"/>
                <w:szCs w:val="15"/>
                <w:color w:val="auto"/>
                <w:w w:val="90"/>
              </w:rPr>
              <w:t>Other</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146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860" w:type="dxa"/>
            <w:vAlign w:val="bottom"/>
            <w:gridSpan w:val="2"/>
          </w:tcPr>
          <w:p>
            <w:pPr>
              <w:jc w:val="center"/>
              <w:spacing w:after="0"/>
              <w:rPr>
                <w:sz w:val="20"/>
                <w:szCs w:val="20"/>
                <w:color w:val="auto"/>
              </w:rPr>
            </w:pPr>
            <w:r>
              <w:rPr>
                <w:rFonts w:ascii="Arial" w:cs="Arial" w:eastAsia="Arial" w:hAnsi="Arial"/>
                <w:sz w:val="15"/>
                <w:szCs w:val="15"/>
                <w:color w:val="auto"/>
                <w:w w:val="88"/>
              </w:rPr>
              <w:t>mortgage</w:t>
            </w:r>
          </w:p>
        </w:tc>
        <w:tc>
          <w:tcPr>
            <w:tcW w:w="100" w:type="dxa"/>
            <w:vAlign w:val="bottom"/>
          </w:tcPr>
          <w:p>
            <w:pPr>
              <w:spacing w:after="0"/>
              <w:rPr>
                <w:sz w:val="19"/>
                <w:szCs w:val="19"/>
                <w:color w:val="auto"/>
              </w:rPr>
            </w:pPr>
          </w:p>
        </w:tc>
        <w:tc>
          <w:tcPr>
            <w:tcW w:w="780" w:type="dxa"/>
            <w:vAlign w:val="bottom"/>
          </w:tcPr>
          <w:p>
            <w:pPr>
              <w:jc w:val="center"/>
              <w:ind w:right="125"/>
              <w:spacing w:after="0"/>
              <w:rPr>
                <w:sz w:val="20"/>
                <w:szCs w:val="20"/>
                <w:color w:val="auto"/>
              </w:rPr>
            </w:pPr>
            <w:r>
              <w:rPr>
                <w:rFonts w:ascii="Arial" w:cs="Arial" w:eastAsia="Arial" w:hAnsi="Arial"/>
                <w:sz w:val="15"/>
                <w:szCs w:val="15"/>
                <w:color w:val="auto"/>
                <w:w w:val="91"/>
              </w:rPr>
              <w:t>mortgage</w:t>
            </w:r>
          </w:p>
        </w:tc>
        <w:tc>
          <w:tcPr>
            <w:tcW w:w="880" w:type="dxa"/>
            <w:vAlign w:val="bottom"/>
            <w:gridSpan w:val="2"/>
          </w:tcPr>
          <w:p>
            <w:pPr>
              <w:jc w:val="right"/>
              <w:ind w:right="105"/>
              <w:spacing w:after="0"/>
              <w:rPr>
                <w:sz w:val="20"/>
                <w:szCs w:val="20"/>
                <w:color w:val="auto"/>
              </w:rPr>
            </w:pPr>
            <w:r>
              <w:rPr>
                <w:rFonts w:ascii="Arial" w:cs="Arial" w:eastAsia="Arial" w:hAnsi="Arial"/>
                <w:sz w:val="15"/>
                <w:szCs w:val="15"/>
                <w:color w:val="auto"/>
                <w:w w:val="97"/>
              </w:rPr>
              <w:t>real estate</w:t>
            </w:r>
          </w:p>
        </w:tc>
        <w:tc>
          <w:tcPr>
            <w:tcW w:w="120" w:type="dxa"/>
            <w:vAlign w:val="bottom"/>
          </w:tcPr>
          <w:p>
            <w:pPr>
              <w:spacing w:after="0"/>
              <w:rPr>
                <w:sz w:val="19"/>
                <w:szCs w:val="19"/>
                <w:color w:val="auto"/>
              </w:rPr>
            </w:pPr>
          </w:p>
        </w:tc>
        <w:tc>
          <w:tcPr>
            <w:tcW w:w="760" w:type="dxa"/>
            <w:vAlign w:val="bottom"/>
          </w:tcPr>
          <w:p>
            <w:pPr>
              <w:jc w:val="center"/>
              <w:ind w:right="145"/>
              <w:spacing w:after="0"/>
              <w:rPr>
                <w:sz w:val="20"/>
                <w:szCs w:val="20"/>
                <w:color w:val="auto"/>
              </w:rPr>
            </w:pPr>
            <w:r>
              <w:rPr>
                <w:rFonts w:ascii="Arial" w:cs="Arial" w:eastAsia="Arial" w:hAnsi="Arial"/>
                <w:sz w:val="15"/>
                <w:szCs w:val="15"/>
                <w:color w:val="auto"/>
                <w:w w:val="92"/>
              </w:rPr>
              <w:t>credit</w:t>
            </w:r>
          </w:p>
        </w:tc>
        <w:tc>
          <w:tcPr>
            <w:tcW w:w="100" w:type="dxa"/>
            <w:vAlign w:val="bottom"/>
          </w:tcPr>
          <w:p>
            <w:pPr>
              <w:spacing w:after="0"/>
              <w:rPr>
                <w:sz w:val="19"/>
                <w:szCs w:val="19"/>
                <w:color w:val="auto"/>
              </w:rPr>
            </w:pPr>
          </w:p>
        </w:tc>
        <w:tc>
          <w:tcPr>
            <w:tcW w:w="760" w:type="dxa"/>
            <w:vAlign w:val="bottom"/>
          </w:tcPr>
          <w:p>
            <w:pPr>
              <w:jc w:val="right"/>
              <w:ind w:right="125"/>
              <w:spacing w:after="0"/>
              <w:rPr>
                <w:sz w:val="20"/>
                <w:szCs w:val="20"/>
                <w:color w:val="auto"/>
              </w:rPr>
            </w:pPr>
            <w:r>
              <w:rPr>
                <w:rFonts w:ascii="Arial" w:cs="Arial" w:eastAsia="Arial" w:hAnsi="Arial"/>
                <w:sz w:val="15"/>
                <w:szCs w:val="15"/>
                <w:color w:val="auto"/>
                <w:w w:val="89"/>
              </w:rPr>
              <w:t>industrial</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90"/>
              </w:rPr>
              <w:t>Program</w:t>
            </w:r>
          </w:p>
        </w:tc>
        <w:tc>
          <w:tcPr>
            <w:tcW w:w="620" w:type="dxa"/>
            <w:vAlign w:val="bottom"/>
            <w:gridSpan w:val="2"/>
          </w:tcPr>
          <w:p>
            <w:pPr>
              <w:ind w:left="60"/>
              <w:spacing w:after="0"/>
              <w:rPr>
                <w:sz w:val="20"/>
                <w:szCs w:val="20"/>
                <w:color w:val="auto"/>
              </w:rPr>
            </w:pPr>
            <w:r>
              <w:rPr>
                <w:rFonts w:ascii="Arial" w:cs="Arial" w:eastAsia="Arial" w:hAnsi="Arial"/>
                <w:sz w:val="15"/>
                <w:szCs w:val="15"/>
                <w:color w:val="auto"/>
              </w:rPr>
              <w:t>exempt</w:t>
            </w:r>
          </w:p>
        </w:tc>
        <w:tc>
          <w:tcPr>
            <w:tcW w:w="16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liens</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88"/>
              </w:rPr>
              <w:t>consumer</w:t>
            </w:r>
          </w:p>
        </w:tc>
        <w:tc>
          <w:tcPr>
            <w:tcW w:w="160" w:type="dxa"/>
            <w:vAlign w:val="bottom"/>
          </w:tcPr>
          <w:p>
            <w:pPr>
              <w:spacing w:after="0"/>
              <w:rPr>
                <w:sz w:val="19"/>
                <w:szCs w:val="19"/>
                <w:color w:val="auto"/>
              </w:rPr>
            </w:pPr>
          </w:p>
        </w:tc>
        <w:tc>
          <w:tcPr>
            <w:tcW w:w="680" w:type="dxa"/>
            <w:vAlign w:val="bottom"/>
          </w:tcPr>
          <w:p>
            <w:pPr>
              <w:jc w:val="right"/>
              <w:ind w:right="225"/>
              <w:spacing w:after="0"/>
              <w:rPr>
                <w:sz w:val="20"/>
                <w:szCs w:val="20"/>
                <w:color w:val="auto"/>
              </w:rPr>
            </w:pPr>
            <w:r>
              <w:rPr>
                <w:rFonts w:ascii="Arial" w:cs="Arial" w:eastAsia="Arial" w:hAnsi="Arial"/>
                <w:sz w:val="15"/>
                <w:szCs w:val="15"/>
                <w:color w:val="auto"/>
              </w:rPr>
              <w:t>Total</w:t>
            </w:r>
          </w:p>
        </w:tc>
      </w:tr>
      <w:tr>
        <w:trPr>
          <w:trHeight w:val="40"/>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0"/>
        </w:trPr>
        <w:tc>
          <w:tcPr>
            <w:tcW w:w="14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Allowance for credit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5"/>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losses:</w:t>
            </w:r>
          </w:p>
        </w:tc>
        <w:tc>
          <w:tcPr>
            <w:tcW w:w="1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r>
      <w:tr>
        <w:trPr>
          <w:trHeight w:val="285"/>
        </w:trPr>
        <w:tc>
          <w:tcPr>
            <w:tcW w:w="1460" w:type="dxa"/>
            <w:vAlign w:val="bottom"/>
          </w:tcPr>
          <w:p>
            <w:pPr>
              <w:spacing w:after="0"/>
              <w:rPr>
                <w:sz w:val="20"/>
                <w:szCs w:val="20"/>
                <w:color w:val="auto"/>
              </w:rPr>
            </w:pPr>
            <w:r>
              <w:rPr>
                <w:rFonts w:ascii="Arial" w:cs="Arial" w:eastAsia="Arial" w:hAnsi="Arial"/>
                <w:sz w:val="15"/>
                <w:szCs w:val="15"/>
                <w:color w:val="auto"/>
              </w:rPr>
              <w:t>Beginning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1,467</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592</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6,746</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749</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2,879</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715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4,091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17,243</w:t>
            </w:r>
          </w:p>
        </w:tc>
      </w:tr>
      <w:tr>
        <w:trPr>
          <w:trHeight w:val="30"/>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94"/>
        </w:trPr>
        <w:tc>
          <w:tcPr>
            <w:tcW w:w="1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Charge-offs</w:t>
            </w: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(919)</w:t>
            </w:r>
          </w:p>
        </w:tc>
        <w:tc>
          <w:tcPr>
            <w:tcW w:w="1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(370)</w:t>
            </w:r>
          </w:p>
        </w:tc>
        <w:tc>
          <w:tcPr>
            <w:tcW w:w="1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(1,451)</w:t>
            </w:r>
          </w:p>
        </w:tc>
        <w:tc>
          <w:tcPr>
            <w:tcW w:w="4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(77)</w:t>
            </w:r>
          </w:p>
        </w:tc>
        <w:tc>
          <w:tcPr>
            <w:tcW w:w="1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(2,077)</w:t>
            </w:r>
          </w:p>
        </w:tc>
        <w:tc>
          <w:tcPr>
            <w:tcW w:w="1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(5,040)</w:t>
            </w:r>
          </w:p>
        </w:tc>
      </w:tr>
      <w:tr>
        <w:trPr>
          <w:trHeight w:val="285"/>
        </w:trPr>
        <w:tc>
          <w:tcPr>
            <w:tcW w:w="1460" w:type="dxa"/>
            <w:vAlign w:val="bottom"/>
          </w:tcPr>
          <w:p>
            <w:pPr>
              <w:ind w:left="2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120</w:t>
            </w:r>
          </w:p>
        </w:tc>
        <w:tc>
          <w:tcPr>
            <w:tcW w:w="440" w:type="dxa"/>
            <w:vAlign w:val="bottom"/>
          </w:tcPr>
          <w:p>
            <w:pPr>
              <w:spacing w:after="0"/>
              <w:rPr>
                <w:sz w:val="24"/>
                <w:szCs w:val="24"/>
                <w:color w:val="auto"/>
              </w:rPr>
            </w:pPr>
          </w:p>
        </w:tc>
        <w:tc>
          <w:tcPr>
            <w:tcW w:w="3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49</w:t>
            </w:r>
          </w:p>
        </w:tc>
        <w:tc>
          <w:tcPr>
            <w:tcW w:w="16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556</w:t>
            </w:r>
          </w:p>
        </w:tc>
        <w:tc>
          <w:tcPr>
            <w:tcW w:w="160" w:type="dxa"/>
            <w:vAlign w:val="bottom"/>
          </w:tcPr>
          <w:p>
            <w:pPr>
              <w:spacing w:after="0"/>
              <w:rPr>
                <w:sz w:val="24"/>
                <w:szCs w:val="24"/>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830</w:t>
            </w:r>
          </w:p>
        </w:tc>
      </w:tr>
      <w:tr>
        <w:trPr>
          <w:trHeight w:val="30"/>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304"/>
        </w:trPr>
        <w:tc>
          <w:tcPr>
            <w:tcW w:w="1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Provisions (credits)</w:t>
            </w: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815</w:t>
            </w:r>
          </w:p>
        </w:tc>
        <w:tc>
          <w:tcPr>
            <w:tcW w:w="1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4,700</w:t>
            </w:r>
          </w:p>
        </w:tc>
        <w:tc>
          <w:tcPr>
            <w:tcW w:w="1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3,272</w:t>
            </w:r>
          </w:p>
        </w:tc>
        <w:tc>
          <w:tcPr>
            <w:tcW w:w="1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7,516</w:t>
            </w:r>
          </w:p>
        </w:tc>
        <w:tc>
          <w:tcPr>
            <w:tcW w:w="4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18</w:t>
            </w:r>
          </w:p>
        </w:tc>
        <w:tc>
          <w:tcPr>
            <w:tcW w:w="1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199</w:t>
            </w:r>
          </w:p>
        </w:tc>
        <w:tc>
          <w:tcPr>
            <w:tcW w:w="1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16,403</w:t>
            </w:r>
          </w:p>
        </w:tc>
      </w:tr>
      <w:tr>
        <w:trPr>
          <w:trHeight w:val="285"/>
        </w:trPr>
        <w:tc>
          <w:tcPr>
            <w:tcW w:w="1460" w:type="dxa"/>
            <w:vAlign w:val="bottom"/>
          </w:tcPr>
          <w:p>
            <w:pPr>
              <w:spacing w:after="0"/>
              <w:rPr>
                <w:sz w:val="20"/>
                <w:szCs w:val="20"/>
                <w:color w:val="auto"/>
              </w:rPr>
            </w:pPr>
            <w:r>
              <w:rPr>
                <w:rFonts w:ascii="Arial" w:cs="Arial" w:eastAsia="Arial" w:hAnsi="Arial"/>
                <w:sz w:val="15"/>
                <w:szCs w:val="15"/>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2,141</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474</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10,580</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3,698</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9,064</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705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2,769</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29,436</w:t>
            </w:r>
          </w:p>
        </w:tc>
      </w:tr>
      <w:tr>
        <w:trPr>
          <w:trHeight w:val="75"/>
        </w:trPr>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10"/>
        </w:trPr>
        <w:tc>
          <w:tcPr>
            <w:tcW w:w="1460" w:type="dxa"/>
            <w:vAlign w:val="bottom"/>
            <w:shd w:val="clear" w:color="auto" w:fill="CFF0FC"/>
          </w:tcPr>
          <w:p>
            <w:pPr>
              <w:spacing w:after="0"/>
              <w:rPr>
                <w:sz w:val="20"/>
                <w:szCs w:val="20"/>
                <w:color w:val="auto"/>
              </w:rPr>
            </w:pPr>
            <w:r>
              <w:rPr>
                <w:rFonts w:ascii="Arial" w:cs="Arial" w:eastAsia="Arial" w:hAnsi="Arial"/>
                <w:sz w:val="15"/>
                <w:szCs w:val="15"/>
                <w:color w:val="auto"/>
                <w:w w:val="91"/>
              </w:rPr>
              <w:t>Ending balance: related</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25"/>
        </w:trPr>
        <w:tc>
          <w:tcPr>
            <w:tcW w:w="1460" w:type="dxa"/>
            <w:vAlign w:val="bottom"/>
            <w:shd w:val="clear" w:color="auto" w:fill="CFF0FC"/>
          </w:tcPr>
          <w:p>
            <w:pPr>
              <w:spacing w:after="0"/>
              <w:rPr>
                <w:sz w:val="20"/>
                <w:szCs w:val="20"/>
                <w:color w:val="auto"/>
              </w:rPr>
            </w:pPr>
            <w:r>
              <w:rPr>
                <w:rFonts w:ascii="Arial" w:cs="Arial" w:eastAsia="Arial" w:hAnsi="Arial"/>
                <w:sz w:val="15"/>
                <w:szCs w:val="15"/>
                <w:color w:val="auto"/>
              </w:rPr>
              <w:t>to loans individually</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45"/>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evaluated</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6,523</w:t>
            </w:r>
          </w:p>
        </w:tc>
        <w:tc>
          <w:tcPr>
            <w:tcW w:w="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3,519</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7,912</w:t>
            </w:r>
          </w:p>
        </w:tc>
        <w:tc>
          <w:tcPr>
            <w:tcW w:w="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188</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18,142</w:t>
            </w:r>
          </w:p>
        </w:tc>
      </w:tr>
      <w:tr>
        <w:trPr>
          <w:trHeight w:val="210"/>
        </w:trPr>
        <w:tc>
          <w:tcPr>
            <w:tcW w:w="1460" w:type="dxa"/>
            <w:vAlign w:val="bottom"/>
          </w:tcPr>
          <w:p>
            <w:pPr>
              <w:spacing w:after="0"/>
              <w:rPr>
                <w:sz w:val="20"/>
                <w:szCs w:val="20"/>
                <w:color w:val="auto"/>
              </w:rPr>
            </w:pPr>
            <w:r>
              <w:rPr>
                <w:rFonts w:ascii="Arial" w:cs="Arial" w:eastAsia="Arial" w:hAnsi="Arial"/>
                <w:sz w:val="15"/>
                <w:szCs w:val="15"/>
                <w:color w:val="auto"/>
                <w:w w:val="91"/>
              </w:rPr>
              <w:t>Ending balance: related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5"/>
        </w:trPr>
        <w:tc>
          <w:tcPr>
            <w:tcW w:w="1460" w:type="dxa"/>
            <w:vAlign w:val="bottom"/>
          </w:tcPr>
          <w:p>
            <w:pPr>
              <w:spacing w:after="0"/>
              <w:rPr>
                <w:sz w:val="20"/>
                <w:szCs w:val="20"/>
                <w:color w:val="auto"/>
              </w:rPr>
            </w:pPr>
            <w:r>
              <w:rPr>
                <w:rFonts w:ascii="Arial" w:cs="Arial" w:eastAsia="Arial" w:hAnsi="Arial"/>
                <w:sz w:val="15"/>
                <w:szCs w:val="15"/>
                <w:color w:val="auto"/>
              </w:rPr>
              <w:t>to loans collectively</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1460" w:type="dxa"/>
            <w:vAlign w:val="bottom"/>
          </w:tcPr>
          <w:p>
            <w:pPr>
              <w:spacing w:after="0"/>
              <w:rPr>
                <w:sz w:val="20"/>
                <w:szCs w:val="20"/>
                <w:color w:val="auto"/>
              </w:rPr>
            </w:pPr>
            <w:r>
              <w:rPr>
                <w:rFonts w:ascii="Arial" w:cs="Arial" w:eastAsia="Arial" w:hAnsi="Arial"/>
                <w:sz w:val="15"/>
                <w:szCs w:val="15"/>
                <w:color w:val="auto"/>
              </w:rPr>
              <w:t>evaluated</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2,141</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474</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4,057</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1,152</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517</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2,769</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11,294</w:t>
            </w:r>
          </w:p>
        </w:tc>
      </w:tr>
      <w:tr>
        <w:trPr>
          <w:trHeight w:val="40"/>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9"/>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Loans receivables:</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r>
      <w:tr>
        <w:trPr>
          <w:trHeight w:val="285"/>
        </w:trPr>
        <w:tc>
          <w:tcPr>
            <w:tcW w:w="1460" w:type="dxa"/>
            <w:vAlign w:val="bottom"/>
          </w:tcPr>
          <w:p>
            <w:pPr>
              <w:spacing w:after="0"/>
              <w:rPr>
                <w:sz w:val="20"/>
                <w:szCs w:val="20"/>
                <w:color w:val="auto"/>
              </w:rPr>
            </w:pPr>
            <w:r>
              <w:rPr>
                <w:rFonts w:ascii="Arial" w:cs="Arial" w:eastAsia="Arial" w:hAnsi="Arial"/>
                <w:sz w:val="15"/>
                <w:szCs w:val="15"/>
                <w:color w:val="auto"/>
                <w:w w:val="96"/>
              </w:rPr>
              <w:t>Ending balance, gross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239,692</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2,039</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380,311</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75,371</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81,210</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5"/>
              <w:spacing w:after="0"/>
              <w:rPr>
                <w:sz w:val="20"/>
                <w:szCs w:val="20"/>
                <w:color w:val="auto"/>
              </w:rPr>
            </w:pPr>
            <w:r>
              <w:rPr>
                <w:rFonts w:ascii="Arial" w:cs="Arial" w:eastAsia="Arial" w:hAnsi="Arial"/>
                <w:sz w:val="15"/>
                <w:szCs w:val="15"/>
                <w:color w:val="auto"/>
              </w:rPr>
              <w:t>63</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6,716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w w:val="82"/>
              </w:rPr>
              <w:t>49,783</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62,825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w w:val="99"/>
              </w:rPr>
              <w:t>898,010</w:t>
            </w:r>
          </w:p>
        </w:tc>
      </w:tr>
      <w:tr>
        <w:trPr>
          <w:trHeight w:val="75"/>
        </w:trPr>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10"/>
        </w:trPr>
        <w:tc>
          <w:tcPr>
            <w:tcW w:w="1460" w:type="dxa"/>
            <w:vAlign w:val="bottom"/>
            <w:shd w:val="clear" w:color="auto" w:fill="CFF0FC"/>
          </w:tcPr>
          <w:p>
            <w:pPr>
              <w:spacing w:after="0"/>
              <w:rPr>
                <w:sz w:val="20"/>
                <w:szCs w:val="20"/>
                <w:color w:val="auto"/>
              </w:rPr>
            </w:pPr>
            <w:r>
              <w:rPr>
                <w:rFonts w:ascii="Arial" w:cs="Arial" w:eastAsia="Arial" w:hAnsi="Arial"/>
                <w:sz w:val="15"/>
                <w:szCs w:val="15"/>
                <w:color w:val="auto"/>
              </w:rPr>
              <w:t>Ending balance: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45"/>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individually evaluated</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613</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54,008</w:t>
            </w:r>
          </w:p>
        </w:tc>
        <w:tc>
          <w:tcPr>
            <w:tcW w:w="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16,602</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17,580</w:t>
            </w:r>
          </w:p>
        </w:tc>
        <w:tc>
          <w:tcPr>
            <w:tcW w:w="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599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89,402</w:t>
            </w:r>
          </w:p>
        </w:tc>
      </w:tr>
      <w:tr>
        <w:trPr>
          <w:trHeight w:val="210"/>
        </w:trPr>
        <w:tc>
          <w:tcPr>
            <w:tcW w:w="1460" w:type="dxa"/>
            <w:vAlign w:val="bottom"/>
          </w:tcPr>
          <w:p>
            <w:pPr>
              <w:spacing w:after="0"/>
              <w:rPr>
                <w:sz w:val="20"/>
                <w:szCs w:val="20"/>
                <w:color w:val="auto"/>
              </w:rPr>
            </w:pPr>
            <w:r>
              <w:rPr>
                <w:rFonts w:ascii="Arial" w:cs="Arial" w:eastAsia="Arial" w:hAnsi="Arial"/>
                <w:sz w:val="15"/>
                <w:szCs w:val="15"/>
                <w:color w:val="auto"/>
              </w:rPr>
              <w:t>Ending balance: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5"/>
        </w:trPr>
        <w:tc>
          <w:tcPr>
            <w:tcW w:w="1460" w:type="dxa"/>
            <w:vAlign w:val="bottom"/>
          </w:tcPr>
          <w:p>
            <w:pPr>
              <w:spacing w:after="0"/>
              <w:rPr>
                <w:sz w:val="20"/>
                <w:szCs w:val="20"/>
                <w:color w:val="auto"/>
              </w:rPr>
            </w:pPr>
            <w:r>
              <w:rPr>
                <w:rFonts w:ascii="Arial" w:cs="Arial" w:eastAsia="Arial" w:hAnsi="Arial"/>
                <w:sz w:val="15"/>
                <w:szCs w:val="15"/>
                <w:color w:val="auto"/>
              </w:rPr>
              <w:t>collectively evaluated</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239,079</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2,039</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326,303</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58,769</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63,630</w:t>
            </w: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5"/>
              <w:spacing w:after="0"/>
              <w:rPr>
                <w:sz w:val="20"/>
                <w:szCs w:val="20"/>
                <w:color w:val="auto"/>
              </w:rPr>
            </w:pPr>
            <w:r>
              <w:rPr>
                <w:rFonts w:ascii="Arial" w:cs="Arial" w:eastAsia="Arial" w:hAnsi="Arial"/>
                <w:sz w:val="15"/>
                <w:szCs w:val="15"/>
                <w:color w:val="auto"/>
              </w:rPr>
              <w:t>63</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6,716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w w:val="82"/>
              </w:rPr>
              <w:t>49,184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62,825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w w:val="99"/>
              </w:rPr>
              <w:t>808,608</w:t>
            </w:r>
          </w:p>
        </w:tc>
      </w:tr>
      <w:tr>
        <w:trPr>
          <w:trHeight w:val="579"/>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4"/>
          </w:tcPr>
          <w:p>
            <w:pPr>
              <w:ind w:left="420"/>
              <w:spacing w:after="0"/>
              <w:rPr>
                <w:sz w:val="20"/>
                <w:szCs w:val="20"/>
                <w:color w:val="auto"/>
              </w:rPr>
            </w:pPr>
            <w:r>
              <w:rPr>
                <w:rFonts w:ascii="Arial" w:cs="Arial" w:eastAsia="Arial" w:hAnsi="Arial"/>
                <w:sz w:val="15"/>
                <w:szCs w:val="15"/>
                <w:color w:val="auto"/>
                <w:w w:val="95"/>
              </w:rPr>
              <w:t>As of December 31, 2024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9"/>
        </w:trPr>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gridSpan w:val="2"/>
          </w:tcPr>
          <w:p>
            <w:pPr>
              <w:ind w:left="140"/>
              <w:spacing w:after="0"/>
              <w:rPr>
                <w:sz w:val="20"/>
                <w:szCs w:val="20"/>
                <w:color w:val="auto"/>
              </w:rPr>
            </w:pPr>
            <w:r>
              <w:rPr>
                <w:rFonts w:ascii="Arial" w:cs="Arial" w:eastAsia="Arial" w:hAnsi="Arial"/>
                <w:sz w:val="15"/>
                <w:szCs w:val="15"/>
                <w:color w:val="auto"/>
              </w:rPr>
              <w:t>Home</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5"/>
        </w:trPr>
        <w:tc>
          <w:tcPr>
            <w:tcW w:w="1460" w:type="dxa"/>
            <w:vAlign w:val="bottom"/>
          </w:tcPr>
          <w:p>
            <w:pPr>
              <w:spacing w:after="0"/>
              <w:rPr>
                <w:sz w:val="19"/>
                <w:szCs w:val="19"/>
                <w:color w:val="auto"/>
              </w:rPr>
            </w:pPr>
          </w:p>
        </w:tc>
        <w:tc>
          <w:tcPr>
            <w:tcW w:w="860" w:type="dxa"/>
            <w:vAlign w:val="bottom"/>
            <w:gridSpan w:val="2"/>
          </w:tcPr>
          <w:p>
            <w:pPr>
              <w:jc w:val="center"/>
              <w:ind w:right="5"/>
              <w:spacing w:after="0"/>
              <w:rPr>
                <w:sz w:val="20"/>
                <w:szCs w:val="20"/>
                <w:color w:val="auto"/>
              </w:rPr>
            </w:pPr>
            <w:r>
              <w:rPr>
                <w:rFonts w:ascii="Arial" w:cs="Arial" w:eastAsia="Arial" w:hAnsi="Arial"/>
                <w:sz w:val="15"/>
                <w:szCs w:val="15"/>
                <w:color w:val="auto"/>
                <w:w w:val="95"/>
              </w:rPr>
              <w:t>1-4 family</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right="105"/>
              <w:spacing w:after="0"/>
              <w:rPr>
                <w:sz w:val="20"/>
                <w:szCs w:val="20"/>
                <w:color w:val="auto"/>
              </w:rPr>
            </w:pPr>
            <w:r>
              <w:rPr>
                <w:rFonts w:ascii="Arial" w:cs="Arial" w:eastAsia="Arial" w:hAnsi="Arial"/>
                <w:sz w:val="15"/>
                <w:szCs w:val="15"/>
                <w:color w:val="auto"/>
                <w:w w:val="90"/>
              </w:rPr>
              <w:t>Other</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5"/>
                <w:szCs w:val="15"/>
                <w:color w:val="auto"/>
              </w:rPr>
              <w:t>equity</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right="105"/>
              <w:spacing w:after="0"/>
              <w:rPr>
                <w:sz w:val="20"/>
                <w:szCs w:val="20"/>
                <w:color w:val="auto"/>
              </w:rPr>
            </w:pPr>
            <w:r>
              <w:rPr>
                <w:rFonts w:ascii="Arial" w:cs="Arial" w:eastAsia="Arial" w:hAnsi="Arial"/>
                <w:sz w:val="15"/>
                <w:szCs w:val="15"/>
                <w:color w:val="auto"/>
                <w:w w:val="98"/>
              </w:rPr>
              <w:t>first-lien</w:t>
            </w:r>
          </w:p>
        </w:tc>
        <w:tc>
          <w:tcPr>
            <w:tcW w:w="880" w:type="dxa"/>
            <w:vAlign w:val="bottom"/>
            <w:gridSpan w:val="2"/>
          </w:tcPr>
          <w:p>
            <w:pPr>
              <w:jc w:val="center"/>
              <w:ind w:right="25"/>
              <w:spacing w:after="0"/>
              <w:rPr>
                <w:sz w:val="20"/>
                <w:szCs w:val="20"/>
                <w:color w:val="auto"/>
              </w:rPr>
            </w:pPr>
            <w:r>
              <w:rPr>
                <w:rFonts w:ascii="Arial" w:cs="Arial" w:eastAsia="Arial" w:hAnsi="Arial"/>
                <w:sz w:val="15"/>
                <w:szCs w:val="15"/>
                <w:color w:val="auto"/>
                <w:w w:val="88"/>
              </w:rPr>
              <w:t>Residential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Commercial</w:t>
            </w:r>
          </w:p>
        </w:tc>
        <w:tc>
          <w:tcPr>
            <w:tcW w:w="860" w:type="dxa"/>
            <w:vAlign w:val="bottom"/>
            <w:gridSpan w:val="2"/>
          </w:tcPr>
          <w:p>
            <w:pPr>
              <w:ind w:left="20"/>
              <w:spacing w:after="0"/>
              <w:rPr>
                <w:sz w:val="20"/>
                <w:szCs w:val="20"/>
                <w:color w:val="auto"/>
              </w:rPr>
            </w:pPr>
            <w:r>
              <w:rPr>
                <w:rFonts w:ascii="Arial" w:cs="Arial" w:eastAsia="Arial" w:hAnsi="Arial"/>
                <w:sz w:val="15"/>
                <w:szCs w:val="15"/>
                <w:color w:val="auto"/>
              </w:rPr>
              <w:t>commercial</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89"/>
              </w:rPr>
              <w:t>Paycheck</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ind w:right="125"/>
              <w:spacing w:after="0"/>
              <w:rPr>
                <w:sz w:val="20"/>
                <w:szCs w:val="20"/>
                <w:color w:val="auto"/>
              </w:rPr>
            </w:pPr>
            <w:r>
              <w:rPr>
                <w:rFonts w:ascii="Arial" w:cs="Arial" w:eastAsia="Arial" w:hAnsi="Arial"/>
                <w:sz w:val="15"/>
                <w:szCs w:val="15"/>
                <w:color w:val="auto"/>
              </w:rPr>
              <w:t>and</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1460" w:type="dxa"/>
            <w:vAlign w:val="bottom"/>
          </w:tcPr>
          <w:p>
            <w:pPr>
              <w:spacing w:after="0"/>
              <w:rPr>
                <w:sz w:val="19"/>
                <w:szCs w:val="19"/>
                <w:color w:val="auto"/>
              </w:rPr>
            </w:pPr>
          </w:p>
        </w:tc>
        <w:tc>
          <w:tcPr>
            <w:tcW w:w="860" w:type="dxa"/>
            <w:vAlign w:val="bottom"/>
            <w:gridSpan w:val="2"/>
          </w:tcPr>
          <w:p>
            <w:pPr>
              <w:jc w:val="center"/>
              <w:ind w:right="5"/>
              <w:spacing w:after="0"/>
              <w:rPr>
                <w:sz w:val="20"/>
                <w:szCs w:val="20"/>
                <w:color w:val="auto"/>
              </w:rPr>
            </w:pPr>
            <w:r>
              <w:rPr>
                <w:rFonts w:ascii="Arial" w:cs="Arial" w:eastAsia="Arial" w:hAnsi="Arial"/>
                <w:sz w:val="15"/>
                <w:szCs w:val="15"/>
                <w:color w:val="auto"/>
                <w:w w:val="90"/>
              </w:rPr>
              <w:t>residential</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construction</w:t>
            </w: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Commercial</w:t>
            </w:r>
          </w:p>
        </w:tc>
        <w:tc>
          <w:tcPr>
            <w:tcW w:w="120" w:type="dxa"/>
            <w:vAlign w:val="bottom"/>
          </w:tcPr>
          <w:p>
            <w:pPr>
              <w:spacing w:after="0"/>
              <w:rPr>
                <w:sz w:val="19"/>
                <w:szCs w:val="19"/>
                <w:color w:val="auto"/>
              </w:rPr>
            </w:pPr>
          </w:p>
        </w:tc>
        <w:tc>
          <w:tcPr>
            <w:tcW w:w="760" w:type="dxa"/>
            <w:vAlign w:val="bottom"/>
          </w:tcPr>
          <w:p>
            <w:pPr>
              <w:jc w:val="center"/>
              <w:ind w:right="145"/>
              <w:spacing w:after="0"/>
              <w:rPr>
                <w:sz w:val="20"/>
                <w:szCs w:val="20"/>
                <w:color w:val="auto"/>
              </w:rPr>
            </w:pPr>
            <w:r>
              <w:rPr>
                <w:rFonts w:ascii="Arial" w:cs="Arial" w:eastAsia="Arial" w:hAnsi="Arial"/>
                <w:sz w:val="15"/>
                <w:szCs w:val="15"/>
                <w:color w:val="auto"/>
                <w:w w:val="96"/>
              </w:rPr>
              <w:t>lines of</w:t>
            </w:r>
          </w:p>
        </w:tc>
        <w:tc>
          <w:tcPr>
            <w:tcW w:w="100" w:type="dxa"/>
            <w:vAlign w:val="bottom"/>
          </w:tcPr>
          <w:p>
            <w:pPr>
              <w:spacing w:after="0"/>
              <w:rPr>
                <w:sz w:val="19"/>
                <w:szCs w:val="19"/>
                <w:color w:val="auto"/>
              </w:rPr>
            </w:pPr>
          </w:p>
        </w:tc>
        <w:tc>
          <w:tcPr>
            <w:tcW w:w="760" w:type="dxa"/>
            <w:vAlign w:val="bottom"/>
          </w:tcPr>
          <w:p>
            <w:pPr>
              <w:jc w:val="center"/>
              <w:ind w:right="105"/>
              <w:spacing w:after="0"/>
              <w:rPr>
                <w:sz w:val="20"/>
                <w:szCs w:val="20"/>
                <w:color w:val="auto"/>
              </w:rPr>
            </w:pPr>
            <w:r>
              <w:rPr>
                <w:rFonts w:ascii="Arial" w:cs="Arial" w:eastAsia="Arial" w:hAnsi="Arial"/>
                <w:sz w:val="15"/>
                <w:szCs w:val="15"/>
                <w:color w:val="auto"/>
                <w:w w:val="87"/>
              </w:rPr>
              <w:t>and</w:t>
            </w:r>
          </w:p>
        </w:tc>
        <w:tc>
          <w:tcPr>
            <w:tcW w:w="740" w:type="dxa"/>
            <w:vAlign w:val="bottom"/>
            <w:gridSpan w:val="2"/>
          </w:tcPr>
          <w:p>
            <w:pPr>
              <w:jc w:val="center"/>
              <w:spacing w:after="0"/>
              <w:rPr>
                <w:sz w:val="20"/>
                <w:szCs w:val="20"/>
                <w:color w:val="auto"/>
              </w:rPr>
            </w:pPr>
            <w:r>
              <w:rPr>
                <w:rFonts w:ascii="Arial" w:cs="Arial" w:eastAsia="Arial" w:hAnsi="Arial"/>
                <w:sz w:val="15"/>
                <w:szCs w:val="15"/>
                <w:color w:val="auto"/>
                <w:w w:val="91"/>
              </w:rPr>
              <w:t>Protection</w:t>
            </w:r>
          </w:p>
        </w:tc>
        <w:tc>
          <w:tcPr>
            <w:tcW w:w="140" w:type="dxa"/>
            <w:vAlign w:val="bottom"/>
          </w:tcPr>
          <w:p>
            <w:pPr>
              <w:spacing w:after="0"/>
              <w:rPr>
                <w:sz w:val="19"/>
                <w:szCs w:val="19"/>
                <w:color w:val="auto"/>
              </w:rPr>
            </w:pPr>
          </w:p>
        </w:tc>
        <w:tc>
          <w:tcPr>
            <w:tcW w:w="480" w:type="dxa"/>
            <w:vAlign w:val="bottom"/>
          </w:tcPr>
          <w:p>
            <w:pPr>
              <w:jc w:val="right"/>
              <w:ind w:right="125"/>
              <w:spacing w:after="0"/>
              <w:rPr>
                <w:sz w:val="20"/>
                <w:szCs w:val="20"/>
                <w:color w:val="auto"/>
              </w:rPr>
            </w:pPr>
            <w:r>
              <w:rPr>
                <w:rFonts w:ascii="Arial" w:cs="Arial" w:eastAsia="Arial" w:hAnsi="Arial"/>
                <w:sz w:val="15"/>
                <w:szCs w:val="15"/>
                <w:color w:val="auto"/>
              </w:rPr>
              <w:t>Tax</w:t>
            </w:r>
          </w:p>
        </w:tc>
        <w:tc>
          <w:tcPr>
            <w:tcW w:w="640" w:type="dxa"/>
            <w:vAlign w:val="bottom"/>
            <w:gridSpan w:val="2"/>
          </w:tcPr>
          <w:p>
            <w:pPr>
              <w:ind w:left="140"/>
              <w:spacing w:after="0"/>
              <w:rPr>
                <w:sz w:val="20"/>
                <w:szCs w:val="20"/>
                <w:color w:val="auto"/>
              </w:rPr>
            </w:pPr>
            <w:r>
              <w:rPr>
                <w:rFonts w:ascii="Arial" w:cs="Arial" w:eastAsia="Arial" w:hAnsi="Arial"/>
                <w:sz w:val="15"/>
                <w:szCs w:val="15"/>
                <w:color w:val="auto"/>
              </w:rPr>
              <w:t>junior</w:t>
            </w:r>
          </w:p>
        </w:tc>
        <w:tc>
          <w:tcPr>
            <w:tcW w:w="160" w:type="dxa"/>
            <w:vAlign w:val="bottom"/>
          </w:tcPr>
          <w:p>
            <w:pPr>
              <w:spacing w:after="0"/>
              <w:rPr>
                <w:sz w:val="19"/>
                <w:szCs w:val="19"/>
                <w:color w:val="auto"/>
              </w:rPr>
            </w:pPr>
          </w:p>
        </w:tc>
        <w:tc>
          <w:tcPr>
            <w:tcW w:w="580" w:type="dxa"/>
            <w:vAlign w:val="bottom"/>
          </w:tcPr>
          <w:p>
            <w:pPr>
              <w:jc w:val="center"/>
              <w:ind w:right="125"/>
              <w:spacing w:after="0"/>
              <w:rPr>
                <w:sz w:val="20"/>
                <w:szCs w:val="20"/>
                <w:color w:val="auto"/>
              </w:rPr>
            </w:pPr>
            <w:r>
              <w:rPr>
                <w:rFonts w:ascii="Arial" w:cs="Arial" w:eastAsia="Arial" w:hAnsi="Arial"/>
                <w:sz w:val="15"/>
                <w:szCs w:val="15"/>
                <w:color w:val="auto"/>
                <w:w w:val="90"/>
              </w:rPr>
              <w:t>Other</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146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120" w:type="dxa"/>
            <w:vAlign w:val="bottom"/>
          </w:tcPr>
          <w:p>
            <w:pPr>
              <w:spacing w:after="0"/>
              <w:rPr>
                <w:sz w:val="19"/>
                <w:szCs w:val="19"/>
                <w:color w:val="auto"/>
              </w:rPr>
            </w:pPr>
          </w:p>
        </w:tc>
        <w:tc>
          <w:tcPr>
            <w:tcW w:w="740" w:type="dxa"/>
            <w:vAlign w:val="bottom"/>
          </w:tcPr>
          <w:p>
            <w:pPr>
              <w:jc w:val="right"/>
              <w:ind w:right="85"/>
              <w:spacing w:after="0"/>
              <w:rPr>
                <w:sz w:val="20"/>
                <w:szCs w:val="20"/>
                <w:color w:val="auto"/>
              </w:rPr>
            </w:pPr>
            <w:r>
              <w:rPr>
                <w:rFonts w:ascii="Arial" w:cs="Arial" w:eastAsia="Arial" w:hAnsi="Arial"/>
                <w:sz w:val="15"/>
                <w:szCs w:val="15"/>
                <w:color w:val="auto"/>
                <w:w w:val="88"/>
              </w:rPr>
              <w:t>mortgage</w:t>
            </w:r>
          </w:p>
        </w:tc>
        <w:tc>
          <w:tcPr>
            <w:tcW w:w="100" w:type="dxa"/>
            <w:vAlign w:val="bottom"/>
          </w:tcPr>
          <w:p>
            <w:pPr>
              <w:spacing w:after="0"/>
              <w:rPr>
                <w:sz w:val="19"/>
                <w:szCs w:val="19"/>
                <w:color w:val="auto"/>
              </w:rPr>
            </w:pPr>
          </w:p>
        </w:tc>
        <w:tc>
          <w:tcPr>
            <w:tcW w:w="780" w:type="dxa"/>
            <w:vAlign w:val="bottom"/>
          </w:tcPr>
          <w:p>
            <w:pPr>
              <w:jc w:val="right"/>
              <w:ind w:right="105"/>
              <w:spacing w:after="0"/>
              <w:rPr>
                <w:sz w:val="20"/>
                <w:szCs w:val="20"/>
                <w:color w:val="auto"/>
              </w:rPr>
            </w:pPr>
            <w:r>
              <w:rPr>
                <w:rFonts w:ascii="Arial" w:cs="Arial" w:eastAsia="Arial" w:hAnsi="Arial"/>
                <w:sz w:val="15"/>
                <w:szCs w:val="15"/>
                <w:color w:val="auto"/>
                <w:w w:val="91"/>
              </w:rPr>
              <w:t>mortgage</w:t>
            </w:r>
          </w:p>
        </w:tc>
        <w:tc>
          <w:tcPr>
            <w:tcW w:w="100" w:type="dxa"/>
            <w:vAlign w:val="bottom"/>
          </w:tcPr>
          <w:p>
            <w:pPr>
              <w:spacing w:after="0"/>
              <w:rPr>
                <w:sz w:val="19"/>
                <w:szCs w:val="19"/>
                <w:color w:val="auto"/>
              </w:rPr>
            </w:pPr>
          </w:p>
        </w:tc>
        <w:tc>
          <w:tcPr>
            <w:tcW w:w="780" w:type="dxa"/>
            <w:vAlign w:val="bottom"/>
          </w:tcPr>
          <w:p>
            <w:pPr>
              <w:jc w:val="right"/>
              <w:ind w:right="85"/>
              <w:spacing w:after="0"/>
              <w:rPr>
                <w:sz w:val="20"/>
                <w:szCs w:val="20"/>
                <w:color w:val="auto"/>
              </w:rPr>
            </w:pPr>
            <w:r>
              <w:rPr>
                <w:rFonts w:ascii="Arial" w:cs="Arial" w:eastAsia="Arial" w:hAnsi="Arial"/>
                <w:sz w:val="15"/>
                <w:szCs w:val="15"/>
                <w:color w:val="auto"/>
                <w:w w:val="85"/>
              </w:rPr>
              <w:t>real estate</w:t>
            </w:r>
          </w:p>
        </w:tc>
        <w:tc>
          <w:tcPr>
            <w:tcW w:w="120" w:type="dxa"/>
            <w:vAlign w:val="bottom"/>
          </w:tcPr>
          <w:p>
            <w:pPr>
              <w:spacing w:after="0"/>
              <w:rPr>
                <w:sz w:val="19"/>
                <w:szCs w:val="19"/>
                <w:color w:val="auto"/>
              </w:rPr>
            </w:pPr>
          </w:p>
        </w:tc>
        <w:tc>
          <w:tcPr>
            <w:tcW w:w="760" w:type="dxa"/>
            <w:vAlign w:val="bottom"/>
          </w:tcPr>
          <w:p>
            <w:pPr>
              <w:jc w:val="center"/>
              <w:ind w:right="105"/>
              <w:spacing w:after="0"/>
              <w:rPr>
                <w:sz w:val="20"/>
                <w:szCs w:val="20"/>
                <w:color w:val="auto"/>
              </w:rPr>
            </w:pPr>
            <w:r>
              <w:rPr>
                <w:rFonts w:ascii="Arial" w:cs="Arial" w:eastAsia="Arial" w:hAnsi="Arial"/>
                <w:sz w:val="15"/>
                <w:szCs w:val="15"/>
                <w:color w:val="auto"/>
                <w:w w:val="92"/>
              </w:rPr>
              <w:t>credit</w:t>
            </w:r>
          </w:p>
        </w:tc>
        <w:tc>
          <w:tcPr>
            <w:tcW w:w="100" w:type="dxa"/>
            <w:vAlign w:val="bottom"/>
          </w:tcPr>
          <w:p>
            <w:pPr>
              <w:spacing w:after="0"/>
              <w:rPr>
                <w:sz w:val="19"/>
                <w:szCs w:val="19"/>
                <w:color w:val="auto"/>
              </w:rPr>
            </w:pPr>
          </w:p>
        </w:tc>
        <w:tc>
          <w:tcPr>
            <w:tcW w:w="760" w:type="dxa"/>
            <w:vAlign w:val="bottom"/>
          </w:tcPr>
          <w:p>
            <w:pPr>
              <w:jc w:val="right"/>
              <w:ind w:right="105"/>
              <w:spacing w:after="0"/>
              <w:rPr>
                <w:sz w:val="20"/>
                <w:szCs w:val="20"/>
                <w:color w:val="auto"/>
              </w:rPr>
            </w:pPr>
            <w:r>
              <w:rPr>
                <w:rFonts w:ascii="Arial" w:cs="Arial" w:eastAsia="Arial" w:hAnsi="Arial"/>
                <w:sz w:val="15"/>
                <w:szCs w:val="15"/>
                <w:color w:val="auto"/>
                <w:w w:val="93"/>
              </w:rPr>
              <w:t>industrial</w:t>
            </w:r>
          </w:p>
        </w:tc>
        <w:tc>
          <w:tcPr>
            <w:tcW w:w="740" w:type="dxa"/>
            <w:vAlign w:val="bottom"/>
            <w:gridSpan w:val="2"/>
          </w:tcPr>
          <w:p>
            <w:pPr>
              <w:jc w:val="right"/>
              <w:ind w:right="45"/>
              <w:spacing w:after="0"/>
              <w:rPr>
                <w:sz w:val="20"/>
                <w:szCs w:val="20"/>
                <w:color w:val="auto"/>
              </w:rPr>
            </w:pPr>
            <w:r>
              <w:rPr>
                <w:rFonts w:ascii="Arial" w:cs="Arial" w:eastAsia="Arial" w:hAnsi="Arial"/>
                <w:sz w:val="15"/>
                <w:szCs w:val="15"/>
                <w:color w:val="auto"/>
              </w:rPr>
              <w:t>Program</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exempt</w:t>
            </w:r>
          </w:p>
        </w:tc>
        <w:tc>
          <w:tcPr>
            <w:tcW w:w="160" w:type="dxa"/>
            <w:vAlign w:val="bottom"/>
          </w:tcPr>
          <w:p>
            <w:pPr>
              <w:spacing w:after="0"/>
              <w:rPr>
                <w:sz w:val="19"/>
                <w:szCs w:val="19"/>
                <w:color w:val="auto"/>
              </w:rPr>
            </w:pPr>
          </w:p>
        </w:tc>
        <w:tc>
          <w:tcPr>
            <w:tcW w:w="480" w:type="dxa"/>
            <w:vAlign w:val="bottom"/>
          </w:tcPr>
          <w:p>
            <w:pPr>
              <w:jc w:val="right"/>
              <w:ind w:right="85"/>
              <w:spacing w:after="0"/>
              <w:rPr>
                <w:sz w:val="20"/>
                <w:szCs w:val="20"/>
                <w:color w:val="auto"/>
              </w:rPr>
            </w:pPr>
            <w:r>
              <w:rPr>
                <w:rFonts w:ascii="Arial" w:cs="Arial" w:eastAsia="Arial" w:hAnsi="Arial"/>
                <w:sz w:val="15"/>
                <w:szCs w:val="15"/>
                <w:color w:val="auto"/>
                <w:w w:val="97"/>
              </w:rPr>
              <w:t>liens</w:t>
            </w:r>
          </w:p>
        </w:tc>
        <w:tc>
          <w:tcPr>
            <w:tcW w:w="740" w:type="dxa"/>
            <w:vAlign w:val="bottom"/>
            <w:gridSpan w:val="2"/>
          </w:tcPr>
          <w:p>
            <w:pPr>
              <w:ind w:left="80"/>
              <w:spacing w:after="0"/>
              <w:rPr>
                <w:sz w:val="20"/>
                <w:szCs w:val="20"/>
                <w:color w:val="auto"/>
              </w:rPr>
            </w:pPr>
            <w:r>
              <w:rPr>
                <w:rFonts w:ascii="Arial" w:cs="Arial" w:eastAsia="Arial" w:hAnsi="Arial"/>
                <w:sz w:val="15"/>
                <w:szCs w:val="15"/>
                <w:color w:val="auto"/>
                <w:w w:val="97"/>
              </w:rPr>
              <w:t>consumer</w:t>
            </w:r>
          </w:p>
        </w:tc>
        <w:tc>
          <w:tcPr>
            <w:tcW w:w="160" w:type="dxa"/>
            <w:vAlign w:val="bottom"/>
          </w:tcPr>
          <w:p>
            <w:pPr>
              <w:spacing w:after="0"/>
              <w:rPr>
                <w:sz w:val="19"/>
                <w:szCs w:val="19"/>
                <w:color w:val="auto"/>
              </w:rPr>
            </w:pPr>
          </w:p>
        </w:tc>
        <w:tc>
          <w:tcPr>
            <w:tcW w:w="680" w:type="dxa"/>
            <w:vAlign w:val="bottom"/>
          </w:tcPr>
          <w:p>
            <w:pPr>
              <w:jc w:val="right"/>
              <w:ind w:right="225"/>
              <w:spacing w:after="0"/>
              <w:rPr>
                <w:sz w:val="20"/>
                <w:szCs w:val="20"/>
                <w:color w:val="auto"/>
              </w:rPr>
            </w:pPr>
            <w:r>
              <w:rPr>
                <w:rFonts w:ascii="Arial" w:cs="Arial" w:eastAsia="Arial" w:hAnsi="Arial"/>
                <w:sz w:val="15"/>
                <w:szCs w:val="15"/>
                <w:color w:val="auto"/>
              </w:rPr>
              <w:t>Total</w:t>
            </w:r>
          </w:p>
        </w:tc>
      </w:tr>
      <w:tr>
        <w:trPr>
          <w:trHeight w:val="40"/>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0"/>
        </w:trPr>
        <w:tc>
          <w:tcPr>
            <w:tcW w:w="14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Allowance for credit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5"/>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losses:</w:t>
            </w:r>
          </w:p>
        </w:tc>
        <w:tc>
          <w:tcPr>
            <w:tcW w:w="1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r>
      <w:tr>
        <w:trPr>
          <w:trHeight w:val="285"/>
        </w:trPr>
        <w:tc>
          <w:tcPr>
            <w:tcW w:w="1460" w:type="dxa"/>
            <w:vAlign w:val="bottom"/>
          </w:tcPr>
          <w:p>
            <w:pPr>
              <w:spacing w:after="0"/>
              <w:rPr>
                <w:sz w:val="20"/>
                <w:szCs w:val="20"/>
                <w:color w:val="auto"/>
              </w:rPr>
            </w:pPr>
            <w:r>
              <w:rPr>
                <w:rFonts w:ascii="Arial" w:cs="Arial" w:eastAsia="Arial" w:hAnsi="Arial"/>
                <w:sz w:val="15"/>
                <w:szCs w:val="15"/>
                <w:color w:val="auto"/>
              </w:rPr>
              <w:t>Beginning Balance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1,608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858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5,751</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1,674</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3,281</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657</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2,145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15,975</w:t>
            </w:r>
          </w:p>
        </w:tc>
      </w:tr>
      <w:tr>
        <w:trPr>
          <w:trHeight w:val="30"/>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94"/>
        </w:trPr>
        <w:tc>
          <w:tcPr>
            <w:tcW w:w="1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Charge-offs</w:t>
            </w: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(47)</w:t>
            </w:r>
          </w:p>
        </w:tc>
        <w:tc>
          <w:tcPr>
            <w:tcW w:w="1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(1,119)</w:t>
            </w:r>
          </w:p>
        </w:tc>
        <w:tc>
          <w:tcPr>
            <w:tcW w:w="1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(1,918)</w:t>
            </w:r>
          </w:p>
        </w:tc>
        <w:tc>
          <w:tcPr>
            <w:tcW w:w="1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(3,436)</w:t>
            </w:r>
          </w:p>
        </w:tc>
        <w:tc>
          <w:tcPr>
            <w:tcW w:w="4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rPr>
              <w:t>(117)</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(3,546)</w:t>
            </w:r>
          </w:p>
        </w:tc>
        <w:tc>
          <w:tcPr>
            <w:tcW w:w="1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(10,183)</w:t>
            </w:r>
          </w:p>
        </w:tc>
      </w:tr>
      <w:tr>
        <w:trPr>
          <w:trHeight w:val="285"/>
        </w:trPr>
        <w:tc>
          <w:tcPr>
            <w:tcW w:w="1460" w:type="dxa"/>
            <w:vAlign w:val="bottom"/>
          </w:tcPr>
          <w:p>
            <w:pPr>
              <w:ind w:left="2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24"/>
                <w:szCs w:val="24"/>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4"/>
                <w:szCs w:val="24"/>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22</w:t>
            </w:r>
          </w:p>
        </w:tc>
        <w:tc>
          <w:tcPr>
            <w:tcW w:w="4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220</w:t>
            </w:r>
          </w:p>
        </w:tc>
        <w:tc>
          <w:tcPr>
            <w:tcW w:w="160" w:type="dxa"/>
            <w:vAlign w:val="bottom"/>
          </w:tcPr>
          <w:p>
            <w:pPr>
              <w:spacing w:after="0"/>
              <w:rPr>
                <w:sz w:val="24"/>
                <w:szCs w:val="24"/>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345</w:t>
            </w:r>
          </w:p>
        </w:tc>
      </w:tr>
      <w:tr>
        <w:trPr>
          <w:trHeight w:val="30"/>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304"/>
        </w:trPr>
        <w:tc>
          <w:tcPr>
            <w:tcW w:w="1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Provisions (credits)</w:t>
            </w: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(266)</w:t>
            </w:r>
          </w:p>
        </w:tc>
        <w:tc>
          <w:tcPr>
            <w:tcW w:w="1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2,093</w:t>
            </w:r>
          </w:p>
        </w:tc>
        <w:tc>
          <w:tcPr>
            <w:tcW w:w="1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946</w:t>
            </w:r>
          </w:p>
        </w:tc>
        <w:tc>
          <w:tcPr>
            <w:tcW w:w="1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3,012</w:t>
            </w:r>
          </w:p>
        </w:tc>
        <w:tc>
          <w:tcPr>
            <w:tcW w:w="4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174</w:t>
            </w:r>
          </w:p>
        </w:tc>
        <w:tc>
          <w:tcPr>
            <w:tcW w:w="1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5,272</w:t>
            </w:r>
          </w:p>
        </w:tc>
        <w:tc>
          <w:tcPr>
            <w:tcW w:w="1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11,106</w:t>
            </w:r>
          </w:p>
        </w:tc>
      </w:tr>
      <w:tr>
        <w:trPr>
          <w:trHeight w:val="285"/>
        </w:trPr>
        <w:tc>
          <w:tcPr>
            <w:tcW w:w="1460" w:type="dxa"/>
            <w:vAlign w:val="bottom"/>
          </w:tcPr>
          <w:p>
            <w:pPr>
              <w:spacing w:after="0"/>
              <w:rPr>
                <w:sz w:val="20"/>
                <w:szCs w:val="20"/>
                <w:color w:val="auto"/>
              </w:rPr>
            </w:pPr>
            <w:r>
              <w:rPr>
                <w:rFonts w:ascii="Arial" w:cs="Arial" w:eastAsia="Arial" w:hAnsi="Arial"/>
                <w:sz w:val="15"/>
                <w:szCs w:val="15"/>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1,467</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592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6,746</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749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2,879</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715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4,091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17,243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-6313170</wp:posOffset>
            </wp:positionV>
            <wp:extent cx="5015865"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01586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-5582920</wp:posOffset>
            </wp:positionV>
            <wp:extent cx="5967730" cy="6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-4483100</wp:posOffset>
            </wp:positionV>
            <wp:extent cx="5967730"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-4277360</wp:posOffset>
            </wp:positionV>
            <wp:extent cx="5967730" cy="285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-3810635</wp:posOffset>
            </wp:positionV>
            <wp:extent cx="5967730"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-3366770</wp:posOffset>
            </wp:positionV>
            <wp:extent cx="5967730"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-3008630</wp:posOffset>
            </wp:positionV>
            <wp:extent cx="5967730" cy="285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-2685415</wp:posOffset>
            </wp:positionV>
            <wp:extent cx="5967730"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-2383790</wp:posOffset>
            </wp:positionV>
            <wp:extent cx="596773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-2016125</wp:posOffset>
            </wp:positionV>
            <wp:extent cx="5006340"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00634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-1286510</wp:posOffset>
            </wp:positionV>
            <wp:extent cx="5967730"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wp:posOffset>
            </wp:positionV>
            <wp:extent cx="5967730"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wp:posOffset>
            </wp:positionV>
            <wp:extent cx="5967730" cy="285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18</w:t>
      </w:r>
    </w:p>
    <w:p>
      <w:pPr>
        <w:sectPr>
          <w:pgSz w:w="11900" w:h="16838" w:orient="portrait"/>
          <w:cols w:equalWidth="0" w:num="1">
            <w:col w:w="9400"/>
          </w:cols>
          <w:pgMar w:left="1260" w:top="1440" w:right="1246" w:bottom="0"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210"/>
        </w:trPr>
        <w:tc>
          <w:tcPr>
            <w:tcW w:w="1460" w:type="dxa"/>
            <w:vAlign w:val="bottom"/>
            <w:shd w:val="clear" w:color="auto" w:fill="CFF0FC"/>
          </w:tcPr>
          <w:p>
            <w:pPr>
              <w:spacing w:after="0"/>
              <w:rPr>
                <w:sz w:val="20"/>
                <w:szCs w:val="20"/>
                <w:color w:val="auto"/>
              </w:rPr>
            </w:pPr>
            <w:r>
              <w:rPr>
                <w:rFonts w:ascii="Arial" w:cs="Arial" w:eastAsia="Arial" w:hAnsi="Arial"/>
                <w:sz w:val="15"/>
                <w:szCs w:val="15"/>
                <w:color w:val="auto"/>
                <w:w w:val="91"/>
              </w:rPr>
              <w:t>Ending balance: related</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25"/>
        </w:trPr>
        <w:tc>
          <w:tcPr>
            <w:tcW w:w="1460" w:type="dxa"/>
            <w:vAlign w:val="bottom"/>
            <w:shd w:val="clear" w:color="auto" w:fill="CFF0FC"/>
          </w:tcPr>
          <w:p>
            <w:pPr>
              <w:spacing w:after="0"/>
              <w:rPr>
                <w:sz w:val="20"/>
                <w:szCs w:val="20"/>
                <w:color w:val="auto"/>
              </w:rPr>
            </w:pPr>
            <w:r>
              <w:rPr>
                <w:rFonts w:ascii="Arial" w:cs="Arial" w:eastAsia="Arial" w:hAnsi="Arial"/>
                <w:sz w:val="15"/>
                <w:szCs w:val="15"/>
                <w:color w:val="auto"/>
              </w:rPr>
              <w:t>to loans individually</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45"/>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evaluated</w:t>
            </w:r>
          </w:p>
        </w:tc>
        <w:tc>
          <w:tcPr>
            <w:tcW w:w="2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42</w:t>
            </w:r>
          </w:p>
        </w:tc>
        <w:tc>
          <w:tcPr>
            <w:tcW w:w="32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853</w:t>
            </w:r>
          </w:p>
        </w:tc>
        <w:tc>
          <w:tcPr>
            <w:tcW w:w="28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154</w:t>
            </w:r>
          </w:p>
        </w:tc>
        <w:tc>
          <w:tcPr>
            <w:tcW w:w="2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1,165</w:t>
            </w:r>
          </w:p>
        </w:tc>
        <w:tc>
          <w:tcPr>
            <w:tcW w:w="32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2,485</w:t>
            </w:r>
          </w:p>
        </w:tc>
      </w:tr>
      <w:tr>
        <w:trPr>
          <w:trHeight w:val="210"/>
        </w:trPr>
        <w:tc>
          <w:tcPr>
            <w:tcW w:w="1460" w:type="dxa"/>
            <w:vAlign w:val="bottom"/>
          </w:tcPr>
          <w:p>
            <w:pPr>
              <w:spacing w:after="0"/>
              <w:rPr>
                <w:sz w:val="20"/>
                <w:szCs w:val="20"/>
                <w:color w:val="auto"/>
              </w:rPr>
            </w:pPr>
            <w:r>
              <w:rPr>
                <w:rFonts w:ascii="Arial" w:cs="Arial" w:eastAsia="Arial" w:hAnsi="Arial"/>
                <w:sz w:val="15"/>
                <w:szCs w:val="15"/>
                <w:color w:val="auto"/>
                <w:w w:val="91"/>
              </w:rPr>
              <w:t>Ending balance: related</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5"/>
        </w:trPr>
        <w:tc>
          <w:tcPr>
            <w:tcW w:w="1460" w:type="dxa"/>
            <w:vAlign w:val="bottom"/>
          </w:tcPr>
          <w:p>
            <w:pPr>
              <w:spacing w:after="0"/>
              <w:rPr>
                <w:sz w:val="20"/>
                <w:szCs w:val="20"/>
                <w:color w:val="auto"/>
              </w:rPr>
            </w:pPr>
            <w:r>
              <w:rPr>
                <w:rFonts w:ascii="Arial" w:cs="Arial" w:eastAsia="Arial" w:hAnsi="Arial"/>
                <w:sz w:val="15"/>
                <w:szCs w:val="15"/>
                <w:color w:val="auto"/>
              </w:rPr>
              <w:t>to loans collectively</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1460" w:type="dxa"/>
            <w:vAlign w:val="bottom"/>
          </w:tcPr>
          <w:p>
            <w:pPr>
              <w:spacing w:after="0"/>
              <w:rPr>
                <w:sz w:val="20"/>
                <w:szCs w:val="20"/>
                <w:color w:val="auto"/>
              </w:rPr>
            </w:pPr>
            <w:r>
              <w:rPr>
                <w:rFonts w:ascii="Arial" w:cs="Arial" w:eastAsia="Arial" w:hAnsi="Arial"/>
                <w:sz w:val="15"/>
                <w:szCs w:val="15"/>
                <w:color w:val="auto"/>
              </w:rPr>
              <w:t>evaluated</w:t>
            </w:r>
          </w:p>
        </w:tc>
        <w:tc>
          <w:tcPr>
            <w:tcW w:w="2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1,425</w:t>
            </w:r>
          </w:p>
        </w:tc>
        <w:tc>
          <w:tcPr>
            <w:tcW w:w="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592</w:t>
            </w:r>
          </w:p>
        </w:tc>
        <w:tc>
          <w:tcPr>
            <w:tcW w:w="2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5,893</w:t>
            </w:r>
          </w:p>
        </w:tc>
        <w:tc>
          <w:tcPr>
            <w:tcW w:w="2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595</w:t>
            </w:r>
          </w:p>
        </w:tc>
        <w:tc>
          <w:tcPr>
            <w:tcW w:w="2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1,714</w:t>
            </w:r>
          </w:p>
        </w:tc>
        <w:tc>
          <w:tcPr>
            <w:tcW w:w="32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4,024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14,758</w:t>
            </w:r>
          </w:p>
        </w:tc>
      </w:tr>
      <w:tr>
        <w:trPr>
          <w:trHeight w:val="40"/>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9"/>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Loans receivables:</w:t>
            </w:r>
          </w:p>
        </w:tc>
        <w:tc>
          <w:tcPr>
            <w:tcW w:w="2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w:t>
            </w:r>
          </w:p>
        </w:tc>
      </w:tr>
      <w:tr>
        <w:trPr>
          <w:trHeight w:val="285"/>
        </w:trPr>
        <w:tc>
          <w:tcPr>
            <w:tcW w:w="1460" w:type="dxa"/>
            <w:vAlign w:val="bottom"/>
          </w:tcPr>
          <w:p>
            <w:pPr>
              <w:spacing w:after="0"/>
              <w:rPr>
                <w:sz w:val="20"/>
                <w:szCs w:val="20"/>
                <w:color w:val="auto"/>
              </w:rPr>
            </w:pPr>
            <w:r>
              <w:rPr>
                <w:rFonts w:ascii="Arial" w:cs="Arial" w:eastAsia="Arial" w:hAnsi="Arial"/>
                <w:sz w:val="15"/>
                <w:szCs w:val="15"/>
                <w:color w:val="auto"/>
                <w:w w:val="96"/>
              </w:rPr>
              <w:t>Ending balance, gross</w:t>
            </w:r>
          </w:p>
        </w:tc>
        <w:tc>
          <w:tcPr>
            <w:tcW w:w="2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251,373</w:t>
            </w:r>
          </w:p>
        </w:tc>
        <w:tc>
          <w:tcPr>
            <w:tcW w:w="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4,864</w:t>
            </w:r>
          </w:p>
        </w:tc>
        <w:tc>
          <w:tcPr>
            <w:tcW w:w="2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377,619</w:t>
            </w:r>
          </w:p>
        </w:tc>
        <w:tc>
          <w:tcPr>
            <w:tcW w:w="2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67,602</w:t>
            </w:r>
          </w:p>
        </w:tc>
        <w:tc>
          <w:tcPr>
            <w:tcW w:w="2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89,800</w:t>
            </w:r>
          </w:p>
        </w:tc>
        <w:tc>
          <w:tcPr>
            <w:tcW w:w="32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113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4,544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91"/>
              </w:rPr>
              <w:t>51,948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72,710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w w:val="99"/>
              </w:rPr>
              <w:t>920,573</w:t>
            </w:r>
          </w:p>
        </w:tc>
      </w:tr>
      <w:tr>
        <w:trPr>
          <w:trHeight w:val="75"/>
        </w:trPr>
        <w:tc>
          <w:tcPr>
            <w:tcW w:w="1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10"/>
        </w:trPr>
        <w:tc>
          <w:tcPr>
            <w:tcW w:w="1460" w:type="dxa"/>
            <w:vAlign w:val="bottom"/>
            <w:shd w:val="clear" w:color="auto" w:fill="CFF0FC"/>
          </w:tcPr>
          <w:p>
            <w:pPr>
              <w:spacing w:after="0"/>
              <w:rPr>
                <w:sz w:val="20"/>
                <w:szCs w:val="20"/>
                <w:color w:val="auto"/>
              </w:rPr>
            </w:pPr>
            <w:r>
              <w:rPr>
                <w:rFonts w:ascii="Arial" w:cs="Arial" w:eastAsia="Arial" w:hAnsi="Arial"/>
                <w:sz w:val="15"/>
                <w:szCs w:val="15"/>
                <w:color w:val="auto"/>
              </w:rPr>
              <w:t>Ending balance:</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45"/>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individually evaluated</w:t>
            </w:r>
          </w:p>
        </w:tc>
        <w:tc>
          <w:tcPr>
            <w:tcW w:w="2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1,175</w:t>
            </w:r>
          </w:p>
        </w:tc>
        <w:tc>
          <w:tcPr>
            <w:tcW w:w="32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10,636</w:t>
            </w:r>
          </w:p>
        </w:tc>
        <w:tc>
          <w:tcPr>
            <w:tcW w:w="28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1,409</w:t>
            </w:r>
          </w:p>
        </w:tc>
        <w:tc>
          <w:tcPr>
            <w:tcW w:w="2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6,169</w:t>
            </w:r>
          </w:p>
        </w:tc>
        <w:tc>
          <w:tcPr>
            <w:tcW w:w="32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555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20,011</w:t>
            </w:r>
          </w:p>
        </w:tc>
      </w:tr>
      <w:tr>
        <w:trPr>
          <w:trHeight w:val="210"/>
        </w:trPr>
        <w:tc>
          <w:tcPr>
            <w:tcW w:w="1460" w:type="dxa"/>
            <w:vAlign w:val="bottom"/>
          </w:tcPr>
          <w:p>
            <w:pPr>
              <w:spacing w:after="0"/>
              <w:rPr>
                <w:sz w:val="20"/>
                <w:szCs w:val="20"/>
                <w:color w:val="auto"/>
              </w:rPr>
            </w:pPr>
            <w:r>
              <w:rPr>
                <w:rFonts w:ascii="Arial" w:cs="Arial" w:eastAsia="Arial" w:hAnsi="Arial"/>
                <w:sz w:val="15"/>
                <w:szCs w:val="15"/>
                <w:color w:val="auto"/>
              </w:rPr>
              <w:t>Ending balance:</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5"/>
        </w:trPr>
        <w:tc>
          <w:tcPr>
            <w:tcW w:w="1460" w:type="dxa"/>
            <w:vAlign w:val="bottom"/>
          </w:tcPr>
          <w:p>
            <w:pPr>
              <w:spacing w:after="0"/>
              <w:rPr>
                <w:sz w:val="20"/>
                <w:szCs w:val="20"/>
                <w:color w:val="auto"/>
              </w:rPr>
            </w:pPr>
            <w:r>
              <w:rPr>
                <w:rFonts w:ascii="Arial" w:cs="Arial" w:eastAsia="Arial" w:hAnsi="Arial"/>
                <w:sz w:val="15"/>
                <w:szCs w:val="15"/>
                <w:color w:val="auto"/>
              </w:rPr>
              <w:t>collectively evaluated</w:t>
            </w:r>
          </w:p>
        </w:tc>
        <w:tc>
          <w:tcPr>
            <w:tcW w:w="2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250,198</w:t>
            </w:r>
          </w:p>
        </w:tc>
        <w:tc>
          <w:tcPr>
            <w:tcW w:w="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4,864</w:t>
            </w:r>
          </w:p>
        </w:tc>
        <w:tc>
          <w:tcPr>
            <w:tcW w:w="2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366,983</w:t>
            </w:r>
          </w:p>
        </w:tc>
        <w:tc>
          <w:tcPr>
            <w:tcW w:w="2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66,193</w:t>
            </w:r>
          </w:p>
        </w:tc>
        <w:tc>
          <w:tcPr>
            <w:tcW w:w="2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83,631</w:t>
            </w:r>
          </w:p>
        </w:tc>
        <w:tc>
          <w:tcPr>
            <w:tcW w:w="32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113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4,544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91"/>
              </w:rPr>
              <w:t>51,393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72,643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w w:val="99"/>
              </w:rPr>
              <w:t>900,562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-1407160</wp:posOffset>
            </wp:positionV>
            <wp:extent cx="5967730"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-963295</wp:posOffset>
            </wp:positionV>
            <wp:extent cx="5967730"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-605155</wp:posOffset>
            </wp:positionV>
            <wp:extent cx="5967730" cy="285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-281940</wp:posOffset>
            </wp:positionV>
            <wp:extent cx="5967730"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wp:posOffset>
            </wp:positionV>
            <wp:extent cx="5967730"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179"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w:t>
      </w:r>
    </w:p>
    <w:p>
      <w:pPr>
        <w:spacing w:after="0" w:line="173" w:lineRule="exact"/>
        <w:rPr>
          <w:sz w:val="20"/>
          <w:szCs w:val="20"/>
          <w:color w:val="auto"/>
        </w:rPr>
      </w:pPr>
    </w:p>
    <w:p>
      <w:pPr>
        <w:ind w:left="840" w:hanging="420"/>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in national and local economic trends;</w:t>
      </w:r>
    </w:p>
    <w:p>
      <w:pPr>
        <w:spacing w:after="0" w:line="250" w:lineRule="exact"/>
        <w:rPr>
          <w:rFonts w:ascii="Arial" w:cs="Arial" w:eastAsia="Arial" w:hAnsi="Arial"/>
          <w:sz w:val="20"/>
          <w:szCs w:val="20"/>
          <w:color w:val="auto"/>
        </w:rPr>
      </w:pPr>
    </w:p>
    <w:p>
      <w:pPr>
        <w:ind w:left="840" w:hanging="420"/>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rate of growth in the portfolio;</w:t>
      </w:r>
    </w:p>
    <w:p>
      <w:pPr>
        <w:spacing w:after="0" w:line="250" w:lineRule="exact"/>
        <w:rPr>
          <w:rFonts w:ascii="Arial" w:cs="Arial" w:eastAsia="Arial" w:hAnsi="Arial"/>
          <w:sz w:val="20"/>
          <w:szCs w:val="20"/>
          <w:color w:val="auto"/>
        </w:rPr>
      </w:pPr>
    </w:p>
    <w:p>
      <w:pPr>
        <w:ind w:left="840" w:hanging="420"/>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Trends of delinquencies and nonaccrual balances;</w:t>
      </w:r>
    </w:p>
    <w:p>
      <w:pPr>
        <w:spacing w:after="0" w:line="250" w:lineRule="exact"/>
        <w:rPr>
          <w:rFonts w:ascii="Arial" w:cs="Arial" w:eastAsia="Arial" w:hAnsi="Arial"/>
          <w:sz w:val="20"/>
          <w:szCs w:val="20"/>
          <w:color w:val="auto"/>
        </w:rPr>
      </w:pPr>
    </w:p>
    <w:p>
      <w:pPr>
        <w:ind w:left="840" w:hanging="420"/>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in loan policy; and</w:t>
      </w:r>
    </w:p>
    <w:p>
      <w:pPr>
        <w:spacing w:after="0" w:line="250" w:lineRule="exact"/>
        <w:rPr>
          <w:rFonts w:ascii="Arial" w:cs="Arial" w:eastAsia="Arial" w:hAnsi="Arial"/>
          <w:sz w:val="20"/>
          <w:szCs w:val="20"/>
          <w:color w:val="auto"/>
        </w:rPr>
      </w:pPr>
    </w:p>
    <w:p>
      <w:pPr>
        <w:ind w:left="840" w:hanging="420"/>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in lending management experience and related staffing.</w:t>
      </w:r>
    </w:p>
    <w:p>
      <w:pPr>
        <w:spacing w:after="0" w:line="214"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18</w:t>
      </w:r>
    </w:p>
    <w:p>
      <w:pPr>
        <w:sectPr>
          <w:pgSz w:w="11900" w:h="16838" w:orient="portrait"/>
          <w:cols w:equalWidth="0" w:num="1">
            <w:col w:w="9400"/>
          </w:cols>
          <w:pgMar w:left="1260" w:top="1133" w:right="1246" w:bottom="0" w:gutter="0" w:footer="0" w:header="0"/>
          <w:type w:val="continuous"/>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available. Adjustments to the factors are supported through documentation of changes in conditions in a narrative accompanying the allowance for credit losses analysis and calculation.</w:t>
      </w:r>
    </w:p>
    <w:p>
      <w:pPr>
        <w:spacing w:after="0" w:line="141"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As of December 31, the allocation of the allowance for credit losses summarized on the basis of the Company’s CECL calculation methodology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6"/>
                <w:szCs w:val="16"/>
                <w:color w:val="auto"/>
                <w:w w:val="93"/>
              </w:rPr>
              <w:t>As of December 31, 2025</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64"/>
        </w:trPr>
        <w:tc>
          <w:tcPr>
            <w:tcW w:w="1600" w:type="dxa"/>
            <w:vAlign w:val="bottom"/>
          </w:tcPr>
          <w:p>
            <w:pPr>
              <w:spacing w:after="0"/>
              <w:rPr>
                <w:sz w:val="22"/>
                <w:szCs w:val="22"/>
                <w:color w:val="auto"/>
              </w:rPr>
            </w:pPr>
          </w:p>
        </w:tc>
        <w:tc>
          <w:tcPr>
            <w:tcW w:w="960" w:type="dxa"/>
            <w:vAlign w:val="bottom"/>
          </w:tcPr>
          <w:p>
            <w:pPr>
              <w:jc w:val="center"/>
              <w:ind w:left="180"/>
              <w:spacing w:after="0"/>
              <w:rPr>
                <w:sz w:val="20"/>
                <w:szCs w:val="20"/>
                <w:color w:val="auto"/>
              </w:rPr>
            </w:pPr>
            <w:r>
              <w:rPr>
                <w:rFonts w:ascii="Arial" w:cs="Arial" w:eastAsia="Arial" w:hAnsi="Arial"/>
                <w:sz w:val="16"/>
                <w:szCs w:val="16"/>
                <w:color w:val="auto"/>
                <w:w w:val="95"/>
              </w:rPr>
              <w:t>1-4 family</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80"/>
              <w:spacing w:after="0"/>
              <w:rPr>
                <w:sz w:val="20"/>
                <w:szCs w:val="20"/>
                <w:color w:val="auto"/>
              </w:rPr>
            </w:pPr>
            <w:r>
              <w:rPr>
                <w:rFonts w:ascii="Arial" w:cs="Arial" w:eastAsia="Arial" w:hAnsi="Arial"/>
                <w:sz w:val="16"/>
                <w:szCs w:val="16"/>
                <w:color w:val="auto"/>
                <w:w w:val="89"/>
              </w:rPr>
              <w:t>Other</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40"/>
        </w:trPr>
        <w:tc>
          <w:tcPr>
            <w:tcW w:w="1600" w:type="dxa"/>
            <w:vAlign w:val="bottom"/>
          </w:tcPr>
          <w:p>
            <w:pPr>
              <w:spacing w:after="0"/>
              <w:rPr>
                <w:sz w:val="20"/>
                <w:szCs w:val="20"/>
                <w:color w:val="auto"/>
              </w:rPr>
            </w:pPr>
          </w:p>
        </w:tc>
        <w:tc>
          <w:tcPr>
            <w:tcW w:w="960" w:type="dxa"/>
            <w:vAlign w:val="bottom"/>
          </w:tcPr>
          <w:p>
            <w:pPr>
              <w:jc w:val="center"/>
              <w:ind w:left="180"/>
              <w:spacing w:after="0"/>
              <w:rPr>
                <w:sz w:val="20"/>
                <w:szCs w:val="20"/>
                <w:color w:val="auto"/>
              </w:rPr>
            </w:pPr>
            <w:r>
              <w:rPr>
                <w:rFonts w:ascii="Arial" w:cs="Arial" w:eastAsia="Arial" w:hAnsi="Arial"/>
                <w:sz w:val="16"/>
                <w:szCs w:val="16"/>
                <w:color w:val="auto"/>
                <w:w w:val="96"/>
              </w:rPr>
              <w:t>first-lien</w:t>
            </w:r>
          </w:p>
        </w:tc>
        <w:tc>
          <w:tcPr>
            <w:tcW w:w="920" w:type="dxa"/>
            <w:vAlign w:val="bottom"/>
          </w:tcPr>
          <w:p>
            <w:pPr>
              <w:jc w:val="center"/>
              <w:ind w:left="80"/>
              <w:spacing w:after="0"/>
              <w:rPr>
                <w:sz w:val="20"/>
                <w:szCs w:val="20"/>
                <w:color w:val="auto"/>
              </w:rPr>
            </w:pPr>
            <w:r>
              <w:rPr>
                <w:rFonts w:ascii="Arial" w:cs="Arial" w:eastAsia="Arial" w:hAnsi="Arial"/>
                <w:sz w:val="16"/>
                <w:szCs w:val="16"/>
                <w:color w:val="auto"/>
                <w:w w:val="90"/>
              </w:rPr>
              <w:t>Residential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3"/>
              </w:rPr>
              <w:t>Commercial</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2"/>
              </w:rPr>
              <w:t>commercial</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Arial" w:cs="Arial" w:eastAsia="Arial" w:hAnsi="Arial"/>
                <w:sz w:val="16"/>
                <w:szCs w:val="16"/>
                <w:color w:val="auto"/>
              </w:rPr>
              <w:t>Home</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0"/>
        </w:trPr>
        <w:tc>
          <w:tcPr>
            <w:tcW w:w="1600" w:type="dxa"/>
            <w:vAlign w:val="bottom"/>
          </w:tcPr>
          <w:p>
            <w:pPr>
              <w:spacing w:after="0"/>
              <w:rPr>
                <w:sz w:val="20"/>
                <w:szCs w:val="20"/>
                <w:color w:val="auto"/>
              </w:rPr>
            </w:pPr>
          </w:p>
        </w:tc>
        <w:tc>
          <w:tcPr>
            <w:tcW w:w="960" w:type="dxa"/>
            <w:vAlign w:val="bottom"/>
          </w:tcPr>
          <w:p>
            <w:pPr>
              <w:jc w:val="center"/>
              <w:ind w:left="180"/>
              <w:spacing w:after="0"/>
              <w:rPr>
                <w:sz w:val="20"/>
                <w:szCs w:val="20"/>
                <w:color w:val="auto"/>
              </w:rPr>
            </w:pPr>
            <w:r>
              <w:rPr>
                <w:rFonts w:ascii="Arial" w:cs="Arial" w:eastAsia="Arial" w:hAnsi="Arial"/>
                <w:sz w:val="16"/>
                <w:szCs w:val="16"/>
                <w:color w:val="auto"/>
                <w:w w:val="90"/>
              </w:rPr>
              <w:t>residential</w:t>
            </w: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w w:val="90"/>
              </w:rPr>
              <w:t>construction</w:t>
            </w: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160" w:type="dxa"/>
            <w:vAlign w:val="bottom"/>
          </w:tcPr>
          <w:p>
            <w:pPr>
              <w:spacing w:after="0"/>
              <w:rPr>
                <w:sz w:val="20"/>
                <w:szCs w:val="20"/>
                <w:color w:val="auto"/>
              </w:rPr>
            </w:pPr>
          </w:p>
        </w:tc>
        <w:tc>
          <w:tcPr>
            <w:tcW w:w="760" w:type="dxa"/>
            <w:vAlign w:val="bottom"/>
          </w:tcPr>
          <w:p>
            <w:pPr>
              <w:jc w:val="center"/>
              <w:ind w:right="120"/>
              <w:spacing w:after="0"/>
              <w:rPr>
                <w:sz w:val="20"/>
                <w:szCs w:val="20"/>
                <w:color w:val="auto"/>
              </w:rPr>
            </w:pPr>
            <w:r>
              <w:rPr>
                <w:rFonts w:ascii="Arial" w:cs="Arial" w:eastAsia="Arial" w:hAnsi="Arial"/>
                <w:sz w:val="16"/>
                <w:szCs w:val="16"/>
                <w:color w:val="auto"/>
                <w:w w:val="94"/>
              </w:rPr>
              <w:t>lines of</w:t>
            </w:r>
          </w:p>
        </w:tc>
        <w:tc>
          <w:tcPr>
            <w:tcW w:w="140" w:type="dxa"/>
            <w:vAlign w:val="bottom"/>
          </w:tcPr>
          <w:p>
            <w:pPr>
              <w:spacing w:after="0"/>
              <w:rPr>
                <w:sz w:val="20"/>
                <w:szCs w:val="20"/>
                <w:color w:val="auto"/>
              </w:rPr>
            </w:pPr>
          </w:p>
        </w:tc>
        <w:tc>
          <w:tcPr>
            <w:tcW w:w="760" w:type="dxa"/>
            <w:vAlign w:val="bottom"/>
          </w:tcPr>
          <w:p>
            <w:pPr>
              <w:jc w:val="center"/>
              <w:ind w:right="80"/>
              <w:spacing w:after="0"/>
              <w:rPr>
                <w:sz w:val="20"/>
                <w:szCs w:val="20"/>
                <w:color w:val="auto"/>
              </w:rPr>
            </w:pPr>
            <w:r>
              <w:rPr>
                <w:rFonts w:ascii="Arial" w:cs="Arial" w:eastAsia="Arial" w:hAnsi="Arial"/>
                <w:sz w:val="16"/>
                <w:szCs w:val="16"/>
                <w:color w:val="auto"/>
                <w:w w:val="89"/>
              </w:rPr>
              <w:t>and</w:t>
            </w:r>
          </w:p>
        </w:tc>
        <w:tc>
          <w:tcPr>
            <w:tcW w:w="160" w:type="dxa"/>
            <w:vAlign w:val="bottom"/>
          </w:tcPr>
          <w:p>
            <w:pPr>
              <w:spacing w:after="0"/>
              <w:rPr>
                <w:sz w:val="20"/>
                <w:szCs w:val="20"/>
                <w:color w:val="auto"/>
              </w:rPr>
            </w:pPr>
          </w:p>
        </w:tc>
        <w:tc>
          <w:tcPr>
            <w:tcW w:w="560" w:type="dxa"/>
            <w:vAlign w:val="bottom"/>
          </w:tcPr>
          <w:p>
            <w:pPr>
              <w:jc w:val="right"/>
              <w:ind w:right="200"/>
              <w:spacing w:after="0"/>
              <w:rPr>
                <w:sz w:val="20"/>
                <w:szCs w:val="20"/>
                <w:color w:val="auto"/>
              </w:rPr>
            </w:pPr>
            <w:r>
              <w:rPr>
                <w:rFonts w:ascii="Arial" w:cs="Arial" w:eastAsia="Arial" w:hAnsi="Arial"/>
                <w:sz w:val="16"/>
                <w:szCs w:val="16"/>
                <w:color w:val="auto"/>
                <w:w w:val="97"/>
              </w:rPr>
              <w:t>Tax</w:t>
            </w:r>
          </w:p>
        </w:tc>
        <w:tc>
          <w:tcPr>
            <w:tcW w:w="800" w:type="dxa"/>
            <w:vAlign w:val="bottom"/>
          </w:tcPr>
          <w:p>
            <w:pPr>
              <w:ind w:left="20"/>
              <w:spacing w:after="0"/>
              <w:rPr>
                <w:sz w:val="20"/>
                <w:szCs w:val="20"/>
                <w:color w:val="auto"/>
              </w:rPr>
            </w:pPr>
            <w:r>
              <w:rPr>
                <w:rFonts w:ascii="Arial" w:cs="Arial" w:eastAsia="Arial" w:hAnsi="Arial"/>
                <w:sz w:val="16"/>
                <w:szCs w:val="16"/>
                <w:color w:val="auto"/>
              </w:rPr>
              <w:t>equity and</w:t>
            </w:r>
          </w:p>
        </w:tc>
        <w:tc>
          <w:tcPr>
            <w:tcW w:w="820" w:type="dxa"/>
            <w:vAlign w:val="bottom"/>
          </w:tcPr>
          <w:p>
            <w:pPr>
              <w:ind w:left="160"/>
              <w:spacing w:after="0"/>
              <w:rPr>
                <w:sz w:val="20"/>
                <w:szCs w:val="20"/>
                <w:color w:val="auto"/>
              </w:rPr>
            </w:pPr>
            <w:r>
              <w:rPr>
                <w:rFonts w:ascii="Arial" w:cs="Arial" w:eastAsia="Arial" w:hAnsi="Arial"/>
                <w:sz w:val="16"/>
                <w:szCs w:val="16"/>
                <w:color w:val="auto"/>
              </w:rPr>
              <w:t>Other</w:t>
            </w:r>
          </w:p>
        </w:tc>
        <w:tc>
          <w:tcPr>
            <w:tcW w:w="460" w:type="dxa"/>
            <w:vAlign w:val="bottom"/>
          </w:tcPr>
          <w:p>
            <w:pPr>
              <w:spacing w:after="0"/>
              <w:rPr>
                <w:sz w:val="20"/>
                <w:szCs w:val="20"/>
                <w:color w:val="auto"/>
              </w:rPr>
            </w:pPr>
          </w:p>
        </w:tc>
      </w:tr>
      <w:tr>
        <w:trPr>
          <w:trHeight w:val="240"/>
        </w:trPr>
        <w:tc>
          <w:tcPr>
            <w:tcW w:w="16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960" w:type="dxa"/>
            <w:vAlign w:val="bottom"/>
          </w:tcPr>
          <w:p>
            <w:pPr>
              <w:jc w:val="right"/>
              <w:spacing w:after="0"/>
              <w:rPr>
                <w:sz w:val="20"/>
                <w:szCs w:val="20"/>
                <w:color w:val="auto"/>
              </w:rPr>
            </w:pPr>
            <w:r>
              <w:rPr>
                <w:rFonts w:ascii="Arial" w:cs="Arial" w:eastAsia="Arial" w:hAnsi="Arial"/>
                <w:sz w:val="16"/>
                <w:szCs w:val="16"/>
                <w:color w:val="auto"/>
              </w:rPr>
              <w:t>mortgage</w:t>
            </w:r>
          </w:p>
        </w:tc>
        <w:tc>
          <w:tcPr>
            <w:tcW w:w="920" w:type="dxa"/>
            <w:vAlign w:val="bottom"/>
          </w:tcPr>
          <w:p>
            <w:pPr>
              <w:jc w:val="right"/>
              <w:spacing w:after="0"/>
              <w:rPr>
                <w:sz w:val="20"/>
                <w:szCs w:val="20"/>
                <w:color w:val="auto"/>
              </w:rPr>
            </w:pPr>
            <w:r>
              <w:rPr>
                <w:rFonts w:ascii="Arial" w:cs="Arial" w:eastAsia="Arial" w:hAnsi="Arial"/>
                <w:sz w:val="16"/>
                <w:szCs w:val="16"/>
                <w:color w:val="auto"/>
              </w:rPr>
              <w:t>mortgage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w w:val="85"/>
              </w:rPr>
              <w:t>real estate</w:t>
            </w:r>
          </w:p>
        </w:tc>
        <w:tc>
          <w:tcPr>
            <w:tcW w:w="160" w:type="dxa"/>
            <w:vAlign w:val="bottom"/>
          </w:tcPr>
          <w:p>
            <w:pPr>
              <w:spacing w:after="0"/>
              <w:rPr>
                <w:sz w:val="20"/>
                <w:szCs w:val="20"/>
                <w:color w:val="auto"/>
              </w:rPr>
            </w:pPr>
          </w:p>
        </w:tc>
        <w:tc>
          <w:tcPr>
            <w:tcW w:w="760" w:type="dxa"/>
            <w:vAlign w:val="bottom"/>
          </w:tcPr>
          <w:p>
            <w:pPr>
              <w:jc w:val="center"/>
              <w:ind w:right="80"/>
              <w:spacing w:after="0"/>
              <w:rPr>
                <w:sz w:val="20"/>
                <w:szCs w:val="20"/>
                <w:color w:val="auto"/>
              </w:rPr>
            </w:pPr>
            <w:r>
              <w:rPr>
                <w:rFonts w:ascii="Arial" w:cs="Arial" w:eastAsia="Arial" w:hAnsi="Arial"/>
                <w:sz w:val="16"/>
                <w:szCs w:val="16"/>
                <w:color w:val="auto"/>
                <w:w w:val="91"/>
              </w:rPr>
              <w:t>credit</w:t>
            </w:r>
          </w:p>
        </w:tc>
        <w:tc>
          <w:tcPr>
            <w:tcW w:w="140" w:type="dxa"/>
            <w:vAlign w:val="bottom"/>
          </w:tcPr>
          <w:p>
            <w:pPr>
              <w:spacing w:after="0"/>
              <w:rPr>
                <w:sz w:val="20"/>
                <w:szCs w:val="20"/>
                <w:color w:val="auto"/>
              </w:rPr>
            </w:pPr>
          </w:p>
        </w:tc>
        <w:tc>
          <w:tcPr>
            <w:tcW w:w="760" w:type="dxa"/>
            <w:vAlign w:val="bottom"/>
          </w:tcPr>
          <w:p>
            <w:pPr>
              <w:jc w:val="center"/>
              <w:ind w:right="40"/>
              <w:spacing w:after="0"/>
              <w:rPr>
                <w:sz w:val="20"/>
                <w:szCs w:val="20"/>
                <w:color w:val="auto"/>
              </w:rPr>
            </w:pPr>
            <w:r>
              <w:rPr>
                <w:rFonts w:ascii="Arial" w:cs="Arial" w:eastAsia="Arial" w:hAnsi="Arial"/>
                <w:sz w:val="16"/>
                <w:szCs w:val="16"/>
                <w:color w:val="auto"/>
                <w:w w:val="93"/>
              </w:rPr>
              <w:t>industrial</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exempt</w:t>
            </w:r>
          </w:p>
        </w:tc>
        <w:tc>
          <w:tcPr>
            <w:tcW w:w="800" w:type="dxa"/>
            <w:vAlign w:val="bottom"/>
          </w:tcPr>
          <w:p>
            <w:pPr>
              <w:spacing w:after="0"/>
              <w:rPr>
                <w:sz w:val="20"/>
                <w:szCs w:val="20"/>
                <w:color w:val="auto"/>
              </w:rPr>
            </w:pPr>
            <w:r>
              <w:rPr>
                <w:rFonts w:ascii="Arial" w:cs="Arial" w:eastAsia="Arial" w:hAnsi="Arial"/>
                <w:sz w:val="16"/>
                <w:szCs w:val="16"/>
                <w:color w:val="auto"/>
              </w:rPr>
              <w:t>junior liens</w:t>
            </w:r>
          </w:p>
        </w:tc>
        <w:tc>
          <w:tcPr>
            <w:tcW w:w="820" w:type="dxa"/>
            <w:vAlign w:val="bottom"/>
          </w:tcPr>
          <w:p>
            <w:pPr>
              <w:ind w:left="60"/>
              <w:spacing w:after="0"/>
              <w:rPr>
                <w:sz w:val="20"/>
                <w:szCs w:val="20"/>
                <w:color w:val="auto"/>
              </w:rPr>
            </w:pPr>
            <w:r>
              <w:rPr>
                <w:rFonts w:ascii="Arial" w:cs="Arial" w:eastAsia="Arial" w:hAnsi="Arial"/>
                <w:sz w:val="16"/>
                <w:szCs w:val="16"/>
                <w:color w:val="auto"/>
              </w:rPr>
              <w:t>consumer</w:t>
            </w:r>
          </w:p>
        </w:tc>
        <w:tc>
          <w:tcPr>
            <w:tcW w:w="460" w:type="dxa"/>
            <w:vAlign w:val="bottom"/>
          </w:tcPr>
          <w:p>
            <w:pPr>
              <w:ind w:left="140"/>
              <w:spacing w:after="0"/>
              <w:rPr>
                <w:sz w:val="20"/>
                <w:szCs w:val="20"/>
                <w:color w:val="auto"/>
              </w:rPr>
            </w:pPr>
            <w:r>
              <w:rPr>
                <w:rFonts w:ascii="Arial" w:cs="Arial" w:eastAsia="Arial" w:hAnsi="Arial"/>
                <w:sz w:val="16"/>
                <w:szCs w:val="16"/>
                <w:color w:val="auto"/>
                <w:w w:val="84"/>
              </w:rPr>
              <w:t>Total</w:t>
            </w:r>
          </w:p>
        </w:tc>
      </w:tr>
      <w:tr>
        <w:trPr>
          <w:trHeight w:val="42"/>
        </w:trPr>
        <w:tc>
          <w:tcPr>
            <w:tcW w:w="1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82"/>
        </w:trPr>
        <w:tc>
          <w:tcPr>
            <w:tcW w:w="1600" w:type="dxa"/>
            <w:vAlign w:val="bottom"/>
            <w:shd w:val="clear" w:color="auto" w:fill="CFF0FC"/>
          </w:tcPr>
          <w:p>
            <w:pPr>
              <w:spacing w:after="0"/>
              <w:rPr>
                <w:sz w:val="20"/>
                <w:szCs w:val="20"/>
                <w:color w:val="auto"/>
              </w:rPr>
            </w:pPr>
            <w:r>
              <w:rPr>
                <w:rFonts w:ascii="Arial" w:cs="Arial" w:eastAsia="Arial" w:hAnsi="Arial"/>
                <w:sz w:val="16"/>
                <w:szCs w:val="16"/>
                <w:color w:val="auto"/>
              </w:rPr>
              <w:t>Specifically reserved</w:t>
            </w:r>
          </w:p>
        </w:tc>
        <w:tc>
          <w:tcPr>
            <w:tcW w:w="960" w:type="dxa"/>
            <w:vAlign w:val="bottom"/>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60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3,519</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
        </w:trPr>
        <w:tc>
          <w:tcPr>
            <w:tcW w:w="160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-830580</wp:posOffset>
            </wp:positionV>
            <wp:extent cx="4789170" cy="63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78917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5967730"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18 / 18</w:t>
      </w:r>
    </w:p>
    <w:p>
      <w:pPr>
        <w:sectPr>
          <w:pgSz w:w="11900" w:h="16838" w:orient="portrait"/>
          <w:cols w:equalWidth="0" w:num="1">
            <w:col w:w="9320"/>
          </w:cols>
          <w:pgMar w:left="1260" w:top="1440" w:right="1326" w:bottom="0" w:gutter="0" w:footer="0" w:header="0"/>
          <w:type w:val="continuous"/>
        </w:sectPr>
      </w:pPr>
    </w:p>
    <w:bookmarkStart w:id="200" w:name="page201"/>
    <w:bookmarkEnd w:id="200"/>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394</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2,583</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20,932</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Historical loss rate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2,332</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474</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3,858</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165</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1,038</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296</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168</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8,336</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Qualitative factors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199</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113</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2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18</w:t>
      </w:r>
    </w:p>
    <w:p>
      <w:pPr>
        <w:sectPr>
          <w:pgSz w:w="11900" w:h="16838" w:orient="portrait"/>
          <w:cols w:equalWidth="0" w:num="1">
            <w:col w:w="9400"/>
          </w:cols>
          <w:pgMar w:left="1260" w:top="1277" w:right="1246" w:bottom="0" w:gutter="0" w:footer="0" w:header="0"/>
          <w:type w:val="continuous"/>
        </w:sectPr>
      </w:pPr>
    </w:p>
    <w:bookmarkStart w:id="201" w:name="page202"/>
    <w:bookmarkEnd w:id="201"/>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168</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2,141</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474</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10,580</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3,698</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9,064</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705</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2,769</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29,436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w w:val="94"/>
              </w:rPr>
              <w:t>As of December 31, 2024</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1580" w:type="dxa"/>
            <w:vAlign w:val="bottom"/>
          </w:tcPr>
          <w:p>
            <w:pPr>
              <w:spacing w:after="0"/>
              <w:rPr>
                <w:sz w:val="22"/>
                <w:szCs w:val="22"/>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color w:val="auto"/>
              </w:rPr>
              <w:t>1-4 family</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100"/>
              <w:spacing w:after="0"/>
              <w:rPr>
                <w:sz w:val="20"/>
                <w:szCs w:val="20"/>
                <w:color w:val="auto"/>
              </w:rPr>
            </w:pPr>
            <w:r>
              <w:rPr>
                <w:rFonts w:ascii="Arial" w:cs="Arial" w:eastAsia="Arial" w:hAnsi="Arial"/>
                <w:sz w:val="16"/>
                <w:szCs w:val="16"/>
                <w:color w:val="auto"/>
                <w:w w:val="94"/>
              </w:rPr>
              <w:t>Other</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40"/>
        </w:trPr>
        <w:tc>
          <w:tcPr>
            <w:tcW w:w="1580" w:type="dxa"/>
            <w:vAlign w:val="bottom"/>
          </w:tcPr>
          <w:p>
            <w:pPr>
              <w:spacing w:after="0"/>
              <w:rPr>
                <w:sz w:val="20"/>
                <w:szCs w:val="20"/>
                <w:color w:val="auto"/>
              </w:rPr>
            </w:pPr>
          </w:p>
        </w:tc>
        <w:tc>
          <w:tcPr>
            <w:tcW w:w="1060" w:type="dxa"/>
            <w:vAlign w:val="bottom"/>
            <w:gridSpan w:val="2"/>
          </w:tcPr>
          <w:p>
            <w:pPr>
              <w:ind w:left="320"/>
              <w:spacing w:after="0"/>
              <w:rPr>
                <w:sz w:val="20"/>
                <w:szCs w:val="20"/>
                <w:color w:val="auto"/>
              </w:rPr>
            </w:pPr>
            <w:r>
              <w:rPr>
                <w:rFonts w:ascii="Arial" w:cs="Arial" w:eastAsia="Arial" w:hAnsi="Arial"/>
                <w:sz w:val="16"/>
                <w:szCs w:val="16"/>
                <w:color w:val="auto"/>
              </w:rPr>
              <w:t>first-lien</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Residential</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0"/>
              </w:rPr>
              <w:t>commercial</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color w:val="auto"/>
                <w:w w:val="93"/>
              </w:rPr>
              <w:t>Home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0"/>
        </w:trPr>
        <w:tc>
          <w:tcPr>
            <w:tcW w:w="1580" w:type="dxa"/>
            <w:vAlign w:val="bottom"/>
          </w:tcPr>
          <w:p>
            <w:pPr>
              <w:spacing w:after="0"/>
              <w:rPr>
                <w:sz w:val="20"/>
                <w:szCs w:val="20"/>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color w:val="auto"/>
              </w:rPr>
              <w:t>residential</w:t>
            </w:r>
          </w:p>
        </w:tc>
        <w:tc>
          <w:tcPr>
            <w:tcW w:w="900" w:type="dxa"/>
            <w:vAlign w:val="bottom"/>
            <w:gridSpan w:val="2"/>
          </w:tcPr>
          <w:p>
            <w:pPr>
              <w:ind w:left="20"/>
              <w:spacing w:after="0"/>
              <w:rPr>
                <w:sz w:val="20"/>
                <w:szCs w:val="20"/>
                <w:color w:val="auto"/>
              </w:rPr>
            </w:pPr>
            <w:r>
              <w:rPr>
                <w:rFonts w:ascii="Arial" w:cs="Arial" w:eastAsia="Arial" w:hAnsi="Arial"/>
                <w:sz w:val="16"/>
                <w:szCs w:val="16"/>
                <w:color w:val="auto"/>
                <w:w w:val="99"/>
              </w:rPr>
              <w:t>construction</w:t>
            </w:r>
          </w:p>
        </w:tc>
        <w:tc>
          <w:tcPr>
            <w:tcW w:w="940" w:type="dxa"/>
            <w:vAlign w:val="bottom"/>
            <w:gridSpan w:val="2"/>
          </w:tcPr>
          <w:p>
            <w:pPr>
              <w:ind w:left="60"/>
              <w:spacing w:after="0"/>
              <w:rPr>
                <w:sz w:val="20"/>
                <w:szCs w:val="20"/>
                <w:color w:val="auto"/>
              </w:rPr>
            </w:pPr>
            <w:r>
              <w:rPr>
                <w:rFonts w:ascii="Arial" w:cs="Arial" w:eastAsia="Arial" w:hAnsi="Arial"/>
                <w:sz w:val="16"/>
                <w:szCs w:val="16"/>
                <w:color w:val="auto"/>
              </w:rPr>
              <w:t>Commercial</w:t>
            </w:r>
          </w:p>
        </w:tc>
        <w:tc>
          <w:tcPr>
            <w:tcW w:w="160" w:type="dxa"/>
            <w:vAlign w:val="bottom"/>
          </w:tcPr>
          <w:p>
            <w:pPr>
              <w:spacing w:after="0"/>
              <w:rPr>
                <w:sz w:val="20"/>
                <w:szCs w:val="20"/>
                <w:color w:val="auto"/>
              </w:rPr>
            </w:pPr>
          </w:p>
        </w:tc>
        <w:tc>
          <w:tcPr>
            <w:tcW w:w="760" w:type="dxa"/>
            <w:vAlign w:val="bottom"/>
          </w:tcPr>
          <w:p>
            <w:pPr>
              <w:jc w:val="right"/>
              <w:ind w:right="160"/>
              <w:spacing w:after="0"/>
              <w:rPr>
                <w:sz w:val="20"/>
                <w:szCs w:val="20"/>
                <w:color w:val="auto"/>
              </w:rPr>
            </w:pPr>
            <w:r>
              <w:rPr>
                <w:rFonts w:ascii="Arial" w:cs="Arial" w:eastAsia="Arial" w:hAnsi="Arial"/>
                <w:sz w:val="16"/>
                <w:szCs w:val="16"/>
                <w:color w:val="auto"/>
                <w:w w:val="98"/>
              </w:rPr>
              <w:t>lines of</w:t>
            </w:r>
          </w:p>
        </w:tc>
        <w:tc>
          <w:tcPr>
            <w:tcW w:w="140" w:type="dxa"/>
            <w:vAlign w:val="bottom"/>
          </w:tcPr>
          <w:p>
            <w:pPr>
              <w:spacing w:after="0"/>
              <w:rPr>
                <w:sz w:val="20"/>
                <w:szCs w:val="20"/>
                <w:color w:val="auto"/>
              </w:rPr>
            </w:pPr>
          </w:p>
        </w:tc>
        <w:tc>
          <w:tcPr>
            <w:tcW w:w="760" w:type="dxa"/>
            <w:vAlign w:val="bottom"/>
          </w:tcPr>
          <w:p>
            <w:pPr>
              <w:jc w:val="center"/>
              <w:ind w:right="100"/>
              <w:spacing w:after="0"/>
              <w:rPr>
                <w:sz w:val="20"/>
                <w:szCs w:val="20"/>
                <w:color w:val="auto"/>
              </w:rPr>
            </w:pPr>
            <w:r>
              <w:rPr>
                <w:rFonts w:ascii="Arial" w:cs="Arial" w:eastAsia="Arial" w:hAnsi="Arial"/>
                <w:sz w:val="16"/>
                <w:szCs w:val="16"/>
                <w:color w:val="auto"/>
                <w:w w:val="82"/>
              </w:rPr>
              <w:t>and</w:t>
            </w:r>
          </w:p>
        </w:tc>
        <w:tc>
          <w:tcPr>
            <w:tcW w:w="160" w:type="dxa"/>
            <w:vAlign w:val="bottom"/>
          </w:tcPr>
          <w:p>
            <w:pPr>
              <w:spacing w:after="0"/>
              <w:rPr>
                <w:sz w:val="20"/>
                <w:szCs w:val="20"/>
                <w:color w:val="auto"/>
              </w:rPr>
            </w:pPr>
          </w:p>
        </w:tc>
        <w:tc>
          <w:tcPr>
            <w:tcW w:w="500" w:type="dxa"/>
            <w:vAlign w:val="bottom"/>
          </w:tcPr>
          <w:p>
            <w:pPr>
              <w:jc w:val="right"/>
              <w:ind w:right="140"/>
              <w:spacing w:after="0"/>
              <w:rPr>
                <w:sz w:val="20"/>
                <w:szCs w:val="20"/>
                <w:color w:val="auto"/>
              </w:rPr>
            </w:pPr>
            <w:r>
              <w:rPr>
                <w:rFonts w:ascii="Arial" w:cs="Arial" w:eastAsia="Arial" w:hAnsi="Arial"/>
                <w:sz w:val="16"/>
                <w:szCs w:val="16"/>
                <w:color w:val="auto"/>
                <w:w w:val="97"/>
              </w:rPr>
              <w:t>Tax</w:t>
            </w:r>
          </w:p>
        </w:tc>
        <w:tc>
          <w:tcPr>
            <w:tcW w:w="820" w:type="dxa"/>
            <w:vAlign w:val="bottom"/>
            <w:gridSpan w:val="2"/>
          </w:tcPr>
          <w:p>
            <w:pPr>
              <w:ind w:left="60"/>
              <w:spacing w:after="0"/>
              <w:rPr>
                <w:sz w:val="20"/>
                <w:szCs w:val="20"/>
                <w:color w:val="auto"/>
              </w:rPr>
            </w:pPr>
            <w:r>
              <w:rPr>
                <w:rFonts w:ascii="Arial" w:cs="Arial" w:eastAsia="Arial" w:hAnsi="Arial"/>
                <w:sz w:val="16"/>
                <w:szCs w:val="16"/>
                <w:color w:val="auto"/>
              </w:rPr>
              <w:t>equity and</w:t>
            </w:r>
          </w:p>
        </w:tc>
        <w:tc>
          <w:tcPr>
            <w:tcW w:w="160" w:type="dxa"/>
            <w:vAlign w:val="bottom"/>
          </w:tcPr>
          <w:p>
            <w:pPr>
              <w:spacing w:after="0"/>
              <w:rPr>
                <w:sz w:val="20"/>
                <w:szCs w:val="20"/>
                <w:color w:val="auto"/>
              </w:rPr>
            </w:pPr>
          </w:p>
        </w:tc>
        <w:tc>
          <w:tcPr>
            <w:tcW w:w="620" w:type="dxa"/>
            <w:vAlign w:val="bottom"/>
          </w:tcPr>
          <w:p>
            <w:pPr>
              <w:jc w:val="right"/>
              <w:ind w:right="140"/>
              <w:spacing w:after="0"/>
              <w:rPr>
                <w:sz w:val="20"/>
                <w:szCs w:val="20"/>
                <w:color w:val="auto"/>
              </w:rPr>
            </w:pPr>
            <w:r>
              <w:rPr>
                <w:rFonts w:ascii="Arial" w:cs="Arial" w:eastAsia="Arial" w:hAnsi="Arial"/>
                <w:sz w:val="16"/>
                <w:szCs w:val="16"/>
                <w:color w:val="auto"/>
                <w:w w:val="94"/>
              </w:rPr>
              <w:t>Other</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0"/>
        </w:trPr>
        <w:tc>
          <w:tcPr>
            <w:tcW w:w="158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gridSpan w:val="2"/>
          </w:tcPr>
          <w:p>
            <w:pPr>
              <w:ind w:left="320"/>
              <w:spacing w:after="0"/>
              <w:rPr>
                <w:sz w:val="20"/>
                <w:szCs w:val="20"/>
                <w:color w:val="auto"/>
              </w:rPr>
            </w:pPr>
            <w:r>
              <w:rPr>
                <w:rFonts w:ascii="Arial" w:cs="Arial" w:eastAsia="Arial" w:hAnsi="Arial"/>
                <w:sz w:val="16"/>
                <w:szCs w:val="16"/>
                <w:color w:val="auto"/>
              </w:rPr>
              <w:t>mortgage</w:t>
            </w:r>
          </w:p>
        </w:tc>
        <w:tc>
          <w:tcPr>
            <w:tcW w:w="12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w w:val="88"/>
              </w:rPr>
              <w:t>mortgage</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w w:val="85"/>
              </w:rPr>
              <w:t>real estate</w:t>
            </w:r>
          </w:p>
        </w:tc>
        <w:tc>
          <w:tcPr>
            <w:tcW w:w="160" w:type="dxa"/>
            <w:vAlign w:val="bottom"/>
          </w:tcPr>
          <w:p>
            <w:pPr>
              <w:spacing w:after="0"/>
              <w:rPr>
                <w:sz w:val="20"/>
                <w:szCs w:val="20"/>
                <w:color w:val="auto"/>
              </w:rPr>
            </w:pPr>
          </w:p>
        </w:tc>
        <w:tc>
          <w:tcPr>
            <w:tcW w:w="760" w:type="dxa"/>
            <w:vAlign w:val="bottom"/>
          </w:tcPr>
          <w:p>
            <w:pPr>
              <w:jc w:val="right"/>
              <w:ind w:right="20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60" w:type="dxa"/>
            <w:vAlign w:val="bottom"/>
          </w:tcPr>
          <w:p>
            <w:pPr>
              <w:jc w:val="center"/>
              <w:ind w:right="60"/>
              <w:spacing w:after="0"/>
              <w:rPr>
                <w:sz w:val="20"/>
                <w:szCs w:val="20"/>
                <w:color w:val="auto"/>
              </w:rPr>
            </w:pPr>
            <w:r>
              <w:rPr>
                <w:rFonts w:ascii="Arial" w:cs="Arial" w:eastAsia="Arial" w:hAnsi="Arial"/>
                <w:sz w:val="16"/>
                <w:szCs w:val="16"/>
                <w:color w:val="auto"/>
                <w:w w:val="96"/>
              </w:rPr>
              <w:t>industrial</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exempt</w:t>
            </w:r>
          </w:p>
        </w:tc>
        <w:tc>
          <w:tcPr>
            <w:tcW w:w="820" w:type="dxa"/>
            <w:vAlign w:val="bottom"/>
            <w:gridSpan w:val="2"/>
          </w:tcPr>
          <w:p>
            <w:pPr>
              <w:ind w:left="60"/>
              <w:spacing w:after="0"/>
              <w:rPr>
                <w:sz w:val="20"/>
                <w:szCs w:val="20"/>
                <w:color w:val="auto"/>
              </w:rPr>
            </w:pPr>
            <w:r>
              <w:rPr>
                <w:rFonts w:ascii="Arial" w:cs="Arial" w:eastAsia="Arial" w:hAnsi="Arial"/>
                <w:sz w:val="16"/>
                <w:szCs w:val="16"/>
                <w:color w:val="auto"/>
                <w:w w:val="96"/>
              </w:rPr>
              <w:t>junior liens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9"/>
              </w:rPr>
              <w:t>consumer</w:t>
            </w:r>
          </w:p>
        </w:tc>
        <w:tc>
          <w:tcPr>
            <w:tcW w:w="180" w:type="dxa"/>
            <w:vAlign w:val="bottom"/>
          </w:tcPr>
          <w:p>
            <w:pPr>
              <w:spacing w:after="0"/>
              <w:rPr>
                <w:sz w:val="20"/>
                <w:szCs w:val="20"/>
                <w:color w:val="auto"/>
              </w:rPr>
            </w:pPr>
          </w:p>
        </w:tc>
        <w:tc>
          <w:tcPr>
            <w:tcW w:w="660" w:type="dxa"/>
            <w:vAlign w:val="bottom"/>
          </w:tcPr>
          <w:p>
            <w:pPr>
              <w:jc w:val="right"/>
              <w:ind w:right="200"/>
              <w:spacing w:after="0"/>
              <w:rPr>
                <w:sz w:val="20"/>
                <w:szCs w:val="20"/>
                <w:color w:val="auto"/>
              </w:rPr>
            </w:pPr>
            <w:r>
              <w:rPr>
                <w:rFonts w:ascii="Arial" w:cs="Arial" w:eastAsia="Arial" w:hAnsi="Arial"/>
                <w:sz w:val="16"/>
                <w:szCs w:val="16"/>
                <w:color w:val="auto"/>
              </w:rPr>
              <w:t>Total</w:t>
            </w:r>
          </w:p>
        </w:tc>
      </w:tr>
      <w:tr>
        <w:trPr>
          <w:trHeight w:val="42"/>
        </w:trPr>
        <w:tc>
          <w:tcPr>
            <w:tcW w:w="1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94"/>
        </w:trPr>
        <w:tc>
          <w:tcPr>
            <w:tcW w:w="1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Specifically reserved</w:t>
            </w:r>
          </w:p>
        </w:tc>
        <w:tc>
          <w:tcPr>
            <w:tcW w:w="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1,165</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3,774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6,404</w:t>
            </w:r>
          </w:p>
        </w:tc>
      </w:tr>
      <w:tr>
        <w:trPr>
          <w:trHeight w:val="282"/>
        </w:trPr>
        <w:tc>
          <w:tcPr>
            <w:tcW w:w="1580" w:type="dxa"/>
            <w:vAlign w:val="bottom"/>
          </w:tcPr>
          <w:p>
            <w:pPr>
              <w:spacing w:after="0"/>
              <w:rPr>
                <w:sz w:val="20"/>
                <w:szCs w:val="20"/>
                <w:color w:val="auto"/>
              </w:rPr>
            </w:pPr>
            <w:r>
              <w:rPr>
                <w:rFonts w:ascii="Arial" w:cs="Arial" w:eastAsia="Arial" w:hAnsi="Arial"/>
                <w:sz w:val="16"/>
                <w:szCs w:val="16"/>
                <w:color w:val="auto"/>
              </w:rPr>
              <w:t>Historical loss rate</w:t>
            </w: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592</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2,779</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1,032</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24"/>
                <w:szCs w:val="24"/>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6,570</w:t>
            </w:r>
          </w:p>
        </w:tc>
      </w:tr>
      <w:tr>
        <w:trPr>
          <w:trHeight w:val="32"/>
        </w:trPr>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04"/>
        </w:trPr>
        <w:tc>
          <w:tcPr>
            <w:tcW w:w="1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Qualitative factors</w:t>
            </w:r>
          </w:p>
        </w:tc>
        <w:tc>
          <w:tcPr>
            <w:tcW w:w="48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3,114</w:t>
            </w: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469</w:t>
            </w:r>
          </w:p>
        </w:tc>
        <w:tc>
          <w:tcPr>
            <w:tcW w:w="1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1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4,269</w:t>
            </w:r>
          </w:p>
        </w:tc>
      </w:tr>
      <w:tr>
        <w:trPr>
          <w:trHeight w:val="282"/>
        </w:trPr>
        <w:tc>
          <w:tcPr>
            <w:tcW w:w="1580" w:type="dxa"/>
            <w:vAlign w:val="bottom"/>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592</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6,746</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2,879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17,243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-1415415</wp:posOffset>
            </wp:positionV>
            <wp:extent cx="4801235"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80123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-790575</wp:posOffset>
            </wp:positionV>
            <wp:extent cx="5967730"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-184785</wp:posOffset>
            </wp:positionV>
            <wp:extent cx="5967730"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85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following table summarizes all activity related to the ACL from December 31, 2024 to December 31, 2025 and to the recorded PCL for year ended December 31, 2025: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18</w:t>
      </w:r>
    </w:p>
    <w:p>
      <w:pPr>
        <w:sectPr>
          <w:pgSz w:w="11900" w:h="16838" w:orient="portrait"/>
          <w:cols w:equalWidth="0" w:num="1">
            <w:col w:w="9400"/>
          </w:cols>
          <w:pgMar w:left="1260" w:top="1440" w:right="1246" w:bottom="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1"/>
              </w:rPr>
              <w:t>Reserves as of</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w w:val="91"/>
              </w:rPr>
              <w:t>Reserves as of</w:t>
            </w:r>
          </w:p>
        </w:tc>
      </w:tr>
      <w:tr>
        <w:trPr>
          <w:trHeight w:val="270"/>
        </w:trPr>
        <w:tc>
          <w:tcPr>
            <w:tcW w:w="2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7"/>
              </w:rPr>
              <w:t>December 31,</w:t>
            </w:r>
          </w:p>
        </w:tc>
        <w:tc>
          <w:tcPr>
            <w:tcW w:w="200" w:type="dxa"/>
            <w:vAlign w:val="bottom"/>
          </w:tcPr>
          <w:p>
            <w:pPr>
              <w:spacing w:after="0"/>
              <w:rPr>
                <w:sz w:val="23"/>
                <w:szCs w:val="23"/>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2025</w:t>
            </w:r>
          </w:p>
        </w:tc>
        <w:tc>
          <w:tcPr>
            <w:tcW w:w="980" w:type="dxa"/>
            <w:vAlign w:val="bottom"/>
          </w:tcPr>
          <w:p>
            <w:pPr>
              <w:jc w:val="right"/>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w w:val="97"/>
              </w:rPr>
              <w:t>December 31,</w:t>
            </w:r>
          </w:p>
        </w:tc>
      </w:t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ACL - Loans</w:t>
            </w: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w w:val="95"/>
              </w:rPr>
              <w:t>Charge-Offs</w:t>
            </w:r>
          </w:p>
        </w:tc>
        <w:tc>
          <w:tcPr>
            <w:tcW w:w="980" w:type="dxa"/>
            <w:vAlign w:val="bottom"/>
          </w:tcPr>
          <w:p>
            <w:pPr>
              <w:jc w:val="right"/>
              <w:spacing w:after="0"/>
              <w:rPr>
                <w:sz w:val="20"/>
                <w:szCs w:val="20"/>
                <w:color w:val="auto"/>
              </w:rPr>
            </w:pPr>
            <w:r>
              <w:rPr>
                <w:rFonts w:ascii="Arial" w:cs="Arial" w:eastAsia="Arial" w:hAnsi="Arial"/>
                <w:sz w:val="18"/>
                <w:szCs w:val="18"/>
                <w:color w:val="auto"/>
              </w:rPr>
              <w:t>Recoveries</w:t>
            </w: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PCL</w:t>
            </w:r>
          </w:p>
        </w:tc>
        <w:tc>
          <w:tcPr>
            <w:tcW w:w="1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2025</w:t>
            </w:r>
          </w:p>
        </w:tc>
      </w:tr>
      <w:tr>
        <w:trPr>
          <w:trHeight w:val="46"/>
        </w:trPr>
        <w:tc>
          <w:tcPr>
            <w:tcW w:w="2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94"/>
        </w:trPr>
        <w:tc>
          <w:tcPr>
            <w:tcW w:w="2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(2,229) $</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17,849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18,142</w:t>
            </w:r>
          </w:p>
        </w:tc>
      </w:tr>
      <w:tr>
        <w:trPr>
          <w:trHeight w:val="278"/>
        </w:trPr>
        <w:tc>
          <w:tcPr>
            <w:tcW w:w="2500" w:type="dxa"/>
            <w:vAlign w:val="bottom"/>
          </w:tcPr>
          <w:p>
            <w:pPr>
              <w:ind w:left="220"/>
              <w:spacing w:after="0"/>
              <w:rPr>
                <w:sz w:val="20"/>
                <w:szCs w:val="20"/>
                <w:color w:val="auto"/>
              </w:rPr>
            </w:pPr>
            <w:r>
              <w:rPr>
                <w:rFonts w:ascii="Arial" w:cs="Arial" w:eastAsia="Arial" w:hAnsi="Arial"/>
                <w:sz w:val="18"/>
                <w:szCs w:val="18"/>
                <w:color w:val="auto"/>
              </w:rPr>
              <w:t>Overdraft</w:t>
            </w:r>
          </w:p>
        </w:tc>
        <w:tc>
          <w:tcPr>
            <w:tcW w:w="6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2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25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Pooled - quantitative</w:t>
            </w:r>
          </w:p>
        </w:tc>
        <w:tc>
          <w:tcPr>
            <w:tcW w:w="6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6,570</w:t>
            </w:r>
          </w:p>
        </w:tc>
        <w:tc>
          <w:tcPr>
            <w:tcW w:w="2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(1,041)</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2,559</w:t>
            </w:r>
          </w:p>
        </w:tc>
        <w:tc>
          <w:tcPr>
            <w:tcW w:w="16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8,336</w:t>
            </w:r>
          </w:p>
        </w:tc>
      </w:tr>
      <w:tr>
        <w:trPr>
          <w:trHeight w:val="278"/>
        </w:trPr>
        <w:tc>
          <w:tcPr>
            <w:tcW w:w="2500" w:type="dxa"/>
            <w:vAlign w:val="bottom"/>
          </w:tcPr>
          <w:p>
            <w:pPr>
              <w:ind w:left="220"/>
              <w:spacing w:after="0"/>
              <w:rPr>
                <w:sz w:val="20"/>
                <w:szCs w:val="20"/>
                <w:color w:val="auto"/>
              </w:rPr>
            </w:pPr>
            <w:r>
              <w:rPr>
                <w:rFonts w:ascii="Arial" w:cs="Arial" w:eastAsia="Arial" w:hAnsi="Arial"/>
                <w:sz w:val="18"/>
                <w:szCs w:val="18"/>
                <w:color w:val="auto"/>
              </w:rPr>
              <w:t>Pooled - qualitative</w:t>
            </w:r>
          </w:p>
        </w:tc>
        <w:tc>
          <w:tcPr>
            <w:tcW w:w="6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4,269</w:t>
            </w:r>
          </w:p>
        </w:tc>
        <w:tc>
          <w:tcPr>
            <w:tcW w:w="20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(4,101)</w:t>
            </w:r>
          </w:p>
        </w:tc>
        <w:tc>
          <w:tcPr>
            <w:tcW w:w="16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168</w:t>
            </w:r>
          </w:p>
        </w:tc>
      </w:tr>
      <w:tr>
        <w:trPr>
          <w:trHeight w:val="36"/>
        </w:trPr>
        <w:tc>
          <w:tcPr>
            <w:tcW w:w="2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304"/>
        </w:trPr>
        <w:tc>
          <w:tcPr>
            <w:tcW w:w="25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Purchased</w:t>
            </w:r>
          </w:p>
        </w:tc>
        <w:tc>
          <w:tcPr>
            <w:tcW w:w="6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2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(1,646)</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3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2,790</w:t>
            </w:r>
          </w:p>
        </w:tc>
      </w:tr>
      <w:tr>
        <w:trPr>
          <w:trHeight w:val="278"/>
        </w:trPr>
        <w:tc>
          <w:tcPr>
            <w:tcW w:w="2500" w:type="dxa"/>
            <w:vAlign w:val="bottom"/>
          </w:tcPr>
          <w:p>
            <w:pPr>
              <w:spacing w:after="0"/>
              <w:rPr>
                <w:sz w:val="20"/>
                <w:szCs w:val="20"/>
                <w:color w:val="auto"/>
              </w:rPr>
            </w:pPr>
            <w:r>
              <w:rPr>
                <w:rFonts w:ascii="Arial" w:cs="Arial" w:eastAsia="Arial" w:hAnsi="Arial"/>
                <w:sz w:val="18"/>
                <w:szCs w:val="18"/>
                <w:color w:val="auto"/>
              </w:rPr>
              <w:t>Total ACL - Loans</w:t>
            </w:r>
          </w:p>
        </w:tc>
        <w:tc>
          <w:tcPr>
            <w:tcW w:w="6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17,243</w:t>
            </w:r>
          </w:p>
        </w:tc>
        <w:tc>
          <w:tcPr>
            <w:tcW w:w="20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(5,040)</w:t>
            </w:r>
          </w:p>
        </w:tc>
        <w:tc>
          <w:tcPr>
            <w:tcW w:w="980" w:type="dxa"/>
            <w:vAlign w:val="bottom"/>
          </w:tcPr>
          <w:p>
            <w:pPr>
              <w:jc w:val="right"/>
              <w:spacing w:after="0"/>
              <w:rPr>
                <w:sz w:val="20"/>
                <w:szCs w:val="20"/>
                <w:color w:val="auto"/>
              </w:rPr>
            </w:pPr>
            <w:r>
              <w:rPr>
                <w:rFonts w:ascii="Arial" w:cs="Arial" w:eastAsia="Arial" w:hAnsi="Arial"/>
                <w:sz w:val="18"/>
                <w:szCs w:val="18"/>
                <w:color w:val="auto"/>
              </w:rPr>
              <w:t>830</w:t>
            </w:r>
          </w:p>
        </w:tc>
        <w:tc>
          <w:tcPr>
            <w:tcW w:w="38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16,403</w:t>
            </w:r>
          </w:p>
        </w:tc>
        <w:tc>
          <w:tcPr>
            <w:tcW w:w="16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29,436</w:t>
            </w:r>
          </w:p>
        </w:tc>
      </w:tr>
      <w:tr>
        <w:trPr>
          <w:trHeight w:val="36"/>
        </w:trPr>
        <w:tc>
          <w:tcPr>
            <w:tcW w:w="2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250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r>
      <w:tr>
        <w:trPr>
          <w:trHeight w:val="278"/>
        </w:trPr>
        <w:tc>
          <w:tcPr>
            <w:tcW w:w="2500" w:type="dxa"/>
            <w:vAlign w:val="bottom"/>
          </w:tcPr>
          <w:p>
            <w:pPr>
              <w:spacing w:after="0"/>
              <w:rPr>
                <w:sz w:val="20"/>
                <w:szCs w:val="20"/>
                <w:color w:val="auto"/>
              </w:rPr>
            </w:pPr>
            <w:r>
              <w:rPr>
                <w:rFonts w:ascii="Arial" w:cs="Arial" w:eastAsia="Arial" w:hAnsi="Arial"/>
                <w:sz w:val="18"/>
                <w:szCs w:val="18"/>
                <w:color w:val="auto"/>
              </w:rPr>
              <w:t>ACL - Held-To-Maturity</w:t>
            </w:r>
          </w:p>
        </w:tc>
        <w:tc>
          <w:tcPr>
            <w:tcW w:w="6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36"/>
        </w:trPr>
        <w:tc>
          <w:tcPr>
            <w:tcW w:w="2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250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r>
      <w:tr>
        <w:trPr>
          <w:trHeight w:val="248"/>
        </w:trPr>
        <w:tc>
          <w:tcPr>
            <w:tcW w:w="2500" w:type="dxa"/>
            <w:vAlign w:val="bottom"/>
          </w:tcPr>
          <w:p>
            <w:pPr>
              <w:spacing w:after="0"/>
              <w:rPr>
                <w:sz w:val="20"/>
                <w:szCs w:val="20"/>
                <w:color w:val="auto"/>
              </w:rPr>
            </w:pPr>
            <w:r>
              <w:rPr>
                <w:rFonts w:ascii="Arial" w:cs="Arial" w:eastAsia="Arial" w:hAnsi="Arial"/>
                <w:sz w:val="18"/>
                <w:szCs w:val="18"/>
                <w:color w:val="auto"/>
              </w:rPr>
              <w:t>Other Liabilities - Unfunded</w:t>
            </w: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Commitments</w:t>
            </w: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570</w:t>
            </w:r>
          </w:p>
        </w:tc>
      </w:tr>
      <w:tr>
        <w:trPr>
          <w:trHeight w:val="46"/>
        </w:trPr>
        <w:tc>
          <w:tcPr>
            <w:tcW w:w="2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8"/>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Total ACL</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(5,040) $</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16,342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30,182</w:t>
            </w:r>
          </w:p>
        </w:tc>
      </w:tr>
      <w:tr>
        <w:trPr>
          <w:trHeight w:val="81"/>
        </w:trPr>
        <w:tc>
          <w:tcPr>
            <w:tcW w:w="250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-2357120</wp:posOffset>
            </wp:positionV>
            <wp:extent cx="5967730" cy="63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-1352550</wp:posOffset>
            </wp:positionV>
            <wp:extent cx="5967730"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18</w:t>
      </w:r>
    </w:p>
    <w:p>
      <w:pPr>
        <w:sectPr>
          <w:pgSz w:w="11900" w:h="16838" w:orient="portrait"/>
          <w:cols w:equalWidth="0" w:num="1">
            <w:col w:w="9400"/>
          </w:cols>
          <w:pgMar w:left="1260" w:top="1175" w:right="1246" w:bottom="0" w:gutter="0" w:footer="0" w:header="0"/>
          <w:type w:val="continuous"/>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SERVICING</w:t>
      </w:r>
    </w:p>
    <w:p>
      <w:pPr>
        <w:spacing w:after="0" w:line="200" w:lineRule="exact"/>
        <w:rPr>
          <w:sz w:val="20"/>
          <w:szCs w:val="20"/>
          <w:color w:val="auto"/>
        </w:rPr>
      </w:pPr>
    </w:p>
    <w:p>
      <w:pPr>
        <w:jc w:val="both"/>
        <w:ind w:right="40"/>
        <w:spacing w:after="0" w:line="326" w:lineRule="auto"/>
        <w:rPr>
          <w:sz w:val="20"/>
          <w:szCs w:val="20"/>
          <w:color w:val="auto"/>
        </w:rPr>
      </w:pPr>
      <w:r>
        <w:rPr>
          <w:rFonts w:ascii="Arial" w:cs="Arial" w:eastAsia="Arial" w:hAnsi="Arial"/>
          <w:sz w:val="20"/>
          <w:szCs w:val="20"/>
          <w:color w:val="auto"/>
        </w:rPr>
        <w:t>Loans serviced for others are not included in the accompanying Consolidated Statements of Condition. At December 31, 2025 and 2024, the Bank serviced 566 and 527 residential mortgage loans for others, respectively. The unpaid principal balances of mortgage loans serviced for others were $61.0 million and $55.0 million at December 31, 2025 and 2024, respectively. The balance of capitalized servicing rights included in other assets at December 31, 2025 and 2024, was $294,000 and $289,000,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summarizes mortgage servicing rights capitalized and amortized: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900" w:type="dxa"/>
            <w:vAlign w:val="bottom"/>
          </w:tcPr>
          <w:p>
            <w:pPr>
              <w:spacing w:after="0"/>
              <w:rPr>
                <w:sz w:val="19"/>
                <w:szCs w:val="19"/>
                <w:color w:val="auto"/>
              </w:rPr>
            </w:pPr>
          </w:p>
        </w:tc>
        <w:tc>
          <w:tcPr>
            <w:tcW w:w="980" w:type="dxa"/>
            <w:vAlign w:val="bottom"/>
          </w:tcPr>
          <w:p>
            <w:pPr>
              <w:jc w:val="right"/>
              <w:ind w:right="27"/>
              <w:spacing w:after="0"/>
              <w:rPr>
                <w:sz w:val="20"/>
                <w:szCs w:val="20"/>
                <w:color w:val="auto"/>
              </w:rPr>
            </w:pPr>
            <w:r>
              <w:rPr>
                <w:rFonts w:ascii="Arial" w:cs="Arial" w:eastAsia="Arial" w:hAnsi="Arial"/>
                <w:sz w:val="20"/>
                <w:szCs w:val="20"/>
                <w:color w:val="auto"/>
              </w:rPr>
              <w:t>2025</w:t>
            </w:r>
          </w:p>
        </w:tc>
        <w:tc>
          <w:tcPr>
            <w:tcW w:w="560" w:type="dxa"/>
            <w:vAlign w:val="bottom"/>
          </w:tcPr>
          <w:p>
            <w:pPr>
              <w:spacing w:after="0"/>
              <w:rPr>
                <w:sz w:val="19"/>
                <w:szCs w:val="19"/>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color w:val="auto"/>
              </w:rPr>
              <w:t>2024</w:t>
            </w:r>
          </w:p>
        </w:tc>
      </w:tr>
      <w:tr>
        <w:trPr>
          <w:trHeight w:val="310"/>
        </w:trPr>
        <w:tc>
          <w:tcPr>
            <w:tcW w:w="5980" w:type="dxa"/>
            <w:vAlign w:val="bottom"/>
          </w:tcPr>
          <w:p>
            <w:pPr>
              <w:spacing w:after="0"/>
              <w:rPr>
                <w:sz w:val="20"/>
                <w:szCs w:val="20"/>
                <w:color w:val="auto"/>
              </w:rPr>
            </w:pPr>
            <w:r>
              <w:rPr>
                <w:rFonts w:ascii="Arial" w:cs="Arial" w:eastAsia="Arial" w:hAnsi="Arial"/>
                <w:sz w:val="20"/>
                <w:szCs w:val="20"/>
                <w:color w:val="auto"/>
              </w:rPr>
              <w:t>Mortgage servicing rights capitalized</w:t>
            </w:r>
          </w:p>
        </w:tc>
        <w:tc>
          <w:tcPr>
            <w:tcW w:w="900" w:type="dxa"/>
            <w:vAlign w:val="bottom"/>
          </w:tcPr>
          <w:p>
            <w:pPr>
              <w:jc w:val="right"/>
              <w:ind w:right="287"/>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7"/>
              <w:spacing w:after="0"/>
              <w:rPr>
                <w:sz w:val="20"/>
                <w:szCs w:val="20"/>
                <w:color w:val="auto"/>
              </w:rPr>
            </w:pPr>
            <w:r>
              <w:rPr>
                <w:rFonts w:ascii="Arial" w:cs="Arial" w:eastAsia="Arial" w:hAnsi="Arial"/>
                <w:sz w:val="20"/>
                <w:szCs w:val="20"/>
                <w:color w:val="auto"/>
              </w:rPr>
              <w:t>107</w:t>
            </w:r>
          </w:p>
        </w:tc>
        <w:tc>
          <w:tcPr>
            <w:tcW w:w="560" w:type="dxa"/>
            <w:vAlign w:val="bottom"/>
          </w:tcPr>
          <w:p>
            <w:pPr>
              <w:jc w:val="right"/>
              <w:ind w:right="267"/>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7"/>
              <w:spacing w:after="0"/>
              <w:rPr>
                <w:sz w:val="20"/>
                <w:szCs w:val="20"/>
                <w:color w:val="auto"/>
              </w:rPr>
            </w:pPr>
            <w:r>
              <w:rPr>
                <w:rFonts w:ascii="Arial" w:cs="Arial" w:eastAsia="Arial" w:hAnsi="Arial"/>
                <w:sz w:val="20"/>
                <w:szCs w:val="20"/>
                <w:color w:val="auto"/>
              </w:rPr>
              <w:t>50</w:t>
            </w:r>
          </w:p>
        </w:tc>
      </w:tr>
      <w:tr>
        <w:trPr>
          <w:trHeight w:val="41"/>
        </w:trPr>
        <w:tc>
          <w:tcPr>
            <w:tcW w:w="5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0"/>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Mortgage servicing rights amortized</w:t>
            </w:r>
          </w:p>
        </w:tc>
        <w:tc>
          <w:tcPr>
            <w:tcW w:w="9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20"/>
                <w:szCs w:val="20"/>
                <w:color w:val="auto"/>
              </w:rPr>
              <w:t>101</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20"/>
                <w:szCs w:val="20"/>
                <w:color w:val="auto"/>
              </w:rPr>
              <w:t>91</w:t>
            </w:r>
          </w:p>
        </w:tc>
      </w:tr>
      <w:tr>
        <w:trPr>
          <w:trHeight w:val="919"/>
        </w:trPr>
        <w:tc>
          <w:tcPr>
            <w:tcW w:w="5980" w:type="dxa"/>
            <w:vAlign w:val="bottom"/>
          </w:tcPr>
          <w:p>
            <w:pPr>
              <w:spacing w:after="0"/>
              <w:rPr>
                <w:sz w:val="20"/>
                <w:szCs w:val="20"/>
                <w:color w:val="auto"/>
              </w:rPr>
            </w:pPr>
            <w:r>
              <w:rPr>
                <w:rFonts w:ascii="Arial" w:cs="Arial" w:eastAsia="Arial" w:hAnsi="Arial"/>
                <w:sz w:val="20"/>
                <w:szCs w:val="20"/>
                <w:b w:val="1"/>
                <w:bCs w:val="1"/>
                <w:color w:val="auto"/>
              </w:rPr>
              <w:t>NOTE 8: PREMISES AND EQUIPMENT</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0"/>
        </w:trPr>
        <w:tc>
          <w:tcPr>
            <w:tcW w:w="5980" w:type="dxa"/>
            <w:vAlign w:val="bottom"/>
          </w:tcPr>
          <w:p>
            <w:pPr>
              <w:spacing w:after="0"/>
              <w:rPr>
                <w:sz w:val="20"/>
                <w:szCs w:val="20"/>
                <w:color w:val="auto"/>
              </w:rPr>
            </w:pPr>
            <w:r>
              <w:rPr>
                <w:rFonts w:ascii="Arial" w:cs="Arial" w:eastAsia="Arial" w:hAnsi="Arial"/>
                <w:sz w:val="20"/>
                <w:szCs w:val="20"/>
                <w:color w:val="auto"/>
                <w:w w:val="96"/>
              </w:rPr>
              <w:t>A summary of premises and equipment at December 31 is as follows:</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9"/>
        </w:trPr>
        <w:tc>
          <w:tcPr>
            <w:tcW w:w="59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4"/>
                <w:szCs w:val="24"/>
                <w:color w:val="auto"/>
              </w:rPr>
            </w:pPr>
          </w:p>
        </w:tc>
        <w:tc>
          <w:tcPr>
            <w:tcW w:w="980" w:type="dxa"/>
            <w:vAlign w:val="bottom"/>
          </w:tcPr>
          <w:p>
            <w:pPr>
              <w:jc w:val="right"/>
              <w:ind w:right="47"/>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Arial" w:cs="Arial" w:eastAsia="Arial" w:hAnsi="Arial"/>
                <w:sz w:val="18"/>
                <w:szCs w:val="18"/>
                <w:color w:val="auto"/>
              </w:rPr>
              <w:t>2024</w:t>
            </w:r>
          </w:p>
        </w:tc>
      </w:tr>
      <w:tr>
        <w:trPr>
          <w:trHeight w:val="46"/>
        </w:trPr>
        <w:tc>
          <w:tcPr>
            <w:tcW w:w="5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900" w:type="dxa"/>
            <w:vAlign w:val="bottom"/>
            <w:tcBorders>
              <w:bottom w:val="single" w:sz="8" w:color="CFF0FC"/>
            </w:tcBorders>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8"/>
                <w:szCs w:val="18"/>
                <w:color w:val="auto"/>
              </w:rPr>
              <w:t>2,553</w:t>
            </w:r>
          </w:p>
        </w:tc>
        <w:tc>
          <w:tcPr>
            <w:tcW w:w="560" w:type="dxa"/>
            <w:vAlign w:val="bottom"/>
            <w:tcBorders>
              <w:bottom w:val="single" w:sz="8" w:color="CFF0FC"/>
            </w:tcBorders>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18"/>
                <w:szCs w:val="18"/>
                <w:color w:val="auto"/>
              </w:rPr>
              <w:t>2,661</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Buildings</w:t>
            </w:r>
          </w:p>
        </w:tc>
        <w:tc>
          <w:tcPr>
            <w:tcW w:w="900" w:type="dxa"/>
            <w:vAlign w:val="bottom"/>
          </w:tcPr>
          <w:p>
            <w:pPr>
              <w:spacing w:after="0"/>
              <w:rPr>
                <w:sz w:val="23"/>
                <w:szCs w:val="23"/>
                <w:color w:val="auto"/>
              </w:rPr>
            </w:pPr>
          </w:p>
        </w:tc>
        <w:tc>
          <w:tcPr>
            <w:tcW w:w="980" w:type="dxa"/>
            <w:vAlign w:val="bottom"/>
          </w:tcPr>
          <w:p>
            <w:pPr>
              <w:jc w:val="right"/>
              <w:ind w:right="47"/>
              <w:spacing w:after="0"/>
              <w:rPr>
                <w:sz w:val="20"/>
                <w:szCs w:val="20"/>
                <w:color w:val="auto"/>
              </w:rPr>
            </w:pPr>
            <w:r>
              <w:rPr>
                <w:rFonts w:ascii="Arial" w:cs="Arial" w:eastAsia="Arial" w:hAnsi="Arial"/>
                <w:sz w:val="18"/>
                <w:szCs w:val="18"/>
                <w:color w:val="auto"/>
              </w:rPr>
              <w:t>21,225</w:t>
            </w:r>
          </w:p>
        </w:tc>
        <w:tc>
          <w:tcPr>
            <w:tcW w:w="560" w:type="dxa"/>
            <w:vAlign w:val="bottom"/>
          </w:tcPr>
          <w:p>
            <w:pPr>
              <w:spacing w:after="0"/>
              <w:rPr>
                <w:sz w:val="23"/>
                <w:szCs w:val="23"/>
                <w:color w:val="auto"/>
              </w:rPr>
            </w:pPr>
          </w:p>
        </w:tc>
        <w:tc>
          <w:tcPr>
            <w:tcW w:w="980" w:type="dxa"/>
            <w:vAlign w:val="bottom"/>
          </w:tcPr>
          <w:p>
            <w:pPr>
              <w:jc w:val="right"/>
              <w:ind w:right="27"/>
              <w:spacing w:after="0"/>
              <w:rPr>
                <w:sz w:val="20"/>
                <w:szCs w:val="20"/>
                <w:color w:val="auto"/>
              </w:rPr>
            </w:pPr>
            <w:r>
              <w:rPr>
                <w:rFonts w:ascii="Arial" w:cs="Arial" w:eastAsia="Arial" w:hAnsi="Arial"/>
                <w:sz w:val="18"/>
                <w:szCs w:val="18"/>
                <w:color w:val="auto"/>
              </w:rPr>
              <w:t>20,916</w:t>
            </w:r>
          </w:p>
        </w:tc>
      </w:tr>
      <w:tr>
        <w:trPr>
          <w:trHeight w:val="45"/>
        </w:trPr>
        <w:tc>
          <w:tcPr>
            <w:tcW w:w="5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Furniture, fixtures and equipment</w:t>
            </w:r>
          </w:p>
        </w:tc>
        <w:tc>
          <w:tcPr>
            <w:tcW w:w="9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8"/>
                <w:szCs w:val="18"/>
                <w:color w:val="auto"/>
              </w:rPr>
              <w:t>20,057</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18"/>
                <w:szCs w:val="18"/>
                <w:color w:val="auto"/>
              </w:rPr>
              <w:t>19,471</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00" w:type="dxa"/>
            <w:vAlign w:val="bottom"/>
          </w:tcPr>
          <w:p>
            <w:pPr>
              <w:spacing w:after="0"/>
              <w:rPr>
                <w:sz w:val="23"/>
                <w:szCs w:val="23"/>
                <w:color w:val="auto"/>
              </w:rPr>
            </w:pPr>
          </w:p>
        </w:tc>
        <w:tc>
          <w:tcPr>
            <w:tcW w:w="980" w:type="dxa"/>
            <w:vAlign w:val="bottom"/>
          </w:tcPr>
          <w:p>
            <w:pPr>
              <w:jc w:val="right"/>
              <w:ind w:right="47"/>
              <w:spacing w:after="0"/>
              <w:rPr>
                <w:sz w:val="20"/>
                <w:szCs w:val="20"/>
                <w:color w:val="auto"/>
              </w:rPr>
            </w:pPr>
            <w:r>
              <w:rPr>
                <w:rFonts w:ascii="Arial" w:cs="Arial" w:eastAsia="Arial" w:hAnsi="Arial"/>
                <w:sz w:val="18"/>
                <w:szCs w:val="18"/>
                <w:color w:val="auto"/>
              </w:rPr>
              <w:t>546</w:t>
            </w:r>
          </w:p>
        </w:tc>
        <w:tc>
          <w:tcPr>
            <w:tcW w:w="560" w:type="dxa"/>
            <w:vAlign w:val="bottom"/>
          </w:tcPr>
          <w:p>
            <w:pPr>
              <w:spacing w:after="0"/>
              <w:rPr>
                <w:sz w:val="23"/>
                <w:szCs w:val="23"/>
                <w:color w:val="auto"/>
              </w:rPr>
            </w:pPr>
          </w:p>
        </w:tc>
        <w:tc>
          <w:tcPr>
            <w:tcW w:w="980" w:type="dxa"/>
            <w:vAlign w:val="bottom"/>
          </w:tcPr>
          <w:p>
            <w:pPr>
              <w:jc w:val="right"/>
              <w:ind w:right="27"/>
              <w:spacing w:after="0"/>
              <w:rPr>
                <w:sz w:val="20"/>
                <w:szCs w:val="20"/>
                <w:color w:val="auto"/>
              </w:rPr>
            </w:pPr>
            <w:r>
              <w:rPr>
                <w:rFonts w:ascii="Arial" w:cs="Arial" w:eastAsia="Arial" w:hAnsi="Arial"/>
                <w:sz w:val="18"/>
                <w:szCs w:val="18"/>
                <w:color w:val="auto"/>
              </w:rPr>
              <w:t>956</w:t>
            </w:r>
          </w:p>
        </w:tc>
      </w:tr>
      <w:tr>
        <w:trPr>
          <w:trHeight w:val="55"/>
        </w:trPr>
        <w:tc>
          <w:tcPr>
            <w:tcW w:w="5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59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8"/>
                <w:szCs w:val="18"/>
                <w:color w:val="auto"/>
              </w:rPr>
              <w:t>44,381</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18"/>
                <w:szCs w:val="18"/>
                <w:color w:val="auto"/>
              </w:rPr>
              <w:t>44,004</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00" w:type="dxa"/>
            <w:vAlign w:val="bottom"/>
          </w:tcPr>
          <w:p>
            <w:pPr>
              <w:spacing w:after="0"/>
              <w:rPr>
                <w:sz w:val="23"/>
                <w:szCs w:val="23"/>
                <w:color w:val="auto"/>
              </w:rPr>
            </w:pPr>
          </w:p>
        </w:tc>
        <w:tc>
          <w:tcPr>
            <w:tcW w:w="980" w:type="dxa"/>
            <w:vAlign w:val="bottom"/>
          </w:tcPr>
          <w:p>
            <w:pPr>
              <w:jc w:val="right"/>
              <w:ind w:right="47"/>
              <w:spacing w:after="0"/>
              <w:rPr>
                <w:sz w:val="20"/>
                <w:szCs w:val="20"/>
                <w:color w:val="auto"/>
              </w:rPr>
            </w:pPr>
            <w:r>
              <w:rPr>
                <w:rFonts w:ascii="Arial" w:cs="Arial" w:eastAsia="Arial" w:hAnsi="Arial"/>
                <w:sz w:val="18"/>
                <w:szCs w:val="18"/>
                <w:color w:val="auto"/>
              </w:rPr>
              <w:t>26,373</w:t>
            </w:r>
          </w:p>
        </w:tc>
        <w:tc>
          <w:tcPr>
            <w:tcW w:w="560" w:type="dxa"/>
            <w:vAlign w:val="bottom"/>
          </w:tcPr>
          <w:p>
            <w:pPr>
              <w:spacing w:after="0"/>
              <w:rPr>
                <w:sz w:val="23"/>
                <w:szCs w:val="23"/>
                <w:color w:val="auto"/>
              </w:rPr>
            </w:pPr>
          </w:p>
        </w:tc>
        <w:tc>
          <w:tcPr>
            <w:tcW w:w="980" w:type="dxa"/>
            <w:vAlign w:val="bottom"/>
          </w:tcPr>
          <w:p>
            <w:pPr>
              <w:jc w:val="right"/>
              <w:ind w:right="27"/>
              <w:spacing w:after="0"/>
              <w:rPr>
                <w:sz w:val="20"/>
                <w:szCs w:val="20"/>
                <w:color w:val="auto"/>
              </w:rPr>
            </w:pPr>
            <w:r>
              <w:rPr>
                <w:rFonts w:ascii="Arial" w:cs="Arial" w:eastAsia="Arial" w:hAnsi="Arial"/>
                <w:sz w:val="18"/>
                <w:szCs w:val="18"/>
                <w:color w:val="auto"/>
              </w:rPr>
              <w:t>24,995</w:t>
            </w:r>
          </w:p>
        </w:tc>
      </w:tr>
      <w:tr>
        <w:trPr>
          <w:trHeight w:val="55"/>
        </w:trPr>
        <w:tc>
          <w:tcPr>
            <w:tcW w:w="5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48"/>
        </w:trPr>
        <w:tc>
          <w:tcPr>
            <w:tcW w:w="59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47"/>
              <w:spacing w:after="0"/>
              <w:rPr>
                <w:sz w:val="20"/>
                <w:szCs w:val="20"/>
                <w:color w:val="auto"/>
              </w:rPr>
            </w:pPr>
            <w:r>
              <w:rPr>
                <w:rFonts w:ascii="Arial" w:cs="Arial" w:eastAsia="Arial" w:hAnsi="Arial"/>
                <w:sz w:val="18"/>
                <w:szCs w:val="18"/>
                <w:color w:val="auto"/>
              </w:rPr>
              <w:t>18,008</w:t>
            </w:r>
          </w:p>
        </w:tc>
        <w:tc>
          <w:tcPr>
            <w:tcW w:w="560" w:type="dxa"/>
            <w:vAlign w:val="bottom"/>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7"/>
              <w:spacing w:after="0"/>
              <w:rPr>
                <w:sz w:val="20"/>
                <w:szCs w:val="20"/>
                <w:color w:val="auto"/>
              </w:rPr>
            </w:pPr>
            <w:r>
              <w:rPr>
                <w:rFonts w:ascii="Arial" w:cs="Arial" w:eastAsia="Arial" w:hAnsi="Arial"/>
                <w:sz w:val="18"/>
                <w:szCs w:val="18"/>
                <w:color w:val="auto"/>
              </w:rPr>
              <w:t>19,009</w:t>
            </w:r>
          </w:p>
        </w:tc>
      </w:tr>
      <w:tr>
        <w:trPr>
          <w:trHeight w:val="81"/>
        </w:trPr>
        <w:tc>
          <w:tcPr>
            <w:tcW w:w="598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-2971165</wp:posOffset>
            </wp:positionV>
            <wp:extent cx="5967730"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-2583815</wp:posOffset>
            </wp:positionV>
            <wp:extent cx="5967730"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-1425575</wp:posOffset>
            </wp:positionV>
            <wp:extent cx="5967730"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-620395</wp:posOffset>
            </wp:positionV>
            <wp:extent cx="5967730" cy="6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5967730"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Depreciation expense in 2025 and 2024 was $1.4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FORECLOSED REAL ESTATE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 summary of foreclosed real estate at December 31 is as follows: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2060" w:type="dxa"/>
            <w:vAlign w:val="bottom"/>
          </w:tcPr>
          <w:p>
            <w:pPr>
              <w:jc w:val="center"/>
              <w:ind w:left="1000"/>
              <w:spacing w:after="0"/>
              <w:rPr>
                <w:sz w:val="20"/>
                <w:szCs w:val="20"/>
                <w:color w:val="auto"/>
              </w:rPr>
            </w:pPr>
            <w:r>
              <w:rPr>
                <w:rFonts w:ascii="Arial" w:cs="Arial" w:eastAsia="Arial" w:hAnsi="Arial"/>
                <w:sz w:val="20"/>
                <w:szCs w:val="20"/>
                <w:color w:val="auto"/>
                <w:w w:val="94"/>
              </w:rPr>
              <w:t>Number of</w:t>
            </w:r>
          </w:p>
        </w:tc>
        <w:tc>
          <w:tcPr>
            <w:tcW w:w="24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20"/>
                <w:szCs w:val="20"/>
                <w:color w:val="auto"/>
              </w:rPr>
              <w:t>December 31,</w:t>
            </w:r>
          </w:p>
        </w:tc>
        <w:tc>
          <w:tcPr>
            <w:tcW w:w="10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1640" w:type="dxa"/>
            <w:vAlign w:val="bottom"/>
            <w:gridSpan w:val="2"/>
          </w:tcPr>
          <w:p>
            <w:pPr>
              <w:jc w:val="center"/>
              <w:ind w:left="100"/>
              <w:spacing w:after="0"/>
              <w:rPr>
                <w:sz w:val="20"/>
                <w:szCs w:val="20"/>
                <w:color w:val="auto"/>
              </w:rPr>
            </w:pPr>
            <w:r>
              <w:rPr>
                <w:rFonts w:ascii="Arial" w:cs="Arial" w:eastAsia="Arial" w:hAnsi="Arial"/>
                <w:sz w:val="20"/>
                <w:szCs w:val="20"/>
                <w:color w:val="auto"/>
                <w:w w:val="89"/>
              </w:rPr>
              <w:t>December 31,</w:t>
            </w:r>
          </w:p>
        </w:tc>
      </w:tr>
      <w:tr>
        <w:trPr>
          <w:trHeight w:val="300"/>
        </w:trPr>
        <w:tc>
          <w:tcPr>
            <w:tcW w:w="294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2060" w:type="dxa"/>
            <w:vAlign w:val="bottom"/>
          </w:tcPr>
          <w:p>
            <w:pPr>
              <w:jc w:val="center"/>
              <w:ind w:left="1040"/>
              <w:spacing w:after="0"/>
              <w:rPr>
                <w:sz w:val="20"/>
                <w:szCs w:val="20"/>
                <w:color w:val="auto"/>
              </w:rPr>
            </w:pPr>
            <w:r>
              <w:rPr>
                <w:rFonts w:ascii="Arial" w:cs="Arial" w:eastAsia="Arial" w:hAnsi="Arial"/>
                <w:sz w:val="20"/>
                <w:szCs w:val="20"/>
                <w:color w:val="auto"/>
                <w:w w:val="89"/>
              </w:rPr>
              <w:t>properties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440"/>
              <w:spacing w:after="0"/>
              <w:rPr>
                <w:sz w:val="20"/>
                <w:szCs w:val="20"/>
                <w:color w:val="auto"/>
              </w:rPr>
            </w:pPr>
            <w:r>
              <w:rPr>
                <w:rFonts w:ascii="Arial" w:cs="Arial" w:eastAsia="Arial" w:hAnsi="Arial"/>
                <w:sz w:val="20"/>
                <w:szCs w:val="20"/>
                <w:color w:val="auto"/>
              </w:rPr>
              <w:t>2025</w:t>
            </w:r>
          </w:p>
        </w:tc>
        <w:tc>
          <w:tcPr>
            <w:tcW w:w="1080" w:type="dxa"/>
            <w:vAlign w:val="bottom"/>
          </w:tcPr>
          <w:p>
            <w:pPr>
              <w:jc w:val="center"/>
              <w:ind w:left="60"/>
              <w:spacing w:after="0"/>
              <w:rPr>
                <w:sz w:val="20"/>
                <w:szCs w:val="20"/>
                <w:color w:val="auto"/>
              </w:rPr>
            </w:pPr>
            <w:r>
              <w:rPr>
                <w:rFonts w:ascii="Arial" w:cs="Arial" w:eastAsia="Arial" w:hAnsi="Arial"/>
                <w:sz w:val="20"/>
                <w:szCs w:val="20"/>
                <w:color w:val="auto"/>
                <w:w w:val="89"/>
              </w:rPr>
              <w:t>properties</w:t>
            </w:r>
          </w:p>
        </w:tc>
        <w:tc>
          <w:tcPr>
            <w:tcW w:w="600" w:type="dxa"/>
            <w:vAlign w:val="bottom"/>
          </w:tcPr>
          <w:p>
            <w:pPr>
              <w:spacing w:after="0"/>
              <w:rPr>
                <w:sz w:val="24"/>
                <w:szCs w:val="24"/>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color w:val="auto"/>
              </w:rPr>
              <w:t>2024</w:t>
            </w:r>
          </w:p>
        </w:tc>
      </w:tr>
      <w:tr>
        <w:trPr>
          <w:trHeight w:val="51"/>
        </w:trPr>
        <w:tc>
          <w:tcPr>
            <w:tcW w:w="29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9"/>
        </w:trPr>
        <w:tc>
          <w:tcPr>
            <w:tcW w:w="2940" w:type="dxa"/>
            <w:vAlign w:val="bottom"/>
            <w:shd w:val="clear" w:color="auto" w:fill="CFF0FC"/>
          </w:tcPr>
          <w:p>
            <w:pPr>
              <w:ind w:left="60"/>
              <w:spacing w:after="0"/>
              <w:rPr>
                <w:sz w:val="20"/>
                <w:szCs w:val="20"/>
                <w:color w:val="auto"/>
              </w:rPr>
            </w:pPr>
            <w:r>
              <w:rPr>
                <w:rFonts w:ascii="Arial" w:cs="Arial" w:eastAsia="Arial" w:hAnsi="Arial"/>
                <w:sz w:val="20"/>
                <w:szCs w:val="20"/>
                <w:color w:val="auto"/>
              </w:rPr>
              <w:t>Foreclosed real estate</w:t>
            </w:r>
          </w:p>
        </w:tc>
        <w:tc>
          <w:tcPr>
            <w:tcW w:w="2060" w:type="dxa"/>
            <w:vAlign w:val="bottom"/>
            <w:shd w:val="clear" w:color="auto" w:fill="CFF0FC"/>
          </w:tcPr>
          <w:p>
            <w:pPr>
              <w:spacing w:after="0"/>
              <w:rPr>
                <w:sz w:val="22"/>
                <w:szCs w:val="2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3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137</w:t>
            </w:r>
          </w:p>
        </w:tc>
        <w:tc>
          <w:tcPr>
            <w:tcW w:w="108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  $</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86"/>
        </w:trPr>
        <w:tc>
          <w:tcPr>
            <w:tcW w:w="2940" w:type="dxa"/>
            <w:vAlign w:val="bottom"/>
            <w:shd w:val="clear" w:color="auto" w:fill="CFF0FC"/>
          </w:tcPr>
          <w:p>
            <w:pPr>
              <w:spacing w:after="0"/>
              <w:rPr>
                <w:sz w:val="7"/>
                <w:szCs w:val="7"/>
                <w:color w:val="auto"/>
              </w:rPr>
            </w:pPr>
          </w:p>
        </w:tc>
        <w:tc>
          <w:tcPr>
            <w:tcW w:w="20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5967730"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both"/>
        <w:ind w:right="100"/>
        <w:spacing w:after="0" w:line="302" w:lineRule="auto"/>
        <w:rPr>
          <w:sz w:val="20"/>
          <w:szCs w:val="20"/>
          <w:color w:val="auto"/>
        </w:rPr>
      </w:pPr>
      <w:r>
        <w:rPr>
          <w:rFonts w:ascii="Arial" w:cs="Arial" w:eastAsia="Arial" w:hAnsi="Arial"/>
          <w:sz w:val="20"/>
          <w:szCs w:val="20"/>
          <w:color w:val="auto"/>
        </w:rPr>
        <w:t>At December 31, 2025 and 2024, the Company reported $698,000 and $1.2 million, respectively, in real estate loans in the process of foreclosure.</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GOODWILL AND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18</w:t>
      </w:r>
    </w:p>
    <w:p>
      <w:pPr>
        <w:sectPr>
          <w:pgSz w:w="11900" w:h="16838" w:orient="portrait"/>
          <w:cols w:equalWidth="0" w:num="1">
            <w:col w:w="9400"/>
          </w:cols>
          <w:pgMar w:left="1260" w:top="1440" w:right="1246" w:bottom="0" w:gutter="0" w:footer="0" w:header="0"/>
          <w:type w:val="continuous"/>
        </w:sectPr>
      </w:pPr>
    </w:p>
    <w:bookmarkStart w:id="204" w:name="page205"/>
    <w:bookmarkEnd w:id="204"/>
    <w:p>
      <w:pPr>
        <w:jc w:val="both"/>
        <w:spacing w:after="0" w:line="310" w:lineRule="auto"/>
        <w:rPr>
          <w:sz w:val="20"/>
          <w:szCs w:val="20"/>
          <w:color w:val="auto"/>
        </w:rPr>
      </w:pPr>
      <w:r>
        <w:rPr>
          <w:rFonts w:ascii="Arial" w:cs="Arial" w:eastAsia="Arial" w:hAnsi="Arial"/>
          <w:sz w:val="20"/>
          <w:szCs w:val="20"/>
          <w:color w:val="auto"/>
        </w:rPr>
        <w:t>Goodwill represents the excess cost of an acquisition over the fair value of the net assets acquired. Goodwill is not amortized, but is evaluated annually for impairment or between annual evaluations in certain circumstances. Management performs an annual assessment of the Company’s goodwill to determine whether or not any impairment of the carrying value may exist. There was no impairment of goodwill recorded during the years ended December 31, 2025 or 2024.</w:t>
      </w:r>
    </w:p>
    <w:p>
      <w:pPr>
        <w:spacing w:after="0" w:line="135"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Of the $5.1 million of goodwill carried on the Company’s books as of December 31, 2025, $3.8 million of this amount was due to prior acquisitions of bank branches. Approximately $1.2 million of goodwill was established for the 2024 acquisition of the East Syracuse branch from Berkshire Bank.</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 / 18</w:t>
      </w:r>
    </w:p>
    <w:p>
      <w:pPr>
        <w:sectPr>
          <w:pgSz w:w="11900" w:h="16838" w:orient="portrait"/>
          <w:cols w:equalWidth="0" w:num="1">
            <w:col w:w="9340"/>
          </w:cols>
          <w:pgMar w:left="1260" w:top="1173" w:right="1306" w:bottom="0" w:gutter="0" w:footer="0" w:header="0"/>
          <w:type w:val="continuous"/>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Intangible Assets</w:t>
      </w:r>
    </w:p>
    <w:p>
      <w:pPr>
        <w:spacing w:after="0" w:line="200"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In addition to goodwill, the Company recorded a core deposit intangible and a fair value premium as a result of the 2024 East Syracuse branch acquisition. Core deposit intangible (“CDI”) represents a premium paid to acquire the core deposits of an institution and is recorded as an intangible asset. In July 2024, a core deposit intangible of $6.3 million was established to be amortized on a straight-line basis over 10 years. For the years ended December 31, 2025 and 2024, the Company recognized approximately $627,000 and $282,000 of amortization expense related to the CDI, respectively. The weighted average remaining amortization period of this intangible is 8.6 years.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The gross carrying amount and annual amortization for intangible assets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20"/>
                <w:szCs w:val="20"/>
                <w:color w:val="auto"/>
              </w:rPr>
              <w:t>December 31,</w:t>
            </w:r>
          </w:p>
        </w:tc>
        <w:tc>
          <w:tcPr>
            <w:tcW w:w="900" w:type="dxa"/>
            <w:vAlign w:val="bottom"/>
          </w:tcPr>
          <w:p>
            <w:pPr>
              <w:spacing w:after="0"/>
              <w:rPr>
                <w:sz w:val="19"/>
                <w:szCs w:val="19"/>
                <w:color w:val="auto"/>
              </w:rPr>
            </w:pPr>
          </w:p>
        </w:tc>
      </w:tr>
      <w:tr>
        <w:trPr>
          <w:trHeight w:val="324"/>
        </w:trPr>
        <w:tc>
          <w:tcPr>
            <w:tcW w:w="404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2500" w:type="dxa"/>
            <w:vAlign w:val="bottom"/>
          </w:tcPr>
          <w:p>
            <w:pPr>
              <w:spacing w:after="0"/>
              <w:rPr>
                <w:sz w:val="24"/>
                <w:szCs w:val="24"/>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2025</w:t>
            </w:r>
          </w:p>
        </w:tc>
        <w:tc>
          <w:tcPr>
            <w:tcW w:w="8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51"/>
        </w:trPr>
        <w:tc>
          <w:tcPr>
            <w:tcW w:w="40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94"/>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Gross carrying amount</w:t>
            </w:r>
          </w:p>
        </w:tc>
        <w:tc>
          <w:tcPr>
            <w:tcW w:w="2500" w:type="dxa"/>
            <w:vAlign w:val="bottom"/>
            <w:tcBorders>
              <w:bottom w:val="single" w:sz="8" w:color="CFF0FC"/>
            </w:tcBorders>
            <w:shd w:val="clear" w:color="auto" w:fill="CFF0FC"/>
          </w:tcPr>
          <w:p>
            <w:pPr>
              <w:jc w:val="right"/>
              <w:ind w:right="38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6,271</w:t>
            </w:r>
          </w:p>
        </w:tc>
        <w:tc>
          <w:tcPr>
            <w:tcW w:w="84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6,271</w:t>
            </w:r>
          </w:p>
        </w:tc>
      </w:tr>
      <w:tr>
        <w:trPr>
          <w:trHeight w:val="274"/>
        </w:trPr>
        <w:tc>
          <w:tcPr>
            <w:tcW w:w="404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25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(909)</w:t>
            </w:r>
          </w:p>
        </w:tc>
        <w:tc>
          <w:tcPr>
            <w:tcW w:w="8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(282)</w:t>
            </w:r>
          </w:p>
        </w:tc>
      </w:tr>
      <w:tr>
        <w:trPr>
          <w:trHeight w:val="51"/>
        </w:trPr>
        <w:tc>
          <w:tcPr>
            <w:tcW w:w="40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4"/>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Intangible assets, net</w:t>
            </w:r>
          </w:p>
        </w:tc>
        <w:tc>
          <w:tcPr>
            <w:tcW w:w="2500" w:type="dxa"/>
            <w:vAlign w:val="bottom"/>
            <w:shd w:val="clear" w:color="auto" w:fill="CFF0FC"/>
          </w:tcPr>
          <w:p>
            <w:pPr>
              <w:jc w:val="right"/>
              <w:ind w:right="3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5,362</w:t>
            </w:r>
          </w:p>
        </w:tc>
        <w:tc>
          <w:tcPr>
            <w:tcW w:w="840" w:type="dxa"/>
            <w:vAlign w:val="bottom"/>
            <w:shd w:val="clear" w:color="auto" w:fill="CFF0FC"/>
          </w:tcPr>
          <w:p>
            <w:pPr>
              <w:jc w:val="right"/>
              <w:ind w:right="54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5,989</w:t>
            </w:r>
          </w:p>
        </w:tc>
      </w:tr>
      <w:tr>
        <w:trPr>
          <w:trHeight w:val="86"/>
        </w:trPr>
        <w:tc>
          <w:tcPr>
            <w:tcW w:w="4040" w:type="dxa"/>
            <w:vAlign w:val="bottom"/>
            <w:shd w:val="clear" w:color="auto" w:fill="CFF0FC"/>
          </w:tcPr>
          <w:p>
            <w:pPr>
              <w:spacing w:after="0"/>
              <w:rPr>
                <w:sz w:val="7"/>
                <w:szCs w:val="7"/>
                <w:color w:val="auto"/>
              </w:rPr>
            </w:pPr>
          </w:p>
        </w:tc>
        <w:tc>
          <w:tcPr>
            <w:tcW w:w="250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-845820</wp:posOffset>
            </wp:positionV>
            <wp:extent cx="2185035"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8503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-639445</wp:posOffset>
            </wp:positionV>
            <wp:extent cx="5967730"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The estimated amortization expense for each of the five succeeding years ended December 31, is as follows: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406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627</w:t>
            </w:r>
          </w:p>
        </w:tc>
      </w:tr>
      <w:tr>
        <w:trPr>
          <w:trHeight w:val="274"/>
        </w:trPr>
        <w:tc>
          <w:tcPr>
            <w:tcW w:w="4100" w:type="dxa"/>
            <w:vAlign w:val="bottom"/>
          </w:tcPr>
          <w:p>
            <w:pPr>
              <w:spacing w:after="0"/>
              <w:rPr>
                <w:sz w:val="20"/>
                <w:szCs w:val="20"/>
                <w:color w:val="auto"/>
              </w:rPr>
            </w:pPr>
            <w:r>
              <w:rPr>
                <w:rFonts w:ascii="Arial" w:cs="Arial" w:eastAsia="Arial" w:hAnsi="Arial"/>
                <w:sz w:val="20"/>
                <w:szCs w:val="20"/>
                <w:color w:val="auto"/>
              </w:rPr>
              <w:t>2027</w:t>
            </w:r>
          </w:p>
        </w:tc>
        <w:tc>
          <w:tcPr>
            <w:tcW w:w="406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20"/>
                <w:szCs w:val="20"/>
                <w:color w:val="auto"/>
              </w:rPr>
              <w:t>627</w:t>
            </w:r>
          </w:p>
        </w:tc>
      </w:tr>
      <w:tr>
        <w:trPr>
          <w:trHeight w:val="41"/>
        </w:trPr>
        <w:tc>
          <w:tcPr>
            <w:tcW w:w="41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40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627</w:t>
            </w:r>
          </w:p>
        </w:tc>
      </w:tr>
      <w:tr>
        <w:trPr>
          <w:trHeight w:val="274"/>
        </w:trPr>
        <w:tc>
          <w:tcPr>
            <w:tcW w:w="4100" w:type="dxa"/>
            <w:vAlign w:val="bottom"/>
          </w:tcPr>
          <w:p>
            <w:pPr>
              <w:spacing w:after="0"/>
              <w:rPr>
                <w:sz w:val="20"/>
                <w:szCs w:val="20"/>
                <w:color w:val="auto"/>
              </w:rPr>
            </w:pPr>
            <w:r>
              <w:rPr>
                <w:rFonts w:ascii="Arial" w:cs="Arial" w:eastAsia="Arial" w:hAnsi="Arial"/>
                <w:sz w:val="20"/>
                <w:szCs w:val="20"/>
                <w:color w:val="auto"/>
              </w:rPr>
              <w:t>2029</w:t>
            </w:r>
          </w:p>
        </w:tc>
        <w:tc>
          <w:tcPr>
            <w:tcW w:w="406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20"/>
                <w:szCs w:val="20"/>
                <w:color w:val="auto"/>
              </w:rPr>
              <w:t>627</w:t>
            </w:r>
          </w:p>
        </w:tc>
      </w:tr>
      <w:tr>
        <w:trPr>
          <w:trHeight w:val="41"/>
        </w:trPr>
        <w:tc>
          <w:tcPr>
            <w:tcW w:w="41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40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627</w:t>
            </w:r>
          </w:p>
        </w:tc>
      </w:tr>
      <w:tr>
        <w:trPr>
          <w:trHeight w:val="274"/>
        </w:trPr>
        <w:tc>
          <w:tcPr>
            <w:tcW w:w="4100" w:type="dxa"/>
            <w:vAlign w:val="bottom"/>
          </w:tcPr>
          <w:p>
            <w:pPr>
              <w:spacing w:after="0"/>
              <w:rPr>
                <w:sz w:val="20"/>
                <w:szCs w:val="20"/>
                <w:color w:val="auto"/>
              </w:rPr>
            </w:pPr>
            <w:r>
              <w:rPr>
                <w:rFonts w:ascii="Arial" w:cs="Arial" w:eastAsia="Arial" w:hAnsi="Arial"/>
                <w:sz w:val="20"/>
                <w:szCs w:val="20"/>
                <w:color w:val="auto"/>
              </w:rPr>
              <w:t>Thereafter</w:t>
            </w:r>
          </w:p>
        </w:tc>
        <w:tc>
          <w:tcPr>
            <w:tcW w:w="406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20"/>
                <w:szCs w:val="20"/>
                <w:color w:val="auto"/>
              </w:rPr>
              <w:t>2,227</w:t>
            </w:r>
          </w:p>
        </w:tc>
      </w:tr>
      <w:tr>
        <w:trPr>
          <w:trHeight w:val="51"/>
        </w:trPr>
        <w:tc>
          <w:tcPr>
            <w:tcW w:w="410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74"/>
        </w:trPr>
        <w:tc>
          <w:tcPr>
            <w:tcW w:w="410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4060" w:type="dxa"/>
            <w:vAlign w:val="bottom"/>
            <w:shd w:val="clear" w:color="auto" w:fill="CFF0FC"/>
          </w:tcPr>
          <w:p>
            <w:pPr>
              <w:jc w:val="right"/>
              <w:ind w:right="58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5,362</w:t>
            </w:r>
          </w:p>
        </w:tc>
      </w:tr>
      <w:tr>
        <w:trPr>
          <w:trHeight w:val="86"/>
        </w:trPr>
        <w:tc>
          <w:tcPr>
            <w:tcW w:w="4100" w:type="dxa"/>
            <w:vAlign w:val="bottom"/>
            <w:shd w:val="clear" w:color="auto" w:fill="CFF0FC"/>
          </w:tcPr>
          <w:p>
            <w:pPr>
              <w:spacing w:after="0"/>
              <w:rPr>
                <w:sz w:val="7"/>
                <w:szCs w:val="7"/>
                <w:color w:val="auto"/>
              </w:rPr>
            </w:pPr>
          </w:p>
        </w:tc>
        <w:tc>
          <w:tcPr>
            <w:tcW w:w="406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The Company paid a deposit premium in the acquisition of the East Syracuse branch, which is included in the balance of time deposits on the balance sheet. In July 2024, a fair value premium was established for $543,000 to be accreted on a straight-line basis over 10 years. For the years ended December 31, 2025 and 2024, the Company recognized approximately $54,000 and $25,000 of accretion related to the fair value premium, respectively. The weighted average remaining accretion period of this premium is 8.6 years.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gross carrying amount and annual accretion for the fair value deposit premium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20"/>
                <w:szCs w:val="20"/>
                <w:color w:val="auto"/>
              </w:rPr>
              <w:t>December 31,</w:t>
            </w:r>
          </w:p>
        </w:tc>
        <w:tc>
          <w:tcPr>
            <w:tcW w:w="860" w:type="dxa"/>
            <w:vAlign w:val="bottom"/>
          </w:tcPr>
          <w:p>
            <w:pPr>
              <w:spacing w:after="0"/>
              <w:rPr>
                <w:sz w:val="19"/>
                <w:szCs w:val="19"/>
                <w:color w:val="auto"/>
              </w:rPr>
            </w:pPr>
          </w:p>
        </w:tc>
      </w:tr>
      <w:tr>
        <w:trPr>
          <w:trHeight w:val="324"/>
        </w:trPr>
        <w:tc>
          <w:tcPr>
            <w:tcW w:w="390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266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20"/>
                <w:szCs w:val="20"/>
                <w:color w:val="auto"/>
              </w:rPr>
              <w:t>2025</w:t>
            </w:r>
          </w:p>
        </w:tc>
        <w:tc>
          <w:tcPr>
            <w:tcW w:w="88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324"/>
        </w:trPr>
        <w:tc>
          <w:tcPr>
            <w:tcW w:w="3900" w:type="dxa"/>
            <w:vAlign w:val="bottom"/>
          </w:tcPr>
          <w:p>
            <w:pPr>
              <w:spacing w:after="0"/>
              <w:rPr>
                <w:sz w:val="20"/>
                <w:szCs w:val="20"/>
                <w:color w:val="auto"/>
              </w:rPr>
            </w:pPr>
            <w:r>
              <w:rPr>
                <w:rFonts w:ascii="Arial" w:cs="Arial" w:eastAsia="Arial" w:hAnsi="Arial"/>
                <w:sz w:val="20"/>
                <w:szCs w:val="20"/>
                <w:color w:val="auto"/>
              </w:rPr>
              <w:t>Gross carrying amount</w:t>
            </w:r>
          </w:p>
        </w:tc>
        <w:tc>
          <w:tcPr>
            <w:tcW w:w="2660" w:type="dxa"/>
            <w:vAlign w:val="bottom"/>
          </w:tcPr>
          <w:p>
            <w:pPr>
              <w:jc w:val="right"/>
              <w:ind w:right="4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80"/>
              <w:spacing w:after="0"/>
              <w:rPr>
                <w:sz w:val="20"/>
                <w:szCs w:val="20"/>
                <w:color w:val="auto"/>
              </w:rPr>
            </w:pPr>
            <w:r>
              <w:rPr>
                <w:rFonts w:ascii="Arial" w:cs="Arial" w:eastAsia="Arial" w:hAnsi="Arial"/>
                <w:sz w:val="20"/>
                <w:szCs w:val="20"/>
                <w:color w:val="auto"/>
              </w:rPr>
              <w:t>543</w:t>
            </w:r>
          </w:p>
        </w:tc>
        <w:tc>
          <w:tcPr>
            <w:tcW w:w="880" w:type="dxa"/>
            <w:vAlign w:val="bottom"/>
          </w:tcPr>
          <w:p>
            <w:pPr>
              <w:jc w:val="right"/>
              <w:ind w:right="58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543</w:t>
            </w:r>
          </w:p>
        </w:tc>
      </w:tr>
      <w:tr>
        <w:trPr>
          <w:trHeight w:val="41"/>
        </w:trPr>
        <w:tc>
          <w:tcPr>
            <w:tcW w:w="39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304"/>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Accumulated accretion</w:t>
            </w:r>
          </w:p>
        </w:tc>
        <w:tc>
          <w:tcPr>
            <w:tcW w:w="26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w:t>
            </w:r>
          </w:p>
        </w:tc>
        <w:tc>
          <w:tcPr>
            <w:tcW w:w="8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w:t>
            </w:r>
          </w:p>
        </w:tc>
      </w:tr>
      <w:tr>
        <w:trPr>
          <w:trHeight w:val="274"/>
        </w:trPr>
        <w:tc>
          <w:tcPr>
            <w:tcW w:w="3900" w:type="dxa"/>
            <w:vAlign w:val="bottom"/>
          </w:tcPr>
          <w:p>
            <w:pPr>
              <w:spacing w:after="0"/>
              <w:rPr>
                <w:sz w:val="20"/>
                <w:szCs w:val="20"/>
                <w:color w:val="auto"/>
              </w:rPr>
            </w:pPr>
            <w:r>
              <w:rPr>
                <w:rFonts w:ascii="Arial" w:cs="Arial" w:eastAsia="Arial" w:hAnsi="Arial"/>
                <w:sz w:val="20"/>
                <w:szCs w:val="20"/>
                <w:color w:val="auto"/>
              </w:rPr>
              <w:t>Net fair value premium</w:t>
            </w:r>
          </w:p>
        </w:tc>
        <w:tc>
          <w:tcPr>
            <w:tcW w:w="2660" w:type="dxa"/>
            <w:vAlign w:val="bottom"/>
          </w:tcPr>
          <w:p>
            <w:pPr>
              <w:jc w:val="right"/>
              <w:ind w:right="4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80"/>
              <w:spacing w:after="0"/>
              <w:rPr>
                <w:sz w:val="20"/>
                <w:szCs w:val="20"/>
                <w:color w:val="auto"/>
              </w:rPr>
            </w:pPr>
            <w:r>
              <w:rPr>
                <w:rFonts w:ascii="Arial" w:cs="Arial" w:eastAsia="Arial" w:hAnsi="Arial"/>
                <w:sz w:val="20"/>
                <w:szCs w:val="20"/>
                <w:color w:val="auto"/>
              </w:rPr>
              <w:t>464</w:t>
            </w:r>
          </w:p>
        </w:tc>
        <w:tc>
          <w:tcPr>
            <w:tcW w:w="880" w:type="dxa"/>
            <w:vAlign w:val="bottom"/>
          </w:tcPr>
          <w:p>
            <w:pPr>
              <w:jc w:val="right"/>
              <w:ind w:right="58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-791210</wp:posOffset>
            </wp:positionV>
            <wp:extent cx="2184400"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1844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-585470</wp:posOffset>
            </wp:positionV>
            <wp:extent cx="5967730" cy="63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The estimated accretion income for each of the five succeeding years ended December 31, is as follows: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18</w:t>
      </w:r>
    </w:p>
    <w:p>
      <w:pPr>
        <w:sectPr>
          <w:pgSz w:w="11900" w:h="16838" w:orient="portrait"/>
          <w:cols w:equalWidth="0" w:num="1">
            <w:col w:w="9400"/>
          </w:cols>
          <w:pgMar w:left="1260" w:top="1440" w:right="1246" w:bottom="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4120" w:type="dxa"/>
            <w:vAlign w:val="bottom"/>
            <w:tcBorders>
              <w:bottom w:val="single" w:sz="8" w:color="CFF0FC"/>
            </w:tcBorders>
            <w:shd w:val="clear" w:color="auto" w:fill="CFF0FC"/>
          </w:tcPr>
          <w:p>
            <w:pPr>
              <w:jc w:val="right"/>
              <w:ind w:right="6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54</w:t>
            </w:r>
          </w:p>
        </w:tc>
      </w:tr>
      <w:tr>
        <w:trPr>
          <w:trHeight w:val="274"/>
        </w:trPr>
        <w:tc>
          <w:tcPr>
            <w:tcW w:w="4100" w:type="dxa"/>
            <w:vAlign w:val="bottom"/>
          </w:tcPr>
          <w:p>
            <w:pPr>
              <w:spacing w:after="0"/>
              <w:rPr>
                <w:sz w:val="20"/>
                <w:szCs w:val="20"/>
                <w:color w:val="auto"/>
              </w:rPr>
            </w:pPr>
            <w:r>
              <w:rPr>
                <w:rFonts w:ascii="Arial" w:cs="Arial" w:eastAsia="Arial" w:hAnsi="Arial"/>
                <w:sz w:val="20"/>
                <w:szCs w:val="20"/>
                <w:color w:val="auto"/>
              </w:rPr>
              <w:t>2027</w:t>
            </w:r>
          </w:p>
        </w:tc>
        <w:tc>
          <w:tcPr>
            <w:tcW w:w="41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54</w:t>
            </w:r>
          </w:p>
        </w:tc>
      </w:tr>
      <w:tr>
        <w:trPr>
          <w:trHeight w:val="41"/>
        </w:trPr>
        <w:tc>
          <w:tcPr>
            <w:tcW w:w="410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4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54</w:t>
            </w:r>
          </w:p>
        </w:tc>
      </w:tr>
      <w:tr>
        <w:trPr>
          <w:trHeight w:val="274"/>
        </w:trPr>
        <w:tc>
          <w:tcPr>
            <w:tcW w:w="4100" w:type="dxa"/>
            <w:vAlign w:val="bottom"/>
          </w:tcPr>
          <w:p>
            <w:pPr>
              <w:spacing w:after="0"/>
              <w:rPr>
                <w:sz w:val="20"/>
                <w:szCs w:val="20"/>
                <w:color w:val="auto"/>
              </w:rPr>
            </w:pPr>
            <w:r>
              <w:rPr>
                <w:rFonts w:ascii="Arial" w:cs="Arial" w:eastAsia="Arial" w:hAnsi="Arial"/>
                <w:sz w:val="20"/>
                <w:szCs w:val="20"/>
                <w:color w:val="auto"/>
              </w:rPr>
              <w:t>2029</w:t>
            </w:r>
          </w:p>
        </w:tc>
        <w:tc>
          <w:tcPr>
            <w:tcW w:w="41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54</w:t>
            </w:r>
          </w:p>
        </w:tc>
      </w:tr>
      <w:tr>
        <w:trPr>
          <w:trHeight w:val="41"/>
        </w:trPr>
        <w:tc>
          <w:tcPr>
            <w:tcW w:w="410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4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54</w:t>
            </w:r>
          </w:p>
        </w:tc>
      </w:tr>
      <w:tr>
        <w:trPr>
          <w:trHeight w:val="274"/>
        </w:trPr>
        <w:tc>
          <w:tcPr>
            <w:tcW w:w="4100" w:type="dxa"/>
            <w:vAlign w:val="bottom"/>
          </w:tcPr>
          <w:p>
            <w:pPr>
              <w:spacing w:after="0"/>
              <w:rPr>
                <w:sz w:val="20"/>
                <w:szCs w:val="20"/>
                <w:color w:val="auto"/>
              </w:rPr>
            </w:pPr>
            <w:r>
              <w:rPr>
                <w:rFonts w:ascii="Arial" w:cs="Arial" w:eastAsia="Arial" w:hAnsi="Arial"/>
                <w:sz w:val="20"/>
                <w:szCs w:val="20"/>
                <w:color w:val="auto"/>
              </w:rPr>
              <w:t>Thereafter</w:t>
            </w:r>
          </w:p>
        </w:tc>
        <w:tc>
          <w:tcPr>
            <w:tcW w:w="41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194</w:t>
            </w:r>
          </w:p>
        </w:tc>
      </w:tr>
      <w:tr>
        <w:trPr>
          <w:trHeight w:val="51"/>
        </w:trPr>
        <w:tc>
          <w:tcPr>
            <w:tcW w:w="410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4"/>
        </w:trPr>
        <w:tc>
          <w:tcPr>
            <w:tcW w:w="410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4120" w:type="dxa"/>
            <w:vAlign w:val="bottom"/>
            <w:shd w:val="clear" w:color="auto" w:fill="CFF0FC"/>
          </w:tcPr>
          <w:p>
            <w:pPr>
              <w:jc w:val="right"/>
              <w:ind w:right="64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464</w:t>
            </w:r>
          </w:p>
        </w:tc>
      </w:tr>
      <w:tr>
        <w:trPr>
          <w:trHeight w:val="86"/>
        </w:trPr>
        <w:tc>
          <w:tcPr>
            <w:tcW w:w="4100" w:type="dxa"/>
            <w:vAlign w:val="bottom"/>
            <w:shd w:val="clear" w:color="auto" w:fill="CFF0FC"/>
          </w:tcPr>
          <w:p>
            <w:pPr>
              <w:spacing w:after="0"/>
              <w:rPr>
                <w:sz w:val="7"/>
                <w:szCs w:val="7"/>
                <w:color w:val="auto"/>
              </w:rPr>
            </w:pPr>
          </w:p>
        </w:tc>
        <w:tc>
          <w:tcPr>
            <w:tcW w:w="41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18</w:t>
      </w:r>
    </w:p>
    <w:p>
      <w:pPr>
        <w:sectPr>
          <w:pgSz w:w="11900" w:h="16838" w:orient="portrait"/>
          <w:cols w:equalWidth="0" w:num="1">
            <w:col w:w="9400"/>
          </w:cols>
          <w:pgMar w:left="1260" w:top="1133" w:right="1246" w:bottom="0" w:gutter="0" w:footer="0" w:header="0"/>
          <w:type w:val="continuous"/>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20"/>
                <w:szCs w:val="20"/>
                <w:b w:val="1"/>
                <w:bCs w:val="1"/>
                <w:color w:val="auto"/>
              </w:rPr>
              <w:t>NOTE 11: DEPOSITS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20"/>
        </w:trPr>
        <w:tc>
          <w:tcPr>
            <w:tcW w:w="6400" w:type="dxa"/>
            <w:vAlign w:val="bottom"/>
          </w:tcPr>
          <w:p>
            <w:pPr>
              <w:spacing w:after="0"/>
              <w:rPr>
                <w:sz w:val="20"/>
                <w:szCs w:val="20"/>
                <w:color w:val="auto"/>
              </w:rPr>
            </w:pPr>
            <w:r>
              <w:rPr>
                <w:rFonts w:ascii="Arial" w:cs="Arial" w:eastAsia="Arial" w:hAnsi="Arial"/>
                <w:sz w:val="20"/>
                <w:szCs w:val="20"/>
                <w:color w:val="auto"/>
              </w:rPr>
              <w:t>A summary of deposits at December 31 is as follows: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0"/>
        </w:trPr>
        <w:tc>
          <w:tcPr>
            <w:tcW w:w="640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32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2025</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2024</w:t>
            </w:r>
          </w:p>
        </w:tc>
      </w:tr>
      <w:tr>
        <w:trPr>
          <w:trHeight w:val="51"/>
        </w:trPr>
        <w:tc>
          <w:tcPr>
            <w:tcW w:w="6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80"/>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Savings accounts</w:t>
            </w:r>
          </w:p>
        </w:tc>
        <w:tc>
          <w:tcPr>
            <w:tcW w:w="3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122,718</w:t>
            </w:r>
          </w:p>
        </w:tc>
        <w:tc>
          <w:tcPr>
            <w:tcW w:w="4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128,753</w:t>
            </w:r>
          </w:p>
        </w:tc>
      </w:tr>
      <w:tr>
        <w:trPr>
          <w:trHeight w:val="259"/>
        </w:trPr>
        <w:tc>
          <w:tcPr>
            <w:tcW w:w="6400" w:type="dxa"/>
            <w:vAlign w:val="bottom"/>
          </w:tcPr>
          <w:p>
            <w:pPr>
              <w:spacing w:after="0"/>
              <w:rPr>
                <w:sz w:val="20"/>
                <w:szCs w:val="20"/>
                <w:color w:val="auto"/>
              </w:rPr>
            </w:pPr>
            <w:r>
              <w:rPr>
                <w:rFonts w:ascii="Arial" w:cs="Arial" w:eastAsia="Arial" w:hAnsi="Arial"/>
                <w:sz w:val="20"/>
                <w:szCs w:val="20"/>
                <w:color w:val="auto"/>
              </w:rPr>
              <w:t>Time accounts</w:t>
            </w: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317,201</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360,716</w:t>
            </w:r>
          </w:p>
        </w:tc>
      </w:tr>
      <w:tr>
        <w:trPr>
          <w:trHeight w:val="41"/>
        </w:trPr>
        <w:tc>
          <w:tcPr>
            <w:tcW w:w="6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Time accounts in excess of $250,000</w:t>
            </w:r>
          </w:p>
        </w:tc>
        <w:tc>
          <w:tcPr>
            <w:tcW w:w="3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134,779</w:t>
            </w:r>
          </w:p>
        </w:tc>
        <w:tc>
          <w:tcPr>
            <w:tcW w:w="4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142,473</w:t>
            </w:r>
          </w:p>
        </w:tc>
      </w:tr>
      <w:tr>
        <w:trPr>
          <w:trHeight w:val="259"/>
        </w:trPr>
        <w:tc>
          <w:tcPr>
            <w:tcW w:w="6400" w:type="dxa"/>
            <w:vAlign w:val="bottom"/>
          </w:tcPr>
          <w:p>
            <w:pPr>
              <w:spacing w:after="0"/>
              <w:rPr>
                <w:sz w:val="20"/>
                <w:szCs w:val="20"/>
                <w:color w:val="auto"/>
              </w:rPr>
            </w:pPr>
            <w:r>
              <w:rPr>
                <w:rFonts w:ascii="Arial" w:cs="Arial" w:eastAsia="Arial" w:hAnsi="Arial"/>
                <w:sz w:val="20"/>
                <w:szCs w:val="20"/>
                <w:color w:val="auto"/>
              </w:rPr>
              <w:t>Money management accounts</w:t>
            </w: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9,539</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11,583</w:t>
            </w:r>
          </w:p>
        </w:tc>
      </w:tr>
      <w:tr>
        <w:trPr>
          <w:trHeight w:val="41"/>
        </w:trPr>
        <w:tc>
          <w:tcPr>
            <w:tcW w:w="6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MMDA accounts</w:t>
            </w:r>
          </w:p>
        </w:tc>
        <w:tc>
          <w:tcPr>
            <w:tcW w:w="3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285,564</w:t>
            </w:r>
          </w:p>
        </w:tc>
        <w:tc>
          <w:tcPr>
            <w:tcW w:w="4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239,016</w:t>
            </w:r>
          </w:p>
        </w:tc>
      </w:tr>
      <w:tr>
        <w:trPr>
          <w:trHeight w:val="259"/>
        </w:trPr>
        <w:tc>
          <w:tcPr>
            <w:tcW w:w="6400" w:type="dxa"/>
            <w:vAlign w:val="bottom"/>
          </w:tcPr>
          <w:p>
            <w:pPr>
              <w:spacing w:after="0"/>
              <w:rPr>
                <w:sz w:val="20"/>
                <w:szCs w:val="20"/>
                <w:color w:val="auto"/>
              </w:rPr>
            </w:pPr>
            <w:r>
              <w:rPr>
                <w:rFonts w:ascii="Arial" w:cs="Arial" w:eastAsia="Arial" w:hAnsi="Arial"/>
                <w:sz w:val="20"/>
                <w:szCs w:val="20"/>
                <w:color w:val="auto"/>
              </w:rPr>
              <w:t>Demand deposit interest-bearing</w:t>
            </w: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110,702</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101,080</w:t>
            </w:r>
          </w:p>
        </w:tc>
      </w:tr>
      <w:tr>
        <w:trPr>
          <w:trHeight w:val="41"/>
        </w:trPr>
        <w:tc>
          <w:tcPr>
            <w:tcW w:w="6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Demand deposit noninterest-bearing</w:t>
            </w:r>
          </w:p>
        </w:tc>
        <w:tc>
          <w:tcPr>
            <w:tcW w:w="3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196,377</w:t>
            </w:r>
          </w:p>
        </w:tc>
        <w:tc>
          <w:tcPr>
            <w:tcW w:w="4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213,719</w:t>
            </w:r>
          </w:p>
        </w:tc>
      </w:tr>
      <w:tr>
        <w:trPr>
          <w:trHeight w:val="259"/>
        </w:trPr>
        <w:tc>
          <w:tcPr>
            <w:tcW w:w="6400" w:type="dxa"/>
            <w:vAlign w:val="bottom"/>
          </w:tcPr>
          <w:p>
            <w:pPr>
              <w:spacing w:after="0"/>
              <w:rPr>
                <w:sz w:val="20"/>
                <w:szCs w:val="20"/>
                <w:color w:val="auto"/>
              </w:rPr>
            </w:pPr>
            <w:r>
              <w:rPr>
                <w:rFonts w:ascii="Arial" w:cs="Arial" w:eastAsia="Arial" w:hAnsi="Arial"/>
                <w:sz w:val="20"/>
                <w:szCs w:val="20"/>
                <w:color w:val="auto"/>
              </w:rPr>
              <w:t>Mortgage escrow funds</w:t>
            </w: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6,968</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7,184</w:t>
            </w:r>
          </w:p>
        </w:tc>
      </w:tr>
      <w:tr>
        <w:trPr>
          <w:trHeight w:val="51"/>
        </w:trPr>
        <w:tc>
          <w:tcPr>
            <w:tcW w:w="6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9"/>
        </w:trPr>
        <w:tc>
          <w:tcPr>
            <w:tcW w:w="6400" w:type="dxa"/>
            <w:vAlign w:val="bottom"/>
            <w:shd w:val="clear" w:color="auto" w:fill="CFF0FC"/>
          </w:tcPr>
          <w:p>
            <w:pPr>
              <w:ind w:left="60"/>
              <w:spacing w:after="0"/>
              <w:rPr>
                <w:sz w:val="20"/>
                <w:szCs w:val="20"/>
                <w:color w:val="auto"/>
              </w:rPr>
            </w:pPr>
            <w:r>
              <w:rPr>
                <w:rFonts w:ascii="Arial" w:cs="Arial" w:eastAsia="Arial" w:hAnsi="Arial"/>
                <w:sz w:val="20"/>
                <w:szCs w:val="20"/>
                <w:color w:val="auto"/>
              </w:rPr>
              <w:t>Total Deposits</w:t>
            </w:r>
          </w:p>
        </w:tc>
        <w:tc>
          <w:tcPr>
            <w:tcW w:w="32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1,183,848</w:t>
            </w:r>
          </w:p>
        </w:tc>
        <w:tc>
          <w:tcPr>
            <w:tcW w:w="40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1,204,524</w:t>
            </w:r>
          </w:p>
        </w:tc>
      </w:tr>
      <w:tr>
        <w:trPr>
          <w:trHeight w:val="86"/>
        </w:trPr>
        <w:tc>
          <w:tcPr>
            <w:tcW w:w="640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1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r>
      <w:tr>
        <w:trPr>
          <w:trHeight w:val="499"/>
        </w:trPr>
        <w:tc>
          <w:tcPr>
            <w:tcW w:w="6400" w:type="dxa"/>
            <w:vAlign w:val="bottom"/>
          </w:tcPr>
          <w:p>
            <w:pPr>
              <w:spacing w:after="0"/>
              <w:rPr>
                <w:sz w:val="20"/>
                <w:szCs w:val="20"/>
                <w:color w:val="auto"/>
              </w:rPr>
            </w:pPr>
            <w:r>
              <w:rPr>
                <w:rFonts w:ascii="Arial" w:cs="Arial" w:eastAsia="Arial" w:hAnsi="Arial"/>
                <w:sz w:val="20"/>
                <w:szCs w:val="20"/>
                <w:color w:val="auto"/>
                <w:w w:val="90"/>
              </w:rPr>
              <w:t>At December 31, 2025, the scheduled maturities of time deposits are as follows: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0"/>
        </w:trPr>
        <w:tc>
          <w:tcPr>
            <w:tcW w:w="640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
        </w:trPr>
        <w:tc>
          <w:tcPr>
            <w:tcW w:w="6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80"/>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Year of Maturity:</w:t>
            </w:r>
          </w:p>
        </w:tc>
        <w:tc>
          <w:tcPr>
            <w:tcW w:w="3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r>
      <w:tr>
        <w:trPr>
          <w:trHeight w:val="259"/>
        </w:trPr>
        <w:tc>
          <w:tcPr>
            <w:tcW w:w="6400" w:type="dxa"/>
            <w:vAlign w:val="bottom"/>
          </w:tcPr>
          <w:p>
            <w:pPr>
              <w:spacing w:after="0"/>
              <w:rPr>
                <w:sz w:val="20"/>
                <w:szCs w:val="20"/>
                <w:color w:val="auto"/>
              </w:rPr>
            </w:pPr>
            <w:r>
              <w:rPr>
                <w:rFonts w:ascii="Arial" w:cs="Arial" w:eastAsia="Arial" w:hAnsi="Arial"/>
                <w:sz w:val="20"/>
                <w:szCs w:val="20"/>
                <w:color w:val="auto"/>
              </w:rPr>
              <w:t>2026</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425,356</w:t>
            </w:r>
          </w:p>
        </w:tc>
      </w:tr>
      <w:tr>
        <w:trPr>
          <w:trHeight w:val="41"/>
        </w:trPr>
        <w:tc>
          <w:tcPr>
            <w:tcW w:w="6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2027</w:t>
            </w:r>
          </w:p>
        </w:tc>
        <w:tc>
          <w:tcPr>
            <w:tcW w:w="3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21,176</w:t>
            </w:r>
          </w:p>
        </w:tc>
      </w:tr>
      <w:tr>
        <w:trPr>
          <w:trHeight w:val="259"/>
        </w:trPr>
        <w:tc>
          <w:tcPr>
            <w:tcW w:w="6400" w:type="dxa"/>
            <w:vAlign w:val="bottom"/>
          </w:tcPr>
          <w:p>
            <w:pPr>
              <w:spacing w:after="0"/>
              <w:rPr>
                <w:sz w:val="20"/>
                <w:szCs w:val="20"/>
                <w:color w:val="auto"/>
              </w:rPr>
            </w:pPr>
            <w:r>
              <w:rPr>
                <w:rFonts w:ascii="Arial" w:cs="Arial" w:eastAsia="Arial" w:hAnsi="Arial"/>
                <w:sz w:val="20"/>
                <w:szCs w:val="20"/>
                <w:color w:val="auto"/>
              </w:rPr>
              <w:t>2028</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4,337</w:t>
            </w:r>
          </w:p>
        </w:tc>
      </w:tr>
      <w:tr>
        <w:trPr>
          <w:trHeight w:val="41"/>
        </w:trPr>
        <w:tc>
          <w:tcPr>
            <w:tcW w:w="6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2029</w:t>
            </w:r>
          </w:p>
        </w:tc>
        <w:tc>
          <w:tcPr>
            <w:tcW w:w="3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719</w:t>
            </w:r>
          </w:p>
        </w:tc>
      </w:tr>
      <w:tr>
        <w:trPr>
          <w:trHeight w:val="259"/>
        </w:trPr>
        <w:tc>
          <w:tcPr>
            <w:tcW w:w="6400" w:type="dxa"/>
            <w:vAlign w:val="bottom"/>
          </w:tcPr>
          <w:p>
            <w:pPr>
              <w:spacing w:after="0"/>
              <w:rPr>
                <w:sz w:val="20"/>
                <w:szCs w:val="20"/>
                <w:color w:val="auto"/>
              </w:rPr>
            </w:pPr>
            <w:r>
              <w:rPr>
                <w:rFonts w:ascii="Arial" w:cs="Arial" w:eastAsia="Arial" w:hAnsi="Arial"/>
                <w:sz w:val="20"/>
                <w:szCs w:val="20"/>
                <w:color w:val="auto"/>
              </w:rPr>
              <w:t>2030</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41"/>
        </w:trPr>
        <w:tc>
          <w:tcPr>
            <w:tcW w:w="6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0"/>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Thereafter</w:t>
            </w:r>
          </w:p>
        </w:tc>
        <w:tc>
          <w:tcPr>
            <w:tcW w:w="3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320</w:t>
            </w:r>
          </w:p>
        </w:tc>
      </w:tr>
      <w:tr>
        <w:trPr>
          <w:trHeight w:val="259"/>
        </w:trPr>
        <w:tc>
          <w:tcPr>
            <w:tcW w:w="6400" w:type="dxa"/>
            <w:vAlign w:val="bottom"/>
          </w:tcPr>
          <w:p>
            <w:pPr>
              <w:ind w:left="60"/>
              <w:spacing w:after="0"/>
              <w:rPr>
                <w:sz w:val="20"/>
                <w:szCs w:val="20"/>
                <w:color w:val="auto"/>
              </w:rPr>
            </w:pPr>
            <w:r>
              <w:rPr>
                <w:rFonts w:ascii="Arial" w:cs="Arial" w:eastAsia="Arial" w:hAnsi="Arial"/>
                <w:sz w:val="20"/>
                <w:szCs w:val="20"/>
                <w:color w:val="auto"/>
              </w:rPr>
              <w:t>Total</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451,980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-3894455</wp:posOffset>
            </wp:positionV>
            <wp:extent cx="5967730" cy="63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5967730" cy="63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-2167255</wp:posOffset>
            </wp:positionV>
            <wp:extent cx="5967730" cy="285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-1510030</wp:posOffset>
            </wp:positionV>
            <wp:extent cx="5967730"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-170180</wp:posOffset>
            </wp:positionV>
            <wp:extent cx="5967730"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45"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In addition to deposits obtained from its business operations within its target market areas, the Bank also obtains brokered deposits through various programs administered by IntraFi Network and through other unaffiliated third-party financial institutions. As of December 31, brokered and nonbrokered deposits are summarized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2025</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2024</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94"/>
        </w:trPr>
        <w:tc>
          <w:tcPr>
            <w:tcW w:w="28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w w:val="97"/>
              </w:rPr>
              <w:t>Nonbrokered</w:t>
            </w:r>
          </w:p>
        </w:tc>
        <w:tc>
          <w:tcPr>
            <w:tcW w:w="2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Brokered</w:t>
            </w:r>
          </w:p>
        </w:tc>
        <w:tc>
          <w:tcPr>
            <w:tcW w:w="2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w w:val="97"/>
              </w:rPr>
              <w:t>Nonbrokered</w:t>
            </w:r>
          </w:p>
        </w:tc>
        <w:tc>
          <w:tcPr>
            <w:tcW w:w="2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Brokered</w:t>
            </w:r>
          </w:p>
        </w:tc>
        <w:tc>
          <w:tcPr>
            <w:tcW w:w="2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Total</w:t>
            </w:r>
          </w:p>
        </w:tc>
      </w:tr>
      <w:tr>
        <w:trPr>
          <w:trHeight w:val="46"/>
        </w:trPr>
        <w:tc>
          <w:tcPr>
            <w:tcW w:w="2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94"/>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accounts</w:t>
            </w:r>
          </w:p>
        </w:tc>
        <w:tc>
          <w:tcPr>
            <w:tcW w:w="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122,718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122,718</w:t>
            </w:r>
          </w:p>
        </w:tc>
        <w:tc>
          <w:tcPr>
            <w:tcW w:w="3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128,753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128,753</w:t>
            </w:r>
          </w:p>
        </w:tc>
      </w:tr>
      <w:tr>
        <w:trPr>
          <w:trHeight w:val="270"/>
        </w:trPr>
        <w:tc>
          <w:tcPr>
            <w:tcW w:w="2860" w:type="dxa"/>
            <w:vAlign w:val="bottom"/>
          </w:tcPr>
          <w:p>
            <w:pPr>
              <w:spacing w:after="0"/>
              <w:rPr>
                <w:sz w:val="20"/>
                <w:szCs w:val="20"/>
                <w:color w:val="auto"/>
              </w:rPr>
            </w:pPr>
            <w:r>
              <w:rPr>
                <w:rFonts w:ascii="Arial" w:cs="Arial" w:eastAsia="Arial" w:hAnsi="Arial"/>
                <w:sz w:val="18"/>
                <w:szCs w:val="18"/>
                <w:color w:val="auto"/>
              </w:rPr>
              <w:t>Time accounts</w:t>
            </w:r>
          </w:p>
        </w:tc>
        <w:tc>
          <w:tcPr>
            <w:tcW w:w="4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220,288</w:t>
            </w:r>
          </w:p>
        </w:tc>
        <w:tc>
          <w:tcPr>
            <w:tcW w:w="2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96,913</w:t>
            </w:r>
          </w:p>
        </w:tc>
        <w:tc>
          <w:tcPr>
            <w:tcW w:w="2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317,201</w:t>
            </w:r>
          </w:p>
        </w:tc>
        <w:tc>
          <w:tcPr>
            <w:tcW w:w="3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226,445</w:t>
            </w:r>
          </w:p>
        </w:tc>
        <w:tc>
          <w:tcPr>
            <w:tcW w:w="2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134,271</w:t>
            </w:r>
          </w:p>
        </w:tc>
        <w:tc>
          <w:tcPr>
            <w:tcW w:w="2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360,716</w:t>
            </w:r>
          </w:p>
        </w:tc>
      </w:tr>
      <w:tr>
        <w:trPr>
          <w:trHeight w:val="45"/>
        </w:trPr>
        <w:tc>
          <w:tcPr>
            <w:tcW w:w="2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Time accounts of $250,000 or more</w:t>
            </w:r>
          </w:p>
        </w:tc>
        <w:tc>
          <w:tcPr>
            <w:tcW w:w="4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134,779</w:t>
            </w: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134,779</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142,473</w:t>
            </w: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142,473</w:t>
            </w:r>
          </w:p>
        </w:tc>
      </w:tr>
      <w:tr>
        <w:trPr>
          <w:trHeight w:val="278"/>
        </w:trPr>
        <w:tc>
          <w:tcPr>
            <w:tcW w:w="2860" w:type="dxa"/>
            <w:vAlign w:val="bottom"/>
          </w:tcPr>
          <w:p>
            <w:pPr>
              <w:spacing w:after="0"/>
              <w:rPr>
                <w:sz w:val="20"/>
                <w:szCs w:val="20"/>
                <w:color w:val="auto"/>
              </w:rPr>
            </w:pPr>
            <w:r>
              <w:rPr>
                <w:rFonts w:ascii="Arial" w:cs="Arial" w:eastAsia="Arial" w:hAnsi="Arial"/>
                <w:sz w:val="18"/>
                <w:szCs w:val="18"/>
                <w:color w:val="auto"/>
              </w:rPr>
              <w:t>Money management accounts</w:t>
            </w:r>
          </w:p>
        </w:tc>
        <w:tc>
          <w:tcPr>
            <w:tcW w:w="4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9,539</w:t>
            </w:r>
          </w:p>
        </w:tc>
        <w:tc>
          <w:tcPr>
            <w:tcW w:w="2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9,539</w:t>
            </w:r>
          </w:p>
        </w:tc>
        <w:tc>
          <w:tcPr>
            <w:tcW w:w="3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11,583</w:t>
            </w:r>
          </w:p>
        </w:tc>
        <w:tc>
          <w:tcPr>
            <w:tcW w:w="2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11,583</w:t>
            </w:r>
          </w:p>
        </w:tc>
      </w:tr>
      <w:tr>
        <w:trPr>
          <w:trHeight w:val="36"/>
        </w:trPr>
        <w:tc>
          <w:tcPr>
            <w:tcW w:w="2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MMDA accounts</w:t>
            </w:r>
          </w:p>
        </w:tc>
        <w:tc>
          <w:tcPr>
            <w:tcW w:w="4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285,564</w:t>
            </w: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285,564</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239,016</w:t>
            </w: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239,016</w:t>
            </w:r>
          </w:p>
        </w:tc>
      </w:tr>
      <w:tr>
        <w:trPr>
          <w:trHeight w:val="270"/>
        </w:trPr>
        <w:tc>
          <w:tcPr>
            <w:tcW w:w="2860" w:type="dxa"/>
            <w:vAlign w:val="bottom"/>
          </w:tcPr>
          <w:p>
            <w:pPr>
              <w:spacing w:after="0"/>
              <w:rPr>
                <w:sz w:val="20"/>
                <w:szCs w:val="20"/>
                <w:color w:val="auto"/>
              </w:rPr>
            </w:pPr>
            <w:r>
              <w:rPr>
                <w:rFonts w:ascii="Arial" w:cs="Arial" w:eastAsia="Arial" w:hAnsi="Arial"/>
                <w:sz w:val="18"/>
                <w:szCs w:val="18"/>
                <w:color w:val="auto"/>
              </w:rPr>
              <w:t>Demand deposit interest-bearing</w:t>
            </w:r>
          </w:p>
        </w:tc>
        <w:tc>
          <w:tcPr>
            <w:tcW w:w="4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105,702</w:t>
            </w:r>
          </w:p>
        </w:tc>
        <w:tc>
          <w:tcPr>
            <w:tcW w:w="2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110,702</w:t>
            </w:r>
          </w:p>
        </w:tc>
        <w:tc>
          <w:tcPr>
            <w:tcW w:w="3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99,080</w:t>
            </w:r>
          </w:p>
        </w:tc>
        <w:tc>
          <w:tcPr>
            <w:tcW w:w="2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101,080</w:t>
            </w:r>
          </w:p>
        </w:tc>
      </w:tr>
      <w:tr>
        <w:trPr>
          <w:trHeight w:val="45"/>
        </w:trPr>
        <w:tc>
          <w:tcPr>
            <w:tcW w:w="2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Demand deposit noninterest-bearing</w:t>
            </w:r>
          </w:p>
        </w:tc>
        <w:tc>
          <w:tcPr>
            <w:tcW w:w="4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196,377</w:t>
            </w: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196,377</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213,719</w:t>
            </w:r>
          </w:p>
        </w:tc>
        <w:tc>
          <w:tcPr>
            <w:tcW w:w="2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213,719</w:t>
            </w:r>
          </w:p>
        </w:tc>
      </w:tr>
      <w:tr>
        <w:trPr>
          <w:trHeight w:val="278"/>
        </w:trPr>
        <w:tc>
          <w:tcPr>
            <w:tcW w:w="2860" w:type="dxa"/>
            <w:vAlign w:val="bottom"/>
          </w:tcPr>
          <w:p>
            <w:pPr>
              <w:spacing w:after="0"/>
              <w:rPr>
                <w:sz w:val="20"/>
                <w:szCs w:val="20"/>
                <w:color w:val="auto"/>
              </w:rPr>
            </w:pPr>
            <w:r>
              <w:rPr>
                <w:rFonts w:ascii="Arial" w:cs="Arial" w:eastAsia="Arial" w:hAnsi="Arial"/>
                <w:sz w:val="18"/>
                <w:szCs w:val="18"/>
                <w:color w:val="auto"/>
              </w:rPr>
              <w:t>Mortgage escrow funds</w:t>
            </w:r>
          </w:p>
        </w:tc>
        <w:tc>
          <w:tcPr>
            <w:tcW w:w="4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6,968</w:t>
            </w:r>
          </w:p>
        </w:tc>
        <w:tc>
          <w:tcPr>
            <w:tcW w:w="2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6,968</w:t>
            </w:r>
          </w:p>
        </w:tc>
        <w:tc>
          <w:tcPr>
            <w:tcW w:w="3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7,184</w:t>
            </w:r>
          </w:p>
        </w:tc>
        <w:tc>
          <w:tcPr>
            <w:tcW w:w="2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7,184</w:t>
            </w:r>
          </w:p>
        </w:tc>
      </w:tr>
      <w:tr>
        <w:trPr>
          <w:trHeight w:val="46"/>
        </w:trPr>
        <w:tc>
          <w:tcPr>
            <w:tcW w:w="2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8"/>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Deposits</w:t>
            </w:r>
          </w:p>
        </w:tc>
        <w:tc>
          <w:tcPr>
            <w:tcW w:w="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7"/>
              </w:rPr>
              <w:t>1,081,935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101,913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1,183,848</w:t>
            </w:r>
          </w:p>
        </w:tc>
        <w:tc>
          <w:tcPr>
            <w:tcW w:w="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7"/>
              </w:rPr>
              <w:t>1,068,253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136,271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1,204,524</w:t>
            </w:r>
          </w:p>
        </w:tc>
      </w:tr>
      <w:tr>
        <w:trPr>
          <w:trHeight w:val="81"/>
        </w:trPr>
        <w:tc>
          <w:tcPr>
            <w:tcW w:w="28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-2024380</wp:posOffset>
            </wp:positionV>
            <wp:extent cx="3999230"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9992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-1837690</wp:posOffset>
            </wp:positionV>
            <wp:extent cx="5967730" cy="6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18</w:t>
      </w:r>
    </w:p>
    <w:p>
      <w:pPr>
        <w:sectPr>
          <w:pgSz w:w="11900" w:h="16838" w:orient="portrait"/>
          <w:cols w:equalWidth="0" w:num="1">
            <w:col w:w="9400"/>
          </w:cols>
          <w:pgMar w:left="1260" w:top="1440" w:right="1246" w:bottom="0" w:gutter="0" w:footer="0" w:header="0"/>
          <w:type w:val="continuous"/>
        </w:sectPr>
      </w:pPr>
    </w:p>
    <w:bookmarkStart w:id="208" w:name="page209"/>
    <w:bookmarkEnd w:id="208"/>
    <w:p>
      <w:pPr>
        <w:jc w:val="center"/>
        <w:ind w:right="-13"/>
        <w:spacing w:after="0"/>
        <w:rPr>
          <w:sz w:val="20"/>
          <w:szCs w:val="20"/>
          <w:color w:val="auto"/>
        </w:rPr>
      </w:pPr>
      <w:r>
        <w:rPr>
          <w:rFonts w:ascii="Arial" w:cs="Arial" w:eastAsia="Arial" w:hAnsi="Arial"/>
          <w:sz w:val="20"/>
          <w:szCs w:val="20"/>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18</w:t>
      </w:r>
    </w:p>
    <w:p>
      <w:pPr>
        <w:sectPr>
          <w:pgSz w:w="11900" w:h="16838" w:orient="portrait"/>
          <w:cols w:equalWidth="0" w:num="1">
            <w:col w:w="9026"/>
          </w:cols>
          <w:pgMar w:left="1440" w:top="1297" w:right="1440" w:bottom="0" w:gutter="0" w:footer="0" w:header="0"/>
          <w:type w:val="continuous"/>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20"/>
                <w:szCs w:val="20"/>
                <w:b w:val="1"/>
                <w:bCs w:val="1"/>
                <w:color w:val="auto"/>
              </w:rPr>
              <w:t>NOTE 12: BORROWED FUNDS</w:t>
            </w:r>
          </w:p>
        </w:tc>
        <w:tc>
          <w:tcPr>
            <w:tcW w:w="1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20"/>
        </w:trPr>
        <w:tc>
          <w:tcPr>
            <w:tcW w:w="7400" w:type="dxa"/>
            <w:vAlign w:val="bottom"/>
            <w:gridSpan w:val="3"/>
          </w:tcPr>
          <w:p>
            <w:pPr>
              <w:spacing w:after="0"/>
              <w:rPr>
                <w:sz w:val="20"/>
                <w:szCs w:val="20"/>
                <w:color w:val="auto"/>
              </w:rPr>
            </w:pPr>
            <w:r>
              <w:rPr>
                <w:rFonts w:ascii="Arial" w:cs="Arial" w:eastAsia="Arial" w:hAnsi="Arial"/>
                <w:sz w:val="20"/>
                <w:szCs w:val="20"/>
                <w:color w:val="auto"/>
                <w:w w:val="91"/>
              </w:rPr>
              <w:t>The composition of borrowings (excluding subordinated debt) at December 31 is as follows:</w:t>
            </w: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64"/>
        </w:trPr>
        <w:tc>
          <w:tcPr>
            <w:tcW w:w="404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900" w:type="dxa"/>
            <w:vAlign w:val="bottom"/>
          </w:tcPr>
          <w:p>
            <w:pPr>
              <w:spacing w:after="0"/>
              <w:rPr>
                <w:sz w:val="24"/>
                <w:szCs w:val="24"/>
                <w:color w:val="auto"/>
              </w:rPr>
            </w:pPr>
          </w:p>
        </w:tc>
        <w:tc>
          <w:tcPr>
            <w:tcW w:w="1460" w:type="dxa"/>
            <w:vAlign w:val="bottom"/>
          </w:tcPr>
          <w:p>
            <w:pPr>
              <w:jc w:val="right"/>
              <w:ind w:right="200"/>
              <w:spacing w:after="0"/>
              <w:rPr>
                <w:sz w:val="20"/>
                <w:szCs w:val="20"/>
                <w:color w:val="auto"/>
              </w:rPr>
            </w:pPr>
            <w:r>
              <w:rPr>
                <w:rFonts w:ascii="Arial" w:cs="Arial" w:eastAsia="Arial" w:hAnsi="Arial"/>
                <w:sz w:val="20"/>
                <w:szCs w:val="20"/>
                <w:color w:val="auto"/>
              </w:rPr>
              <w:t>2025</w:t>
            </w:r>
          </w:p>
        </w:tc>
        <w:tc>
          <w:tcPr>
            <w:tcW w:w="720" w:type="dxa"/>
            <w:vAlign w:val="bottom"/>
          </w:tcPr>
          <w:p>
            <w:pPr>
              <w:spacing w:after="0"/>
              <w:rPr>
                <w:sz w:val="24"/>
                <w:szCs w:val="24"/>
                <w:color w:val="auto"/>
              </w:rPr>
            </w:pPr>
          </w:p>
        </w:tc>
        <w:tc>
          <w:tcPr>
            <w:tcW w:w="128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51"/>
        </w:trPr>
        <w:tc>
          <w:tcPr>
            <w:tcW w:w="40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94"/>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Short-term:</w:t>
            </w:r>
          </w:p>
        </w:tc>
        <w:tc>
          <w:tcPr>
            <w:tcW w:w="190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r>
      <w:tr>
        <w:trPr>
          <w:trHeight w:val="274"/>
        </w:trPr>
        <w:tc>
          <w:tcPr>
            <w:tcW w:w="4040" w:type="dxa"/>
            <w:vAlign w:val="bottom"/>
          </w:tcPr>
          <w:p>
            <w:pPr>
              <w:ind w:left="40"/>
              <w:spacing w:after="0"/>
              <w:rPr>
                <w:sz w:val="20"/>
                <w:szCs w:val="20"/>
                <w:color w:val="auto"/>
              </w:rPr>
            </w:pPr>
            <w:r>
              <w:rPr>
                <w:rFonts w:ascii="Arial" w:cs="Arial" w:eastAsia="Arial" w:hAnsi="Arial"/>
                <w:sz w:val="20"/>
                <w:szCs w:val="20"/>
                <w:color w:val="auto"/>
              </w:rPr>
              <w:t>FHLB advances</w:t>
            </w:r>
          </w:p>
        </w:tc>
        <w:tc>
          <w:tcPr>
            <w:tcW w:w="1900" w:type="dxa"/>
            <w:vAlign w:val="bottom"/>
          </w:tcPr>
          <w:p>
            <w:pPr>
              <w:jc w:val="right"/>
              <w:ind w:right="52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200"/>
              <w:spacing w:after="0"/>
              <w:rPr>
                <w:sz w:val="20"/>
                <w:szCs w:val="20"/>
                <w:color w:val="auto"/>
              </w:rPr>
            </w:pPr>
            <w:r>
              <w:rPr>
                <w:rFonts w:ascii="Arial" w:cs="Arial" w:eastAsia="Arial" w:hAnsi="Arial"/>
                <w:sz w:val="20"/>
                <w:szCs w:val="20"/>
                <w:color w:val="auto"/>
              </w:rPr>
              <w:t>22,000</w:t>
            </w:r>
          </w:p>
        </w:tc>
        <w:tc>
          <w:tcPr>
            <w:tcW w:w="720" w:type="dxa"/>
            <w:vAlign w:val="bottom"/>
          </w:tcPr>
          <w:p>
            <w:pPr>
              <w:jc w:val="right"/>
              <w:ind w:right="500"/>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20"/>
                <w:szCs w:val="20"/>
                <w:color w:val="auto"/>
              </w:rPr>
              <w:t>61,000</w:t>
            </w:r>
          </w:p>
        </w:tc>
      </w:tr>
      <w:tr>
        <w:trPr>
          <w:trHeight w:val="41"/>
        </w:trPr>
        <w:tc>
          <w:tcPr>
            <w:tcW w:w="40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304"/>
        </w:trPr>
        <w:tc>
          <w:tcPr>
            <w:tcW w:w="4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FRB advances</w:t>
            </w:r>
          </w:p>
        </w:tc>
        <w:tc>
          <w:tcPr>
            <w:tcW w:w="190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22,000</w:t>
            </w:r>
          </w:p>
        </w:tc>
        <w:tc>
          <w:tcPr>
            <w:tcW w:w="7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4040" w:type="dxa"/>
            <w:vAlign w:val="bottom"/>
          </w:tcPr>
          <w:p>
            <w:pPr>
              <w:ind w:left="140"/>
              <w:spacing w:after="0"/>
              <w:rPr>
                <w:sz w:val="20"/>
                <w:szCs w:val="20"/>
                <w:color w:val="auto"/>
              </w:rPr>
            </w:pPr>
            <w:r>
              <w:rPr>
                <w:rFonts w:ascii="Arial" w:cs="Arial" w:eastAsia="Arial" w:hAnsi="Arial"/>
                <w:sz w:val="20"/>
                <w:szCs w:val="20"/>
                <w:color w:val="auto"/>
              </w:rPr>
              <w:t>Total short-term borrowings</w:t>
            </w:r>
          </w:p>
        </w:tc>
        <w:tc>
          <w:tcPr>
            <w:tcW w:w="1900" w:type="dxa"/>
            <w:vAlign w:val="bottom"/>
          </w:tcPr>
          <w:p>
            <w:pPr>
              <w:jc w:val="right"/>
              <w:ind w:right="52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200"/>
              <w:spacing w:after="0"/>
              <w:rPr>
                <w:sz w:val="20"/>
                <w:szCs w:val="20"/>
                <w:color w:val="auto"/>
              </w:rPr>
            </w:pPr>
            <w:r>
              <w:rPr>
                <w:rFonts w:ascii="Arial" w:cs="Arial" w:eastAsia="Arial" w:hAnsi="Arial"/>
                <w:sz w:val="20"/>
                <w:szCs w:val="20"/>
                <w:color w:val="auto"/>
              </w:rPr>
              <w:t>44,000</w:t>
            </w:r>
          </w:p>
        </w:tc>
        <w:tc>
          <w:tcPr>
            <w:tcW w:w="720" w:type="dxa"/>
            <w:vAlign w:val="bottom"/>
          </w:tcPr>
          <w:p>
            <w:pPr>
              <w:jc w:val="right"/>
              <w:ind w:right="500"/>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20"/>
                <w:szCs w:val="20"/>
                <w:color w:val="auto"/>
              </w:rPr>
              <w:t>61,000</w:t>
            </w:r>
          </w:p>
        </w:tc>
      </w:tr>
      <w:tr>
        <w:trPr>
          <w:trHeight w:val="86"/>
        </w:trPr>
        <w:tc>
          <w:tcPr>
            <w:tcW w:w="40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94"/>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Long-term:</w:t>
            </w:r>
          </w:p>
        </w:tc>
        <w:tc>
          <w:tcPr>
            <w:tcW w:w="190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r>
      <w:tr>
        <w:trPr>
          <w:trHeight w:val="274"/>
        </w:trPr>
        <w:tc>
          <w:tcPr>
            <w:tcW w:w="4040" w:type="dxa"/>
            <w:vAlign w:val="bottom"/>
          </w:tcPr>
          <w:p>
            <w:pPr>
              <w:ind w:left="40"/>
              <w:spacing w:after="0"/>
              <w:rPr>
                <w:sz w:val="20"/>
                <w:szCs w:val="20"/>
                <w:color w:val="auto"/>
              </w:rPr>
            </w:pPr>
            <w:r>
              <w:rPr>
                <w:rFonts w:ascii="Arial" w:cs="Arial" w:eastAsia="Arial" w:hAnsi="Arial"/>
                <w:sz w:val="20"/>
                <w:szCs w:val="20"/>
                <w:color w:val="auto"/>
              </w:rPr>
              <w:t>FHLB advances</w:t>
            </w:r>
          </w:p>
        </w:tc>
        <w:tc>
          <w:tcPr>
            <w:tcW w:w="1900" w:type="dxa"/>
            <w:vAlign w:val="bottom"/>
          </w:tcPr>
          <w:p>
            <w:pPr>
              <w:jc w:val="right"/>
              <w:ind w:right="52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200"/>
              <w:spacing w:after="0"/>
              <w:rPr>
                <w:sz w:val="20"/>
                <w:szCs w:val="20"/>
                <w:color w:val="auto"/>
              </w:rPr>
            </w:pPr>
            <w:r>
              <w:rPr>
                <w:rFonts w:ascii="Arial" w:cs="Arial" w:eastAsia="Arial" w:hAnsi="Arial"/>
                <w:sz w:val="20"/>
                <w:szCs w:val="20"/>
                <w:color w:val="auto"/>
              </w:rPr>
              <w:t>14,074</w:t>
            </w:r>
          </w:p>
        </w:tc>
        <w:tc>
          <w:tcPr>
            <w:tcW w:w="720" w:type="dxa"/>
            <w:vAlign w:val="bottom"/>
          </w:tcPr>
          <w:p>
            <w:pPr>
              <w:jc w:val="right"/>
              <w:ind w:right="500"/>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20"/>
                <w:szCs w:val="20"/>
                <w:color w:val="auto"/>
              </w:rPr>
              <w:t>27,068</w:t>
            </w:r>
          </w:p>
        </w:tc>
      </w:tr>
      <w:tr>
        <w:trPr>
          <w:trHeight w:val="51"/>
        </w:trPr>
        <w:tc>
          <w:tcPr>
            <w:tcW w:w="40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4"/>
        </w:trPr>
        <w:tc>
          <w:tcPr>
            <w:tcW w:w="40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Total long-term borrowings</w:t>
            </w:r>
          </w:p>
        </w:tc>
        <w:tc>
          <w:tcPr>
            <w:tcW w:w="1900" w:type="dxa"/>
            <w:vAlign w:val="bottom"/>
            <w:shd w:val="clear" w:color="auto" w:fill="CFF0FC"/>
          </w:tcPr>
          <w:p>
            <w:pPr>
              <w:jc w:val="right"/>
              <w:ind w:right="52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ind w:right="200"/>
              <w:spacing w:after="0"/>
              <w:rPr>
                <w:sz w:val="20"/>
                <w:szCs w:val="20"/>
                <w:color w:val="auto"/>
              </w:rPr>
            </w:pPr>
            <w:r>
              <w:rPr>
                <w:rFonts w:ascii="Arial" w:cs="Arial" w:eastAsia="Arial" w:hAnsi="Arial"/>
                <w:sz w:val="20"/>
                <w:szCs w:val="20"/>
                <w:color w:val="auto"/>
              </w:rPr>
              <w:t>14,074</w:t>
            </w:r>
          </w:p>
        </w:tc>
        <w:tc>
          <w:tcPr>
            <w:tcW w:w="720" w:type="dxa"/>
            <w:vAlign w:val="bottom"/>
            <w:shd w:val="clear" w:color="auto" w:fill="CFF0FC"/>
          </w:tcPr>
          <w:p>
            <w:pPr>
              <w:jc w:val="right"/>
              <w:ind w:right="500"/>
              <w:spacing w:after="0"/>
              <w:rPr>
                <w:sz w:val="20"/>
                <w:szCs w:val="20"/>
                <w:color w:val="auto"/>
              </w:rPr>
            </w:pPr>
            <w:r>
              <w:rPr>
                <w:rFonts w:ascii="Arial" w:cs="Arial" w:eastAsia="Arial" w:hAnsi="Arial"/>
                <w:sz w:val="20"/>
                <w:szCs w:val="20"/>
                <w:color w:val="auto"/>
                <w:w w:val="89"/>
              </w:rPr>
              <w:t>$</w:t>
            </w:r>
          </w:p>
        </w:tc>
        <w:tc>
          <w:tcPr>
            <w:tcW w:w="12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27,068</w:t>
            </w:r>
          </w:p>
        </w:tc>
      </w:tr>
      <w:tr>
        <w:trPr>
          <w:trHeight w:val="86"/>
        </w:trPr>
        <w:tc>
          <w:tcPr>
            <w:tcW w:w="4040" w:type="dxa"/>
            <w:vAlign w:val="bottom"/>
            <w:shd w:val="clear" w:color="auto" w:fill="CFF0FC"/>
          </w:tcPr>
          <w:p>
            <w:pPr>
              <w:spacing w:after="0"/>
              <w:rPr>
                <w:sz w:val="7"/>
                <w:szCs w:val="7"/>
                <w:color w:val="auto"/>
              </w:rPr>
            </w:pPr>
          </w:p>
        </w:tc>
        <w:tc>
          <w:tcPr>
            <w:tcW w:w="1900" w:type="dxa"/>
            <w:vAlign w:val="bottom"/>
            <w:shd w:val="clear" w:color="auto" w:fill="CFF0FC"/>
          </w:tcPr>
          <w:p>
            <w:pPr>
              <w:spacing w:after="0"/>
              <w:rPr>
                <w:sz w:val="7"/>
                <w:szCs w:val="7"/>
                <w:color w:val="auto"/>
              </w:rPr>
            </w:pPr>
          </w:p>
        </w:tc>
        <w:tc>
          <w:tcPr>
            <w:tcW w:w="146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-1473200</wp:posOffset>
            </wp:positionV>
            <wp:extent cx="5967730"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-868045</wp:posOffset>
            </wp:positionV>
            <wp:extent cx="5967730"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5967730" cy="285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The principal balances, interest rates and maturities of the outstanding long-term borrowings, all of which are at a fixed rate, at December 31, 2025 are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2"/>
          </w:tcPr>
          <w:p>
            <w:pPr>
              <w:spacing w:after="0"/>
              <w:rPr>
                <w:sz w:val="20"/>
                <w:szCs w:val="20"/>
                <w:color w:val="auto"/>
              </w:rPr>
            </w:pPr>
            <w:r>
              <w:rPr>
                <w:rFonts w:ascii="Arial" w:cs="Arial" w:eastAsia="Arial" w:hAnsi="Arial"/>
                <w:sz w:val="20"/>
                <w:szCs w:val="20"/>
                <w:color w:val="auto"/>
              </w:rPr>
              <w:t>Term</w:t>
            </w:r>
          </w:p>
        </w:tc>
        <w:tc>
          <w:tcPr>
            <w:tcW w:w="1640" w:type="dxa"/>
            <w:vAlign w:val="bottom"/>
          </w:tcPr>
          <w:p>
            <w:pPr>
              <w:spacing w:after="0"/>
              <w:rPr>
                <w:sz w:val="19"/>
                <w:szCs w:val="19"/>
                <w:color w:val="auto"/>
              </w:rPr>
            </w:pPr>
          </w:p>
        </w:tc>
        <w:tc>
          <w:tcPr>
            <w:tcW w:w="1640" w:type="dxa"/>
            <w:vAlign w:val="bottom"/>
          </w:tcPr>
          <w:p>
            <w:pPr>
              <w:jc w:val="right"/>
              <w:ind w:right="300"/>
              <w:spacing w:after="0"/>
              <w:rPr>
                <w:sz w:val="20"/>
                <w:szCs w:val="20"/>
                <w:color w:val="auto"/>
              </w:rPr>
            </w:pPr>
            <w:r>
              <w:rPr>
                <w:rFonts w:ascii="Arial" w:cs="Arial" w:eastAsia="Arial" w:hAnsi="Arial"/>
                <w:sz w:val="20"/>
                <w:szCs w:val="20"/>
                <w:color w:val="auto"/>
              </w:rPr>
              <w:t>Principal</w:t>
            </w:r>
          </w:p>
        </w:tc>
        <w:tc>
          <w:tcPr>
            <w:tcW w:w="1900" w:type="dxa"/>
            <w:vAlign w:val="bottom"/>
          </w:tcPr>
          <w:p>
            <w:pPr>
              <w:ind w:left="680"/>
              <w:spacing w:after="0"/>
              <w:rPr>
                <w:sz w:val="20"/>
                <w:szCs w:val="20"/>
                <w:color w:val="auto"/>
              </w:rPr>
            </w:pPr>
            <w:r>
              <w:rPr>
                <w:rFonts w:ascii="Arial" w:cs="Arial" w:eastAsia="Arial" w:hAnsi="Arial"/>
                <w:sz w:val="20"/>
                <w:szCs w:val="20"/>
                <w:color w:val="auto"/>
              </w:rPr>
              <w:t>Rates</w:t>
            </w:r>
          </w:p>
        </w:tc>
      </w:tr>
      <w:tr>
        <w:trPr>
          <w:trHeight w:val="51"/>
        </w:trPr>
        <w:tc>
          <w:tcPr>
            <w:tcW w:w="18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94"/>
        </w:trPr>
        <w:tc>
          <w:tcPr>
            <w:tcW w:w="4220" w:type="dxa"/>
            <w:vAlign w:val="bottom"/>
            <w:gridSpan w:val="2"/>
            <w:shd w:val="clear" w:color="auto" w:fill="CFF0FC"/>
          </w:tcPr>
          <w:p>
            <w:pPr>
              <w:spacing w:after="0"/>
              <w:rPr>
                <w:sz w:val="20"/>
                <w:szCs w:val="20"/>
                <w:color w:val="auto"/>
              </w:rPr>
            </w:pPr>
            <w:r>
              <w:rPr>
                <w:rFonts w:ascii="Arial" w:cs="Arial" w:eastAsia="Arial" w:hAnsi="Arial"/>
                <w:sz w:val="20"/>
                <w:szCs w:val="20"/>
                <w:i w:val="1"/>
                <w:iCs w:val="1"/>
                <w:color w:val="auto"/>
              </w:rPr>
              <w:t>(Dollars in thousands)</w:t>
            </w:r>
          </w:p>
        </w:tc>
        <w:tc>
          <w:tcPr>
            <w:tcW w:w="1640" w:type="dxa"/>
            <w:vAlign w:val="bottom"/>
            <w:shd w:val="clear" w:color="auto" w:fill="CFF0FC"/>
          </w:tcPr>
          <w:p>
            <w:pPr>
              <w:spacing w:after="0"/>
              <w:rPr>
                <w:sz w:val="24"/>
                <w:szCs w:val="24"/>
                <w:color w:val="auto"/>
              </w:rPr>
            </w:pPr>
          </w:p>
        </w:tc>
        <w:tc>
          <w:tcPr>
            <w:tcW w:w="1640" w:type="dxa"/>
            <w:vAlign w:val="bottom"/>
            <w:shd w:val="clear" w:color="auto" w:fill="CFF0FC"/>
          </w:tcPr>
          <w:p>
            <w:pPr>
              <w:spacing w:after="0"/>
              <w:rPr>
                <w:sz w:val="24"/>
                <w:szCs w:val="24"/>
                <w:color w:val="auto"/>
              </w:rPr>
            </w:pPr>
          </w:p>
        </w:tc>
        <w:tc>
          <w:tcPr>
            <w:tcW w:w="1900" w:type="dxa"/>
            <w:vAlign w:val="bottom"/>
            <w:shd w:val="clear" w:color="auto" w:fill="CFF0FC"/>
          </w:tcPr>
          <w:p>
            <w:pPr>
              <w:spacing w:after="0"/>
              <w:rPr>
                <w:sz w:val="24"/>
                <w:szCs w:val="24"/>
                <w:color w:val="auto"/>
              </w:rPr>
            </w:pPr>
          </w:p>
        </w:tc>
      </w:tr>
      <w:tr>
        <w:trPr>
          <w:trHeight w:val="274"/>
        </w:trPr>
        <w:tc>
          <w:tcPr>
            <w:tcW w:w="18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5"/>
              </w:rPr>
              <w:t>Advances with FHLB</w:t>
            </w:r>
          </w:p>
        </w:tc>
        <w:tc>
          <w:tcPr>
            <w:tcW w:w="2420" w:type="dxa"/>
            <w:vAlign w:val="bottom"/>
            <w:tcBorders>
              <w:top w:val="single" w:sz="8" w:color="CFF0FC"/>
            </w:tcBorders>
          </w:tcPr>
          <w:p>
            <w:pPr>
              <w:spacing w:after="0"/>
              <w:rPr>
                <w:sz w:val="23"/>
                <w:szCs w:val="23"/>
                <w:color w:val="auto"/>
              </w:rPr>
            </w:pPr>
          </w:p>
        </w:tc>
        <w:tc>
          <w:tcPr>
            <w:tcW w:w="1640" w:type="dxa"/>
            <w:vAlign w:val="bottom"/>
            <w:tcBorders>
              <w:top w:val="single" w:sz="8" w:color="CFF0FC"/>
            </w:tcBorders>
          </w:tcPr>
          <w:p>
            <w:pPr>
              <w:spacing w:after="0"/>
              <w:rPr>
                <w:sz w:val="23"/>
                <w:szCs w:val="23"/>
                <w:color w:val="auto"/>
              </w:rPr>
            </w:pPr>
          </w:p>
        </w:tc>
        <w:tc>
          <w:tcPr>
            <w:tcW w:w="1640" w:type="dxa"/>
            <w:vAlign w:val="bottom"/>
            <w:tcBorders>
              <w:top w:val="single" w:sz="8" w:color="CFF0FC"/>
            </w:tcBorders>
          </w:tcPr>
          <w:p>
            <w:pPr>
              <w:spacing w:after="0"/>
              <w:rPr>
                <w:sz w:val="23"/>
                <w:szCs w:val="23"/>
                <w:color w:val="auto"/>
              </w:rPr>
            </w:pPr>
          </w:p>
        </w:tc>
        <w:tc>
          <w:tcPr>
            <w:tcW w:w="1900" w:type="dxa"/>
            <w:vAlign w:val="bottom"/>
            <w:tcBorders>
              <w:top w:val="single" w:sz="8" w:color="CFF0FC"/>
            </w:tcBorders>
          </w:tcPr>
          <w:p>
            <w:pPr>
              <w:spacing w:after="0"/>
              <w:rPr>
                <w:sz w:val="23"/>
                <w:szCs w:val="23"/>
                <w:color w:val="auto"/>
              </w:rPr>
            </w:pPr>
          </w:p>
        </w:tc>
      </w:tr>
      <w:tr>
        <w:trPr>
          <w:trHeight w:val="41"/>
        </w:trPr>
        <w:tc>
          <w:tcPr>
            <w:tcW w:w="18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94"/>
        </w:trPr>
        <w:tc>
          <w:tcPr>
            <w:tcW w:w="422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20"/>
                <w:szCs w:val="20"/>
                <w:color w:val="auto"/>
              </w:rPr>
              <w:t>Due within 1 year</w:t>
            </w:r>
          </w:p>
        </w:tc>
        <w:tc>
          <w:tcPr>
            <w:tcW w:w="164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CFF0FC"/>
            </w:tcBorders>
            <w:shd w:val="clear" w:color="auto" w:fill="CFF0FC"/>
          </w:tcPr>
          <w:p>
            <w:pPr>
              <w:jc w:val="right"/>
              <w:ind w:right="300"/>
              <w:spacing w:after="0"/>
              <w:rPr>
                <w:sz w:val="20"/>
                <w:szCs w:val="20"/>
                <w:color w:val="auto"/>
              </w:rPr>
            </w:pPr>
            <w:r>
              <w:rPr>
                <w:rFonts w:ascii="Arial" w:cs="Arial" w:eastAsia="Arial" w:hAnsi="Arial"/>
                <w:sz w:val="20"/>
                <w:szCs w:val="20"/>
                <w:color w:val="auto"/>
              </w:rPr>
              <w:t>10,010</w:t>
            </w:r>
          </w:p>
        </w:tc>
        <w:tc>
          <w:tcPr>
            <w:tcW w:w="1900" w:type="dxa"/>
            <w:vAlign w:val="bottom"/>
            <w:tcBorders>
              <w:bottom w:val="single" w:sz="8" w:color="CFF0FC"/>
            </w:tcBorders>
            <w:shd w:val="clear" w:color="auto" w:fill="CFF0FC"/>
          </w:tcPr>
          <w:p>
            <w:pPr>
              <w:jc w:val="right"/>
              <w:ind w:right="380"/>
              <w:spacing w:after="0"/>
              <w:rPr>
                <w:sz w:val="20"/>
                <w:szCs w:val="20"/>
                <w:color w:val="auto"/>
              </w:rPr>
            </w:pPr>
            <w:r>
              <w:rPr>
                <w:rFonts w:ascii="Arial" w:cs="Arial" w:eastAsia="Arial" w:hAnsi="Arial"/>
                <w:sz w:val="20"/>
                <w:szCs w:val="20"/>
                <w:color w:val="auto"/>
              </w:rPr>
              <w:t>0.67 - 4.96%</w:t>
            </w:r>
          </w:p>
        </w:tc>
      </w:tr>
      <w:tr>
        <w:trPr>
          <w:trHeight w:val="274"/>
        </w:trPr>
        <w:tc>
          <w:tcPr>
            <w:tcW w:w="4220" w:type="dxa"/>
            <w:vAlign w:val="bottom"/>
            <w:gridSpan w:val="2"/>
          </w:tcPr>
          <w:p>
            <w:pPr>
              <w:ind w:left="80"/>
              <w:spacing w:after="0"/>
              <w:rPr>
                <w:sz w:val="20"/>
                <w:szCs w:val="20"/>
                <w:color w:val="auto"/>
              </w:rPr>
            </w:pPr>
            <w:r>
              <w:rPr>
                <w:rFonts w:ascii="Arial" w:cs="Arial" w:eastAsia="Arial" w:hAnsi="Arial"/>
                <w:sz w:val="20"/>
                <w:szCs w:val="20"/>
                <w:color w:val="auto"/>
              </w:rPr>
              <w:t>Due within 2 years</w:t>
            </w:r>
          </w:p>
        </w:tc>
        <w:tc>
          <w:tcPr>
            <w:tcW w:w="1640" w:type="dxa"/>
            <w:vAlign w:val="bottom"/>
          </w:tcPr>
          <w:p>
            <w:pPr>
              <w:spacing w:after="0"/>
              <w:rPr>
                <w:sz w:val="23"/>
                <w:szCs w:val="23"/>
                <w:color w:val="auto"/>
              </w:rPr>
            </w:pPr>
          </w:p>
        </w:tc>
        <w:tc>
          <w:tcPr>
            <w:tcW w:w="1640" w:type="dxa"/>
            <w:vAlign w:val="bottom"/>
          </w:tcPr>
          <w:p>
            <w:pPr>
              <w:jc w:val="right"/>
              <w:ind w:right="300"/>
              <w:spacing w:after="0"/>
              <w:rPr>
                <w:sz w:val="20"/>
                <w:szCs w:val="20"/>
                <w:color w:val="auto"/>
              </w:rPr>
            </w:pPr>
            <w:r>
              <w:rPr>
                <w:rFonts w:ascii="Arial" w:cs="Arial" w:eastAsia="Arial" w:hAnsi="Arial"/>
                <w:sz w:val="20"/>
                <w:szCs w:val="20"/>
                <w:color w:val="auto"/>
              </w:rPr>
              <w:t>4,064</w:t>
            </w:r>
          </w:p>
        </w:tc>
        <w:tc>
          <w:tcPr>
            <w:tcW w:w="1900" w:type="dxa"/>
            <w:vAlign w:val="bottom"/>
          </w:tcPr>
          <w:p>
            <w:pPr>
              <w:jc w:val="right"/>
              <w:ind w:right="640"/>
              <w:spacing w:after="0"/>
              <w:rPr>
                <w:sz w:val="20"/>
                <w:szCs w:val="20"/>
                <w:color w:val="auto"/>
              </w:rPr>
            </w:pPr>
            <w:r>
              <w:rPr>
                <w:rFonts w:ascii="Arial" w:cs="Arial" w:eastAsia="Arial" w:hAnsi="Arial"/>
                <w:sz w:val="20"/>
                <w:szCs w:val="20"/>
                <w:color w:val="auto"/>
              </w:rPr>
              <w:t>4.13%</w:t>
            </w:r>
          </w:p>
        </w:tc>
      </w:tr>
      <w:tr>
        <w:trPr>
          <w:trHeight w:val="51"/>
        </w:trPr>
        <w:tc>
          <w:tcPr>
            <w:tcW w:w="18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74"/>
        </w:trPr>
        <w:tc>
          <w:tcPr>
            <w:tcW w:w="4220" w:type="dxa"/>
            <w:vAlign w:val="bottom"/>
            <w:gridSpan w:val="2"/>
            <w:shd w:val="clear" w:color="auto" w:fill="CFF0FC"/>
          </w:tcPr>
          <w:p>
            <w:pPr>
              <w:ind w:left="180"/>
              <w:spacing w:after="0"/>
              <w:rPr>
                <w:sz w:val="20"/>
                <w:szCs w:val="20"/>
                <w:color w:val="auto"/>
              </w:rPr>
            </w:pPr>
            <w:r>
              <w:rPr>
                <w:rFonts w:ascii="Arial" w:cs="Arial" w:eastAsia="Arial" w:hAnsi="Arial"/>
                <w:sz w:val="20"/>
                <w:szCs w:val="20"/>
                <w:color w:val="auto"/>
              </w:rPr>
              <w:t>Total advances with FHLB</w:t>
            </w:r>
          </w:p>
        </w:tc>
        <w:tc>
          <w:tcPr>
            <w:tcW w:w="1640" w:type="dxa"/>
            <w:vAlign w:val="bottom"/>
            <w:shd w:val="clear" w:color="auto" w:fill="CFF0FC"/>
          </w:tcPr>
          <w:p>
            <w:pPr>
              <w:jc w:val="right"/>
              <w:ind w:right="420"/>
              <w:spacing w:after="0"/>
              <w:rPr>
                <w:sz w:val="20"/>
                <w:szCs w:val="20"/>
                <w:color w:val="auto"/>
              </w:rPr>
            </w:pPr>
            <w:r>
              <w:rPr>
                <w:rFonts w:ascii="Arial" w:cs="Arial" w:eastAsia="Arial" w:hAnsi="Arial"/>
                <w:sz w:val="20"/>
                <w:szCs w:val="20"/>
                <w:color w:val="auto"/>
              </w:rPr>
              <w:t>$</w:t>
            </w:r>
          </w:p>
        </w:tc>
        <w:tc>
          <w:tcPr>
            <w:tcW w:w="1640" w:type="dxa"/>
            <w:vAlign w:val="bottom"/>
            <w:shd w:val="clear" w:color="auto" w:fill="CFF0FC"/>
          </w:tcPr>
          <w:p>
            <w:pPr>
              <w:jc w:val="right"/>
              <w:ind w:right="300"/>
              <w:spacing w:after="0"/>
              <w:rPr>
                <w:sz w:val="20"/>
                <w:szCs w:val="20"/>
                <w:color w:val="auto"/>
              </w:rPr>
            </w:pPr>
            <w:r>
              <w:rPr>
                <w:rFonts w:ascii="Arial" w:cs="Arial" w:eastAsia="Arial" w:hAnsi="Arial"/>
                <w:sz w:val="20"/>
                <w:szCs w:val="20"/>
                <w:color w:val="auto"/>
              </w:rPr>
              <w:t>14,074</w:t>
            </w:r>
          </w:p>
        </w:tc>
        <w:tc>
          <w:tcPr>
            <w:tcW w:w="1900" w:type="dxa"/>
            <w:vAlign w:val="bottom"/>
            <w:shd w:val="clear" w:color="auto" w:fill="CFF0FC"/>
          </w:tcPr>
          <w:p>
            <w:pPr>
              <w:spacing w:after="0"/>
              <w:rPr>
                <w:sz w:val="23"/>
                <w:szCs w:val="23"/>
                <w:color w:val="auto"/>
              </w:rPr>
            </w:pPr>
          </w:p>
        </w:tc>
      </w:tr>
      <w:tr>
        <w:trPr>
          <w:trHeight w:val="86"/>
        </w:trPr>
        <w:tc>
          <w:tcPr>
            <w:tcW w:w="1800" w:type="dxa"/>
            <w:vAlign w:val="bottom"/>
            <w:shd w:val="clear" w:color="auto" w:fill="CFF0FC"/>
          </w:tcPr>
          <w:p>
            <w:pPr>
              <w:spacing w:after="0"/>
              <w:rPr>
                <w:sz w:val="7"/>
                <w:szCs w:val="7"/>
                <w:color w:val="auto"/>
              </w:rPr>
            </w:pPr>
          </w:p>
        </w:tc>
        <w:tc>
          <w:tcPr>
            <w:tcW w:w="2420" w:type="dxa"/>
            <w:vAlign w:val="bottom"/>
            <w:shd w:val="clear" w:color="auto" w:fill="CFF0FC"/>
          </w:tcPr>
          <w:p>
            <w:pPr>
              <w:spacing w:after="0"/>
              <w:rPr>
                <w:sz w:val="7"/>
                <w:szCs w:val="7"/>
                <w:color w:val="auto"/>
              </w:rPr>
            </w:pPr>
          </w:p>
        </w:tc>
        <w:tc>
          <w:tcPr>
            <w:tcW w:w="1640" w:type="dxa"/>
            <w:vAlign w:val="bottom"/>
            <w:shd w:val="clear" w:color="auto" w:fill="CFF0FC"/>
          </w:tcPr>
          <w:p>
            <w:pPr>
              <w:spacing w:after="0"/>
              <w:rPr>
                <w:sz w:val="7"/>
                <w:szCs w:val="7"/>
                <w:color w:val="auto"/>
              </w:rPr>
            </w:pPr>
          </w:p>
        </w:tc>
        <w:tc>
          <w:tcPr>
            <w:tcW w:w="1640" w:type="dxa"/>
            <w:vAlign w:val="bottom"/>
            <w:shd w:val="clear" w:color="auto" w:fill="CFF0FC"/>
          </w:tcPr>
          <w:p>
            <w:pPr>
              <w:spacing w:after="0"/>
              <w:rPr>
                <w:sz w:val="7"/>
                <w:szCs w:val="7"/>
                <w:color w:val="auto"/>
              </w:rPr>
            </w:pPr>
          </w:p>
        </w:tc>
        <w:tc>
          <w:tcPr>
            <w:tcW w:w="1900" w:type="dxa"/>
            <w:vAlign w:val="bottom"/>
            <w:shd w:val="clear" w:color="auto" w:fill="CFF0FC"/>
          </w:tcPr>
          <w:p>
            <w:pPr>
              <w:spacing w:after="0"/>
              <w:rPr>
                <w:sz w:val="7"/>
                <w:szCs w:val="7"/>
                <w:color w:val="auto"/>
              </w:rPr>
            </w:pPr>
          </w:p>
        </w:tc>
      </w:tr>
      <w:tr>
        <w:trPr>
          <w:trHeight w:val="274"/>
        </w:trPr>
        <w:tc>
          <w:tcPr>
            <w:tcW w:w="4220" w:type="dxa"/>
            <w:vAlign w:val="bottom"/>
            <w:gridSpan w:val="2"/>
          </w:tcPr>
          <w:p>
            <w:pPr>
              <w:ind w:left="180"/>
              <w:spacing w:after="0"/>
              <w:rPr>
                <w:sz w:val="20"/>
                <w:szCs w:val="20"/>
                <w:color w:val="auto"/>
              </w:rPr>
            </w:pPr>
            <w:r>
              <w:rPr>
                <w:rFonts w:ascii="Arial" w:cs="Arial" w:eastAsia="Arial" w:hAnsi="Arial"/>
                <w:sz w:val="20"/>
                <w:szCs w:val="20"/>
                <w:color w:val="auto"/>
              </w:rPr>
              <w:t>Total long-term fixed rate borrowings</w:t>
            </w:r>
          </w:p>
        </w:tc>
        <w:tc>
          <w:tcPr>
            <w:tcW w:w="16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300"/>
              <w:spacing w:after="0"/>
              <w:rPr>
                <w:sz w:val="20"/>
                <w:szCs w:val="20"/>
                <w:color w:val="auto"/>
              </w:rPr>
            </w:pPr>
            <w:r>
              <w:rPr>
                <w:rFonts w:ascii="Arial" w:cs="Arial" w:eastAsia="Arial" w:hAnsi="Arial"/>
                <w:sz w:val="20"/>
                <w:szCs w:val="20"/>
                <w:color w:val="auto"/>
              </w:rPr>
              <w:t>14,074</w:t>
            </w:r>
          </w:p>
        </w:tc>
        <w:tc>
          <w:tcPr>
            <w:tcW w:w="19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-1212850</wp:posOffset>
            </wp:positionV>
            <wp:extent cx="5967730"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-407670</wp:posOffset>
            </wp:positionV>
            <wp:extent cx="5967730"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-201930</wp:posOffset>
            </wp:positionV>
            <wp:extent cx="5967730" cy="285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2025, scheduled repayments of long-term borrowings are as follows: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3640" w:type="dxa"/>
            <w:vAlign w:val="bottom"/>
            <w:tcBorders>
              <w:bottom w:val="single" w:sz="8" w:color="CFF0FC"/>
            </w:tcBorders>
            <w:shd w:val="clear" w:color="auto" w:fill="CFF0FC"/>
          </w:tcPr>
          <w:p>
            <w:pPr>
              <w:jc w:val="right"/>
              <w:ind w:right="3140"/>
              <w:spacing w:after="0"/>
              <w:rPr>
                <w:sz w:val="20"/>
                <w:szCs w:val="20"/>
                <w:color w:val="auto"/>
              </w:rPr>
            </w:pPr>
            <w:r>
              <w:rPr>
                <w:rFonts w:ascii="Arial" w:cs="Arial" w:eastAsia="Arial" w:hAnsi="Arial"/>
                <w:sz w:val="20"/>
                <w:szCs w:val="20"/>
                <w:color w:val="auto"/>
                <w:w w:val="85"/>
              </w:rPr>
              <w:t>2026</w:t>
            </w:r>
          </w:p>
        </w:tc>
        <w:tc>
          <w:tcPr>
            <w:tcW w:w="4180" w:type="dxa"/>
            <w:vAlign w:val="bottom"/>
            <w:tcBorders>
              <w:bottom w:val="single" w:sz="8" w:color="CFF0FC"/>
            </w:tcBorders>
            <w:shd w:val="clear" w:color="auto" w:fill="CFF0FC"/>
          </w:tcPr>
          <w:p>
            <w:pPr>
              <w:jc w:val="right"/>
              <w:ind w:right="800"/>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10,010</w:t>
            </w:r>
          </w:p>
        </w:tc>
      </w:tr>
      <w:tr>
        <w:trPr>
          <w:trHeight w:val="274"/>
        </w:trPr>
        <w:tc>
          <w:tcPr>
            <w:tcW w:w="3640" w:type="dxa"/>
            <w:vAlign w:val="bottom"/>
          </w:tcPr>
          <w:p>
            <w:pPr>
              <w:jc w:val="right"/>
              <w:ind w:right="3140"/>
              <w:spacing w:after="0"/>
              <w:rPr>
                <w:sz w:val="20"/>
                <w:szCs w:val="20"/>
                <w:color w:val="auto"/>
              </w:rPr>
            </w:pPr>
            <w:r>
              <w:rPr>
                <w:rFonts w:ascii="Arial" w:cs="Arial" w:eastAsia="Arial" w:hAnsi="Arial"/>
                <w:sz w:val="20"/>
                <w:szCs w:val="20"/>
                <w:color w:val="auto"/>
                <w:w w:val="85"/>
              </w:rPr>
              <w:t>2027</w:t>
            </w:r>
          </w:p>
        </w:tc>
        <w:tc>
          <w:tcPr>
            <w:tcW w:w="4180" w:type="dxa"/>
            <w:vAlign w:val="bottom"/>
          </w:tcPr>
          <w:p>
            <w:pPr>
              <w:spacing w:after="0"/>
              <w:rPr>
                <w:sz w:val="23"/>
                <w:szCs w:val="23"/>
                <w:color w:val="auto"/>
              </w:rPr>
            </w:pPr>
          </w:p>
        </w:tc>
        <w:tc>
          <w:tcPr>
            <w:tcW w:w="1580" w:type="dxa"/>
            <w:vAlign w:val="bottom"/>
          </w:tcPr>
          <w:p>
            <w:pPr>
              <w:jc w:val="right"/>
              <w:ind w:right="20"/>
              <w:spacing w:after="0"/>
              <w:rPr>
                <w:sz w:val="20"/>
                <w:szCs w:val="20"/>
                <w:color w:val="auto"/>
              </w:rPr>
            </w:pPr>
            <w:r>
              <w:rPr>
                <w:rFonts w:ascii="Arial" w:cs="Arial" w:eastAsia="Arial" w:hAnsi="Arial"/>
                <w:sz w:val="20"/>
                <w:szCs w:val="20"/>
                <w:color w:val="auto"/>
              </w:rPr>
              <w:t>4,064</w:t>
            </w:r>
          </w:p>
        </w:tc>
      </w:tr>
      <w:tr>
        <w:trPr>
          <w:trHeight w:val="51"/>
        </w:trPr>
        <w:tc>
          <w:tcPr>
            <w:tcW w:w="36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74"/>
        </w:trPr>
        <w:tc>
          <w:tcPr>
            <w:tcW w:w="3640" w:type="dxa"/>
            <w:vAlign w:val="bottom"/>
            <w:shd w:val="clear" w:color="auto" w:fill="CFF0FC"/>
          </w:tcPr>
          <w:p>
            <w:pPr>
              <w:jc w:val="right"/>
              <w:ind w:right="3060"/>
              <w:spacing w:after="0"/>
              <w:rPr>
                <w:sz w:val="20"/>
                <w:szCs w:val="20"/>
                <w:color w:val="auto"/>
              </w:rPr>
            </w:pPr>
            <w:r>
              <w:rPr>
                <w:rFonts w:ascii="Arial" w:cs="Arial" w:eastAsia="Arial" w:hAnsi="Arial"/>
                <w:sz w:val="20"/>
                <w:szCs w:val="20"/>
                <w:color w:val="auto"/>
              </w:rPr>
              <w:t>Total</w:t>
            </w:r>
          </w:p>
        </w:tc>
        <w:tc>
          <w:tcPr>
            <w:tcW w:w="4180" w:type="dxa"/>
            <w:vAlign w:val="bottom"/>
            <w:shd w:val="clear" w:color="auto" w:fill="CFF0FC"/>
          </w:tcPr>
          <w:p>
            <w:pPr>
              <w:jc w:val="right"/>
              <w:ind w:right="800"/>
              <w:spacing w:after="0"/>
              <w:rPr>
                <w:sz w:val="20"/>
                <w:szCs w:val="20"/>
                <w:color w:val="auto"/>
              </w:rPr>
            </w:pPr>
            <w:r>
              <w:rPr>
                <w:rFonts w:ascii="Arial" w:cs="Arial" w:eastAsia="Arial" w:hAnsi="Arial"/>
                <w:sz w:val="20"/>
                <w:szCs w:val="20"/>
                <w:color w:val="auto"/>
              </w:rPr>
              <w:t>$</w:t>
            </w: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14,074</w:t>
            </w:r>
          </w:p>
        </w:tc>
      </w:tr>
      <w:tr>
        <w:trPr>
          <w:trHeight w:val="86"/>
        </w:trPr>
        <w:tc>
          <w:tcPr>
            <w:tcW w:w="3640" w:type="dxa"/>
            <w:vAlign w:val="bottom"/>
            <w:shd w:val="clear" w:color="auto" w:fill="CFF0FC"/>
          </w:tcPr>
          <w:p>
            <w:pPr>
              <w:spacing w:after="0"/>
              <w:rPr>
                <w:sz w:val="7"/>
                <w:szCs w:val="7"/>
                <w:color w:val="auto"/>
              </w:rPr>
            </w:pPr>
          </w:p>
        </w:tc>
        <w:tc>
          <w:tcPr>
            <w:tcW w:w="4180" w:type="dxa"/>
            <w:vAlign w:val="bottom"/>
            <w:shd w:val="clear" w:color="auto" w:fill="CFF0FC"/>
          </w:tcPr>
          <w:p>
            <w:pPr>
              <w:spacing w:after="0"/>
              <w:rPr>
                <w:sz w:val="7"/>
                <w:szCs w:val="7"/>
                <w:color w:val="auto"/>
              </w:rPr>
            </w:pPr>
          </w:p>
        </w:tc>
        <w:tc>
          <w:tcPr>
            <w:tcW w:w="15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The Company has access to FHLB-NY advances, under which it can borrow at various terms and interest rates. Residential and commercial mortgage loans with a carrying value of $108.4 million and securities with a carrying value of $85.2 million have been pledged by the Company under a blanket collateral agreement to secure the Company’s borrowings at December 31, 2025. The total outstanding indebtedness under borrowing facilities with the FHLB cannot exceed the total value of the assets pledged under the blanket collateral agreement. At December 31, 2025, the Company had $13.5 million of unused borrowing capacity under its line of credit with the Federal Reserve Bank of New York through its Discount Window and has pledged home equity loans and various corporate and municipal securities against the line. The Company has $15.0 million in lines of credit available with two other correspondent banks. $10.0 million of that line of credit is available on an unsecured basis and the remaining $5.0 million must be collateralized with investment securities. Interest on the lines is determined at the time of borrowing.</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18</w:t>
      </w:r>
    </w:p>
    <w:p>
      <w:pPr>
        <w:sectPr>
          <w:pgSz w:w="11900" w:h="16838" w:orient="portrait"/>
          <w:cols w:equalWidth="0" w:num="1">
            <w:col w:w="9400"/>
          </w:cols>
          <w:pgMar w:left="1260" w:top="1440" w:right="1246" w:bottom="0" w:gutter="0" w:footer="0" w:header="0"/>
          <w:type w:val="continuous"/>
        </w:sectPr>
      </w:pPr>
    </w:p>
    <w:bookmarkStart w:id="210" w:name="page211"/>
    <w:bookmarkEnd w:id="210"/>
    <w:p>
      <w:pPr>
        <w:jc w:val="center"/>
        <w:ind w:right="-13"/>
        <w:spacing w:after="0"/>
        <w:rPr>
          <w:sz w:val="20"/>
          <w:szCs w:val="20"/>
          <w:color w:val="auto"/>
        </w:rPr>
      </w:pPr>
      <w:r>
        <w:rPr>
          <w:rFonts w:ascii="Arial" w:cs="Arial" w:eastAsia="Arial" w:hAnsi="Arial"/>
          <w:sz w:val="20"/>
          <w:szCs w:val="20"/>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18</w:t>
      </w:r>
    </w:p>
    <w:p>
      <w:pPr>
        <w:sectPr>
          <w:pgSz w:w="11900" w:h="16838" w:orient="portrait"/>
          <w:cols w:equalWidth="0" w:num="1">
            <w:col w:w="9026"/>
          </w:cols>
          <w:pgMar w:left="1440" w:top="1297" w:right="1440" w:bottom="0" w:gutter="0" w:footer="0" w:header="0"/>
          <w:type w:val="continuous"/>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SUBORDINATED DEBT AND TRUST PREFERRED SECURITIES</w:t>
      </w:r>
    </w:p>
    <w:p>
      <w:pPr>
        <w:spacing w:after="0" w:line="200"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On October 14, 2020, the Company executed a private placement of $25.0 million of its 5.50% Fixed to Floating Rate non-amortizing Subordinated Debt (the “2020 Subordinated Debt”) to certain qualified institutional investors. The 2020 Subordinated Debt has a maturity date of October 15, 2030, and initially was interest-bearing, payable semi-annually, at a fixed annual rate of 5.50% per annum until October 15, 2025. The 2020 Subordinated Debt is senior in the Company’s credit repayment hierarchy only to the Company’s common equity and any future senior indebtedness and is intended to qualify as Tier 2 capital for regulatory capital purposes for the Company.</w:t>
      </w:r>
    </w:p>
    <w:p>
      <w:pPr>
        <w:spacing w:after="0" w:line="149"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Commencing on October 16, 2025, the interest rate applicable to the outstanding principal amount due resets quarterly to an interest rate per annum equal to the then current three-month Secured Overnight Financing Rate (“SOFR”) plus 5.32%, payable quarterly through maturity (9.22% as of December 31, 2025). The Company has the option to redeem the 2020 Subordinated Debt at par, in whole or in part, at any time after October 15, 2025 (the first redemption date). As of December 31, 2025, the Company allowed the debt to remain outstanding. The Company paid</w:t>
      </w:r>
    </w:p>
    <w:p>
      <w:pPr>
        <w:spacing w:after="0" w:line="12" w:lineRule="exact"/>
        <w:rPr>
          <w:sz w:val="20"/>
          <w:szCs w:val="20"/>
          <w:color w:val="auto"/>
        </w:rPr>
      </w:pPr>
    </w:p>
    <w:p>
      <w:pPr>
        <w:jc w:val="both"/>
        <w:ind w:right="60"/>
        <w:spacing w:after="0" w:line="347" w:lineRule="auto"/>
        <w:rPr>
          <w:sz w:val="20"/>
          <w:szCs w:val="20"/>
          <w:color w:val="auto"/>
        </w:rPr>
      </w:pPr>
      <w:r>
        <w:rPr>
          <w:rFonts w:ascii="Arial" w:cs="Arial" w:eastAsia="Arial" w:hAnsi="Arial"/>
          <w:sz w:val="18"/>
          <w:szCs w:val="18"/>
          <w:color w:val="auto"/>
        </w:rPr>
        <w:t>$783,000 in origination and legal fees as part of this transaction. These fees were fully amortized over the life of the 2020 Subordinated Debt through its first redemption date using the effective interest method, giving rise to an effective cost of funds of 6.22% from the issuance date calculated under this method. Accordingly, interest expense</w:t>
      </w:r>
    </w:p>
    <w:p>
      <w:pPr>
        <w:spacing w:after="0" w:line="2" w:lineRule="exact"/>
        <w:rPr>
          <w:sz w:val="20"/>
          <w:szCs w:val="20"/>
          <w:color w:val="auto"/>
        </w:rPr>
      </w:pPr>
    </w:p>
    <w:p>
      <w:pPr>
        <w:ind w:right="760"/>
        <w:spacing w:after="0" w:line="302" w:lineRule="auto"/>
        <w:rPr>
          <w:sz w:val="20"/>
          <w:szCs w:val="20"/>
          <w:color w:val="auto"/>
        </w:rPr>
      </w:pPr>
      <w:r>
        <w:rPr>
          <w:rFonts w:ascii="Arial" w:cs="Arial" w:eastAsia="Arial" w:hAnsi="Arial"/>
          <w:sz w:val="20"/>
          <w:szCs w:val="20"/>
          <w:color w:val="auto"/>
        </w:rPr>
        <w:t>related to this indebtedness of $1.7 million and $1.6 million was recorded in the years ended December 31, 2025 and 2024, respectively.</w:t>
      </w:r>
    </w:p>
    <w:p>
      <w:pPr>
        <w:spacing w:after="0" w:line="181"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The Company has a non-consolidated subsidiary trust, Pathfinder Statutory Trust II (the "Trust"), of which the Company owns 100% of the common equity. The Trust issued $5,000,000 of 30-year floating rate Company-obligated pooled capital securities of Pathfinder Statutory Trust II (“Floating-Rate Debentures”). The Company borrowed the proceeds of the capital securities from the Trust by issuing floating rate junior subordinated deferrable interest debentures having substantially similar terms. The capital securities mature in 2037 and are treated as Tier 1 capital by the FDIC and FRB. The capital securities of the Trust are a pooled trust preferred fund of Preferred Term Securities VI, Ltd., whose interest rate resets quarterly, and are indexed to the three-month SOFR plus 1.91%. These securities have a five-year call provision. The Company paid $321,000 and $373,000 in interest expense related to this issuance in 2025 and 2024, respectively. The Company guarantees all of these securities.</w:t>
      </w:r>
    </w:p>
    <w:p>
      <w:pPr>
        <w:spacing w:after="0" w:line="151"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The Company's equity interest in the Trust is included in other assets on the Consolidated Statements of Financial Condition at December 31, 2025 and 2024.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Tier 1 Capital, the securities become callable and the Company may redeem them.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composition of subordinated debt at December 31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60" w:type="dxa"/>
            <w:vAlign w:val="bottom"/>
          </w:tcPr>
          <w:p>
            <w:pPr>
              <w:spacing w:after="0"/>
              <w:rPr>
                <w:sz w:val="20"/>
                <w:szCs w:val="20"/>
                <w:color w:val="auto"/>
              </w:rPr>
            </w:pPr>
            <w:r>
              <w:rPr>
                <w:rFonts w:ascii="Arial" w:cs="Arial" w:eastAsia="Arial" w:hAnsi="Arial"/>
                <w:sz w:val="19"/>
                <w:szCs w:val="19"/>
                <w:i w:val="1"/>
                <w:iCs w:val="1"/>
                <w:color w:val="auto"/>
              </w:rPr>
              <w:t>(In thousands)</w:t>
            </w:r>
          </w:p>
        </w:tc>
        <w:tc>
          <w:tcPr>
            <w:tcW w:w="2140" w:type="dxa"/>
            <w:vAlign w:val="bottom"/>
          </w:tcPr>
          <w:p>
            <w:pPr>
              <w:spacing w:after="0"/>
              <w:rPr>
                <w:sz w:val="19"/>
                <w:szCs w:val="19"/>
                <w:color w:val="auto"/>
              </w:rPr>
            </w:pP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2025</w:t>
            </w:r>
          </w:p>
        </w:tc>
        <w:tc>
          <w:tcPr>
            <w:tcW w:w="880" w:type="dxa"/>
            <w:vAlign w:val="bottom"/>
          </w:tcPr>
          <w:p>
            <w:pPr>
              <w:spacing w:after="0"/>
              <w:rPr>
                <w:sz w:val="19"/>
                <w:szCs w:val="19"/>
                <w:color w:val="auto"/>
              </w:rPr>
            </w:pP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2024</w:t>
            </w:r>
          </w:p>
        </w:tc>
      </w:tr>
      <w:tr>
        <w:trPr>
          <w:trHeight w:val="48"/>
        </w:trPr>
        <w:tc>
          <w:tcPr>
            <w:tcW w:w="41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65"/>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Subordinated debt</w:t>
            </w:r>
          </w:p>
        </w:tc>
        <w:tc>
          <w:tcPr>
            <w:tcW w:w="21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spacing w:after="0"/>
              <w:rPr>
                <w:sz w:val="23"/>
                <w:szCs w:val="23"/>
                <w:color w:val="auto"/>
              </w:rPr>
            </w:pPr>
          </w:p>
        </w:tc>
      </w:tr>
      <w:tr>
        <w:trPr>
          <w:trHeight w:val="262"/>
        </w:trPr>
        <w:tc>
          <w:tcPr>
            <w:tcW w:w="4160" w:type="dxa"/>
            <w:vAlign w:val="bottom"/>
          </w:tcPr>
          <w:p>
            <w:pPr>
              <w:ind w:left="100"/>
              <w:spacing w:after="0"/>
              <w:rPr>
                <w:sz w:val="20"/>
                <w:szCs w:val="20"/>
                <w:color w:val="auto"/>
              </w:rPr>
            </w:pPr>
            <w:r>
              <w:rPr>
                <w:rFonts w:ascii="Arial" w:cs="Arial" w:eastAsia="Arial" w:hAnsi="Arial"/>
                <w:sz w:val="19"/>
                <w:szCs w:val="19"/>
                <w:color w:val="auto"/>
              </w:rPr>
              <w:t>Junior subordinated debenture</w:t>
            </w:r>
          </w:p>
        </w:tc>
        <w:tc>
          <w:tcPr>
            <w:tcW w:w="214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5,155</w:t>
            </w:r>
          </w:p>
        </w:tc>
        <w:tc>
          <w:tcPr>
            <w:tcW w:w="880" w:type="dxa"/>
            <w:vAlign w:val="bottom"/>
          </w:tcPr>
          <w:p>
            <w:pPr>
              <w:jc w:val="right"/>
              <w:ind w:right="565"/>
              <w:spacing w:after="0"/>
              <w:rPr>
                <w:sz w:val="20"/>
                <w:szCs w:val="20"/>
                <w:color w:val="auto"/>
              </w:rPr>
            </w:pPr>
            <w:r>
              <w:rPr>
                <w:rFonts w:ascii="Arial" w:cs="Arial" w:eastAsia="Arial" w:hAnsi="Arial"/>
                <w:sz w:val="19"/>
                <w:szCs w:val="19"/>
                <w:color w:val="auto"/>
              </w:rPr>
              <w:t>$</w:t>
            </w: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5,155</w:t>
            </w:r>
          </w:p>
        </w:tc>
      </w:tr>
      <w:tr>
        <w:trPr>
          <w:trHeight w:val="38"/>
        </w:trPr>
        <w:tc>
          <w:tcPr>
            <w:tcW w:w="41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0"/>
        </w:trPr>
        <w:tc>
          <w:tcPr>
            <w:tcW w:w="4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9"/>
                <w:szCs w:val="19"/>
                <w:color w:val="auto"/>
              </w:rPr>
              <w:t>Subordinated debt</w:t>
            </w:r>
          </w:p>
        </w:tc>
        <w:tc>
          <w:tcPr>
            <w:tcW w:w="21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25,000</w:t>
            </w:r>
          </w:p>
        </w:tc>
        <w:tc>
          <w:tcPr>
            <w:tcW w:w="8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25,000</w:t>
            </w:r>
          </w:p>
        </w:tc>
      </w:tr>
      <w:tr>
        <w:trPr>
          <w:trHeight w:val="262"/>
        </w:trPr>
        <w:tc>
          <w:tcPr>
            <w:tcW w:w="4160" w:type="dxa"/>
            <w:vAlign w:val="bottom"/>
          </w:tcPr>
          <w:p>
            <w:pPr>
              <w:ind w:left="100"/>
              <w:spacing w:after="0"/>
              <w:rPr>
                <w:sz w:val="20"/>
                <w:szCs w:val="20"/>
                <w:color w:val="auto"/>
              </w:rPr>
            </w:pPr>
            <w:r>
              <w:rPr>
                <w:rFonts w:ascii="Arial" w:cs="Arial" w:eastAsia="Arial" w:hAnsi="Arial"/>
                <w:sz w:val="19"/>
                <w:szCs w:val="19"/>
                <w:color w:val="auto"/>
              </w:rPr>
              <w:t>Deferred financing charges</w:t>
            </w:r>
          </w:p>
        </w:tc>
        <w:tc>
          <w:tcPr>
            <w:tcW w:w="2140" w:type="dxa"/>
            <w:vAlign w:val="bottom"/>
          </w:tcPr>
          <w:p>
            <w:pPr>
              <w:spacing w:after="0"/>
              <w:rPr>
                <w:sz w:val="22"/>
                <w:szCs w:val="22"/>
                <w:color w:val="auto"/>
              </w:rPr>
            </w:pPr>
          </w:p>
        </w:tc>
        <w:tc>
          <w:tcPr>
            <w:tcW w:w="92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8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48"/>
        </w:trPr>
        <w:tc>
          <w:tcPr>
            <w:tcW w:w="41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62"/>
        </w:trPr>
        <w:tc>
          <w:tcPr>
            <w:tcW w:w="4160" w:type="dxa"/>
            <w:vAlign w:val="bottom"/>
            <w:shd w:val="clear" w:color="auto" w:fill="CFF0FC"/>
          </w:tcPr>
          <w:p>
            <w:pPr>
              <w:ind w:left="200"/>
              <w:spacing w:after="0"/>
              <w:rPr>
                <w:sz w:val="20"/>
                <w:szCs w:val="20"/>
                <w:color w:val="auto"/>
              </w:rPr>
            </w:pPr>
            <w:r>
              <w:rPr>
                <w:rFonts w:ascii="Arial" w:cs="Arial" w:eastAsia="Arial" w:hAnsi="Arial"/>
                <w:sz w:val="19"/>
                <w:szCs w:val="19"/>
                <w:color w:val="auto"/>
              </w:rPr>
              <w:t>Total subordinated debt</w:t>
            </w:r>
          </w:p>
        </w:tc>
        <w:tc>
          <w:tcPr>
            <w:tcW w:w="2140" w:type="dxa"/>
            <w:vAlign w:val="bottom"/>
            <w:shd w:val="clear" w:color="auto" w:fill="CFF0FC"/>
          </w:tcPr>
          <w:p>
            <w:pPr>
              <w:jc w:val="right"/>
              <w:ind w:right="205"/>
              <w:spacing w:after="0"/>
              <w:rPr>
                <w:sz w:val="20"/>
                <w:szCs w:val="20"/>
                <w:color w:val="auto"/>
              </w:rPr>
            </w:pPr>
            <w:r>
              <w:rPr>
                <w:rFonts w:ascii="Arial" w:cs="Arial" w:eastAsia="Arial" w:hAnsi="Arial"/>
                <w:sz w:val="19"/>
                <w:szCs w:val="19"/>
                <w:color w:val="auto"/>
              </w:rPr>
              <w:t>$</w:t>
            </w:r>
          </w:p>
        </w:tc>
        <w:tc>
          <w:tcPr>
            <w:tcW w:w="920" w:type="dxa"/>
            <w:vAlign w:val="bottom"/>
            <w:shd w:val="clear" w:color="auto" w:fill="CFF0FC"/>
          </w:tcPr>
          <w:p>
            <w:pPr>
              <w:jc w:val="right"/>
              <w:ind w:right="5"/>
              <w:spacing w:after="0"/>
              <w:rPr>
                <w:sz w:val="20"/>
                <w:szCs w:val="20"/>
                <w:color w:val="auto"/>
              </w:rPr>
            </w:pPr>
            <w:r>
              <w:rPr>
                <w:rFonts w:ascii="Arial" w:cs="Arial" w:eastAsia="Arial" w:hAnsi="Arial"/>
                <w:sz w:val="19"/>
                <w:szCs w:val="19"/>
                <w:color w:val="auto"/>
              </w:rPr>
              <w:t>30,155</w:t>
            </w:r>
          </w:p>
        </w:tc>
        <w:tc>
          <w:tcPr>
            <w:tcW w:w="880" w:type="dxa"/>
            <w:vAlign w:val="bottom"/>
            <w:shd w:val="clear" w:color="auto" w:fill="CFF0FC"/>
          </w:tcPr>
          <w:p>
            <w:pPr>
              <w:jc w:val="right"/>
              <w:ind w:right="565"/>
              <w:spacing w:after="0"/>
              <w:rPr>
                <w:sz w:val="20"/>
                <w:szCs w:val="20"/>
                <w:color w:val="auto"/>
              </w:rPr>
            </w:pPr>
            <w:r>
              <w:rPr>
                <w:rFonts w:ascii="Arial" w:cs="Arial" w:eastAsia="Arial" w:hAnsi="Arial"/>
                <w:sz w:val="19"/>
                <w:szCs w:val="19"/>
                <w:color w:val="auto"/>
              </w:rPr>
              <w:t>$</w:t>
            </w:r>
          </w:p>
        </w:tc>
        <w:tc>
          <w:tcPr>
            <w:tcW w:w="1300" w:type="dxa"/>
            <w:vAlign w:val="bottom"/>
            <w:shd w:val="clear" w:color="auto" w:fill="CFF0FC"/>
          </w:tcPr>
          <w:p>
            <w:pPr>
              <w:jc w:val="right"/>
              <w:ind w:right="5"/>
              <w:spacing w:after="0"/>
              <w:rPr>
                <w:sz w:val="20"/>
                <w:szCs w:val="20"/>
                <w:color w:val="auto"/>
              </w:rPr>
            </w:pPr>
            <w:r>
              <w:rPr>
                <w:rFonts w:ascii="Arial" w:cs="Arial" w:eastAsia="Arial" w:hAnsi="Arial"/>
                <w:sz w:val="19"/>
                <w:szCs w:val="19"/>
                <w:color w:val="auto"/>
              </w:rPr>
              <w:t>30,107</w:t>
            </w:r>
          </w:p>
        </w:tc>
      </w:tr>
      <w:tr>
        <w:trPr>
          <w:trHeight w:val="83"/>
        </w:trPr>
        <w:tc>
          <w:tcPr>
            <w:tcW w:w="4160" w:type="dxa"/>
            <w:vAlign w:val="bottom"/>
            <w:shd w:val="clear" w:color="auto" w:fill="CFF0FC"/>
          </w:tcPr>
          <w:p>
            <w:pPr>
              <w:spacing w:after="0"/>
              <w:rPr>
                <w:sz w:val="7"/>
                <w:szCs w:val="7"/>
                <w:color w:val="auto"/>
              </w:rPr>
            </w:pPr>
          </w:p>
        </w:tc>
        <w:tc>
          <w:tcPr>
            <w:tcW w:w="214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3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63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-224790</wp:posOffset>
            </wp:positionV>
            <wp:extent cx="5967730" cy="63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balances, interest rates and maturities of the subordinated debt at December 31, 2025 are as follows: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18</w:t>
      </w:r>
    </w:p>
    <w:p>
      <w:pPr>
        <w:sectPr>
          <w:pgSz w:w="11900" w:h="16838" w:orient="portrait"/>
          <w:cols w:equalWidth="0" w:num="1">
            <w:col w:w="9400"/>
          </w:cols>
          <w:pgMar w:left="1260" w:top="1440" w:right="1246" w:bottom="0" w:gutter="0" w:footer="0" w:header="0"/>
          <w:type w:val="continuous"/>
        </w:sectPr>
      </w:pPr>
    </w:p>
    <w:bookmarkStart w:id="212" w:name="page213"/>
    <w:bookmarkEnd w:id="212"/>
    <w:tbl>
      <w:tblPr>
        <w:tblLayout w:type="fixed"/>
        <w:tblInd w:w="0" w:type="dxa"/>
        <w:tblCellMar>
          <w:top w:w="0" w:type="dxa"/>
          <w:left w:w="0" w:type="dxa"/>
          <w:bottom w:w="0" w:type="dxa"/>
          <w:right w:w="0" w:type="dxa"/>
        </w:tblCellMar>
      </w:tblPr>
      <w:tr>
        <w:trPr>
          <w:trHeight w:val="218"/>
        </w:trPr>
        <w:tc>
          <w:tcPr>
            <w:tcW w:w="4000" w:type="dxa"/>
            <w:vAlign w:val="bottom"/>
            <w:gridSpan w:val="2"/>
          </w:tcPr>
          <w:p>
            <w:pPr>
              <w:spacing w:after="0"/>
              <w:rPr>
                <w:sz w:val="20"/>
                <w:szCs w:val="20"/>
                <w:color w:val="auto"/>
              </w:rPr>
            </w:pPr>
            <w:r>
              <w:rPr>
                <w:rFonts w:ascii="Arial" w:cs="Arial" w:eastAsia="Arial" w:hAnsi="Arial"/>
                <w:sz w:val="19"/>
                <w:szCs w:val="19"/>
                <w:color w:val="auto"/>
              </w:rPr>
              <w:t>Term</w:t>
            </w:r>
          </w:p>
        </w:tc>
        <w:tc>
          <w:tcPr>
            <w:tcW w:w="232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9"/>
                <w:szCs w:val="19"/>
                <w:color w:val="auto"/>
              </w:rPr>
              <w:t>Principal</w:t>
            </w:r>
          </w:p>
        </w:tc>
        <w:tc>
          <w:tcPr>
            <w:tcW w:w="2040" w:type="dxa"/>
            <w:vAlign w:val="bottom"/>
          </w:tcPr>
          <w:p>
            <w:pPr>
              <w:jc w:val="center"/>
              <w:ind w:left="5"/>
              <w:spacing w:after="0"/>
              <w:rPr>
                <w:sz w:val="20"/>
                <w:szCs w:val="20"/>
                <w:color w:val="auto"/>
              </w:rPr>
            </w:pPr>
            <w:r>
              <w:rPr>
                <w:rFonts w:ascii="Arial" w:cs="Arial" w:eastAsia="Arial" w:hAnsi="Arial"/>
                <w:sz w:val="19"/>
                <w:szCs w:val="19"/>
                <w:color w:val="auto"/>
                <w:w w:val="84"/>
              </w:rPr>
              <w:t>Rates</w:t>
            </w:r>
          </w:p>
        </w:tc>
      </w:tr>
      <w:tr>
        <w:trPr>
          <w:trHeight w:val="290"/>
        </w:trPr>
        <w:tc>
          <w:tcPr>
            <w:tcW w:w="4000" w:type="dxa"/>
            <w:vAlign w:val="bottom"/>
            <w:gridSpan w:val="2"/>
          </w:tcPr>
          <w:p>
            <w:pPr>
              <w:spacing w:after="0"/>
              <w:rPr>
                <w:sz w:val="20"/>
                <w:szCs w:val="20"/>
                <w:color w:val="auto"/>
              </w:rPr>
            </w:pPr>
            <w:r>
              <w:rPr>
                <w:rFonts w:ascii="Arial" w:cs="Arial" w:eastAsia="Arial" w:hAnsi="Arial"/>
                <w:sz w:val="19"/>
                <w:szCs w:val="19"/>
                <w:i w:val="1"/>
                <w:iCs w:val="1"/>
                <w:color w:val="auto"/>
              </w:rPr>
              <w:t>(Dollars in thousands)</w:t>
            </w: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8"/>
        </w:trPr>
        <w:tc>
          <w:tcPr>
            <w:tcW w:w="1720" w:type="dxa"/>
            <w:vAlign w:val="bottom"/>
            <w:tcBorders>
              <w:top w:val="single" w:sz="8" w:color="auto"/>
            </w:tcBorders>
          </w:tcPr>
          <w:p>
            <w:pPr>
              <w:spacing w:after="0"/>
              <w:rPr>
                <w:sz w:val="3"/>
                <w:szCs w:val="3"/>
                <w:color w:val="auto"/>
              </w:rPr>
            </w:pPr>
          </w:p>
        </w:tc>
        <w:tc>
          <w:tcPr>
            <w:tcW w:w="22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9"/>
        </w:trPr>
        <w:tc>
          <w:tcPr>
            <w:tcW w:w="4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Subordinated debt:</w:t>
            </w:r>
          </w:p>
        </w:tc>
        <w:tc>
          <w:tcPr>
            <w:tcW w:w="2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040" w:type="dxa"/>
            <w:vAlign w:val="bottom"/>
            <w:tcBorders>
              <w:bottom w:val="single" w:sz="8" w:color="CFF0FC"/>
            </w:tcBorders>
            <w:shd w:val="clear" w:color="auto" w:fill="CFF0FC"/>
          </w:tcPr>
          <w:p>
            <w:pPr>
              <w:spacing w:after="0"/>
              <w:rPr>
                <w:sz w:val="24"/>
                <w:szCs w:val="24"/>
                <w:color w:val="auto"/>
              </w:rPr>
            </w:pPr>
          </w:p>
        </w:tc>
      </w:tr>
      <w:tr>
        <w:trPr>
          <w:trHeight w:val="276"/>
        </w:trPr>
        <w:tc>
          <w:tcPr>
            <w:tcW w:w="4000" w:type="dxa"/>
            <w:vAlign w:val="bottom"/>
            <w:gridSpan w:val="2"/>
          </w:tcPr>
          <w:p>
            <w:pPr>
              <w:ind w:left="100"/>
              <w:spacing w:after="0"/>
              <w:rPr>
                <w:sz w:val="20"/>
                <w:szCs w:val="20"/>
                <w:color w:val="auto"/>
              </w:rPr>
            </w:pPr>
            <w:r>
              <w:rPr>
                <w:rFonts w:ascii="Arial" w:cs="Arial" w:eastAsia="Arial" w:hAnsi="Arial"/>
                <w:sz w:val="19"/>
                <w:szCs w:val="19"/>
                <w:color w:val="auto"/>
              </w:rPr>
              <w:t>Due within 5 years</w:t>
            </w:r>
          </w:p>
        </w:tc>
        <w:tc>
          <w:tcPr>
            <w:tcW w:w="232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45"/>
              <w:spacing w:after="0"/>
              <w:rPr>
                <w:sz w:val="20"/>
                <w:szCs w:val="20"/>
                <w:color w:val="auto"/>
              </w:rPr>
            </w:pPr>
            <w:r>
              <w:rPr>
                <w:rFonts w:ascii="Arial" w:cs="Arial" w:eastAsia="Arial" w:hAnsi="Arial"/>
                <w:sz w:val="19"/>
                <w:szCs w:val="19"/>
                <w:color w:val="auto"/>
              </w:rPr>
              <w:t>25,000</w:t>
            </w:r>
          </w:p>
        </w:tc>
        <w:tc>
          <w:tcPr>
            <w:tcW w:w="2040" w:type="dxa"/>
            <w:vAlign w:val="bottom"/>
          </w:tcPr>
          <w:p>
            <w:pPr>
              <w:jc w:val="center"/>
              <w:spacing w:after="0"/>
              <w:rPr>
                <w:sz w:val="20"/>
                <w:szCs w:val="20"/>
                <w:color w:val="auto"/>
              </w:rPr>
            </w:pPr>
            <w:r>
              <w:rPr>
                <w:rFonts w:ascii="Arial" w:cs="Arial" w:eastAsia="Arial" w:hAnsi="Arial"/>
                <w:sz w:val="19"/>
                <w:szCs w:val="19"/>
                <w:color w:val="auto"/>
                <w:w w:val="92"/>
              </w:rPr>
              <w:t>3-Month SOFR + 5.32%</w:t>
            </w:r>
          </w:p>
        </w:tc>
      </w:tr>
      <w:tr>
        <w:trPr>
          <w:trHeight w:val="38"/>
        </w:trPr>
        <w:tc>
          <w:tcPr>
            <w:tcW w:w="17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304"/>
        </w:trPr>
        <w:tc>
          <w:tcPr>
            <w:tcW w:w="40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9"/>
                <w:szCs w:val="19"/>
                <w:color w:val="auto"/>
              </w:rPr>
              <w:t>Due within 12 years</w:t>
            </w:r>
          </w:p>
        </w:tc>
        <w:tc>
          <w:tcPr>
            <w:tcW w:w="2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9"/>
                <w:szCs w:val="19"/>
                <w:color w:val="auto"/>
              </w:rPr>
              <w:t>5,155</w:t>
            </w:r>
          </w:p>
        </w:tc>
        <w:tc>
          <w:tcPr>
            <w:tcW w:w="20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9"/>
                <w:szCs w:val="19"/>
                <w:color w:val="auto"/>
                <w:w w:val="92"/>
              </w:rPr>
              <w:t>3-Month SOFR + 1.91%</w:t>
            </w:r>
          </w:p>
        </w:tc>
      </w:tr>
      <w:tr>
        <w:trPr>
          <w:trHeight w:val="276"/>
        </w:trPr>
        <w:tc>
          <w:tcPr>
            <w:tcW w:w="4000" w:type="dxa"/>
            <w:vAlign w:val="bottom"/>
            <w:gridSpan w:val="2"/>
          </w:tcPr>
          <w:p>
            <w:pPr>
              <w:ind w:left="220"/>
              <w:spacing w:after="0"/>
              <w:rPr>
                <w:sz w:val="20"/>
                <w:szCs w:val="20"/>
                <w:color w:val="auto"/>
              </w:rPr>
            </w:pPr>
            <w:r>
              <w:rPr>
                <w:rFonts w:ascii="Arial" w:cs="Arial" w:eastAsia="Arial" w:hAnsi="Arial"/>
                <w:sz w:val="19"/>
                <w:szCs w:val="19"/>
                <w:color w:val="auto"/>
              </w:rPr>
              <w:t>Total subordinated debt</w:t>
            </w:r>
          </w:p>
        </w:tc>
        <w:tc>
          <w:tcPr>
            <w:tcW w:w="232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45"/>
              <w:spacing w:after="0"/>
              <w:rPr>
                <w:sz w:val="20"/>
                <w:szCs w:val="20"/>
                <w:color w:val="auto"/>
              </w:rPr>
            </w:pPr>
            <w:r>
              <w:rPr>
                <w:rFonts w:ascii="Arial" w:cs="Arial" w:eastAsia="Arial" w:hAnsi="Arial"/>
                <w:sz w:val="19"/>
                <w:szCs w:val="19"/>
                <w:color w:val="auto"/>
              </w:rPr>
              <w:t>30,155</w:t>
            </w:r>
          </w:p>
        </w:tc>
        <w:tc>
          <w:tcPr>
            <w:tcW w:w="2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-967105</wp:posOffset>
            </wp:positionV>
            <wp:extent cx="5967730" cy="6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5967730" cy="6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5967730" cy="285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Scheduled repayments of the subordinated debt at December 31, 2025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00" w:type="dxa"/>
            <w:vAlign w:val="bottom"/>
          </w:tcPr>
          <w:p>
            <w:pPr>
              <w:spacing w:after="0"/>
              <w:rPr>
                <w:sz w:val="20"/>
                <w:szCs w:val="20"/>
                <w:color w:val="auto"/>
              </w:rPr>
            </w:pPr>
            <w:r>
              <w:rPr>
                <w:rFonts w:ascii="Arial" w:cs="Arial" w:eastAsia="Arial" w:hAnsi="Arial"/>
                <w:sz w:val="19"/>
                <w:szCs w:val="19"/>
                <w:i w:val="1"/>
                <w:iCs w:val="1"/>
                <w:color w:val="auto"/>
              </w:rPr>
              <w:t>(In thousands)</w:t>
            </w:r>
          </w:p>
        </w:tc>
        <w:tc>
          <w:tcPr>
            <w:tcW w:w="3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24"/>
        </w:trPr>
        <w:tc>
          <w:tcPr>
            <w:tcW w:w="4400" w:type="dxa"/>
            <w:vAlign w:val="bottom"/>
          </w:tcPr>
          <w:p>
            <w:pPr>
              <w:spacing w:after="0"/>
              <w:rPr>
                <w:sz w:val="20"/>
                <w:szCs w:val="20"/>
                <w:color w:val="auto"/>
              </w:rPr>
            </w:pPr>
            <w:r>
              <w:rPr>
                <w:rFonts w:ascii="Arial" w:cs="Arial" w:eastAsia="Arial" w:hAnsi="Arial"/>
                <w:sz w:val="19"/>
                <w:szCs w:val="19"/>
                <w:color w:val="auto"/>
              </w:rPr>
              <w:t>2026</w:t>
            </w:r>
          </w:p>
        </w:tc>
        <w:tc>
          <w:tcPr>
            <w:tcW w:w="3880" w:type="dxa"/>
            <w:vAlign w:val="bottom"/>
          </w:tcPr>
          <w:p>
            <w:pPr>
              <w:jc w:val="right"/>
              <w:ind w:right="385"/>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25"/>
              <w:spacing w:after="0"/>
              <w:rPr>
                <w:sz w:val="20"/>
                <w:szCs w:val="20"/>
                <w:color w:val="auto"/>
              </w:rPr>
            </w:pPr>
            <w:r>
              <w:rPr>
                <w:rFonts w:ascii="Arial" w:cs="Arial" w:eastAsia="Arial" w:hAnsi="Arial"/>
                <w:sz w:val="19"/>
                <w:szCs w:val="19"/>
                <w:color w:val="auto"/>
              </w:rPr>
              <w:t>-</w:t>
            </w:r>
          </w:p>
        </w:tc>
      </w:tr>
      <w:tr>
        <w:trPr>
          <w:trHeight w:val="38"/>
        </w:trPr>
        <w:tc>
          <w:tcPr>
            <w:tcW w:w="440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4"/>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2027</w:t>
            </w:r>
          </w:p>
        </w:tc>
        <w:tc>
          <w:tcPr>
            <w:tcW w:w="38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r>
      <w:tr>
        <w:trPr>
          <w:trHeight w:val="276"/>
        </w:trPr>
        <w:tc>
          <w:tcPr>
            <w:tcW w:w="4400" w:type="dxa"/>
            <w:vAlign w:val="bottom"/>
          </w:tcPr>
          <w:p>
            <w:pPr>
              <w:spacing w:after="0"/>
              <w:rPr>
                <w:sz w:val="20"/>
                <w:szCs w:val="20"/>
                <w:color w:val="auto"/>
              </w:rPr>
            </w:pPr>
            <w:r>
              <w:rPr>
                <w:rFonts w:ascii="Arial" w:cs="Arial" w:eastAsia="Arial" w:hAnsi="Arial"/>
                <w:sz w:val="19"/>
                <w:szCs w:val="19"/>
                <w:color w:val="auto"/>
              </w:rPr>
              <w:t>2028</w:t>
            </w:r>
          </w:p>
        </w:tc>
        <w:tc>
          <w:tcPr>
            <w:tcW w:w="3880" w:type="dxa"/>
            <w:vAlign w:val="bottom"/>
          </w:tcPr>
          <w:p>
            <w:pPr>
              <w:spacing w:after="0"/>
              <w:rPr>
                <w:sz w:val="24"/>
                <w:szCs w:val="24"/>
                <w:color w:val="auto"/>
              </w:rPr>
            </w:pPr>
          </w:p>
        </w:tc>
        <w:tc>
          <w:tcPr>
            <w:tcW w:w="1120" w:type="dxa"/>
            <w:vAlign w:val="bottom"/>
          </w:tcPr>
          <w:p>
            <w:pPr>
              <w:jc w:val="right"/>
              <w:ind w:right="25"/>
              <w:spacing w:after="0"/>
              <w:rPr>
                <w:sz w:val="20"/>
                <w:szCs w:val="20"/>
                <w:color w:val="auto"/>
              </w:rPr>
            </w:pPr>
            <w:r>
              <w:rPr>
                <w:rFonts w:ascii="Arial" w:cs="Arial" w:eastAsia="Arial" w:hAnsi="Arial"/>
                <w:sz w:val="19"/>
                <w:szCs w:val="19"/>
                <w:color w:val="auto"/>
              </w:rPr>
              <w:t>-</w:t>
            </w:r>
          </w:p>
        </w:tc>
      </w:tr>
      <w:tr>
        <w:trPr>
          <w:trHeight w:val="38"/>
        </w:trPr>
        <w:tc>
          <w:tcPr>
            <w:tcW w:w="440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4"/>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2029</w:t>
            </w:r>
          </w:p>
        </w:tc>
        <w:tc>
          <w:tcPr>
            <w:tcW w:w="38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r>
      <w:tr>
        <w:trPr>
          <w:trHeight w:val="276"/>
        </w:trPr>
        <w:tc>
          <w:tcPr>
            <w:tcW w:w="4400" w:type="dxa"/>
            <w:vAlign w:val="bottom"/>
          </w:tcPr>
          <w:p>
            <w:pPr>
              <w:spacing w:after="0"/>
              <w:rPr>
                <w:sz w:val="20"/>
                <w:szCs w:val="20"/>
                <w:color w:val="auto"/>
              </w:rPr>
            </w:pPr>
            <w:r>
              <w:rPr>
                <w:rFonts w:ascii="Arial" w:cs="Arial" w:eastAsia="Arial" w:hAnsi="Arial"/>
                <w:sz w:val="19"/>
                <w:szCs w:val="19"/>
                <w:color w:val="auto"/>
              </w:rPr>
              <w:t>2030</w:t>
            </w:r>
          </w:p>
        </w:tc>
        <w:tc>
          <w:tcPr>
            <w:tcW w:w="3880" w:type="dxa"/>
            <w:vAlign w:val="bottom"/>
          </w:tcPr>
          <w:p>
            <w:pPr>
              <w:spacing w:after="0"/>
              <w:rPr>
                <w:sz w:val="24"/>
                <w:szCs w:val="24"/>
                <w:color w:val="auto"/>
              </w:rPr>
            </w:pPr>
          </w:p>
        </w:tc>
        <w:tc>
          <w:tcPr>
            <w:tcW w:w="1120" w:type="dxa"/>
            <w:vAlign w:val="bottom"/>
          </w:tcPr>
          <w:p>
            <w:pPr>
              <w:jc w:val="right"/>
              <w:ind w:right="25"/>
              <w:spacing w:after="0"/>
              <w:rPr>
                <w:sz w:val="20"/>
                <w:szCs w:val="20"/>
                <w:color w:val="auto"/>
              </w:rPr>
            </w:pPr>
            <w:r>
              <w:rPr>
                <w:rFonts w:ascii="Arial" w:cs="Arial" w:eastAsia="Arial" w:hAnsi="Arial"/>
                <w:sz w:val="19"/>
                <w:szCs w:val="19"/>
                <w:color w:val="auto"/>
              </w:rPr>
              <w:t>25,000</w:t>
            </w:r>
          </w:p>
        </w:tc>
      </w:tr>
      <w:tr>
        <w:trPr>
          <w:trHeight w:val="38"/>
        </w:trPr>
        <w:tc>
          <w:tcPr>
            <w:tcW w:w="440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4"/>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Thereafter</w:t>
            </w:r>
          </w:p>
        </w:tc>
        <w:tc>
          <w:tcPr>
            <w:tcW w:w="38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5,155</w:t>
            </w:r>
          </w:p>
        </w:tc>
      </w:tr>
      <w:tr>
        <w:trPr>
          <w:trHeight w:val="276"/>
        </w:trPr>
        <w:tc>
          <w:tcPr>
            <w:tcW w:w="4400" w:type="dxa"/>
            <w:vAlign w:val="bottom"/>
          </w:tcPr>
          <w:p>
            <w:pPr>
              <w:ind w:left="60"/>
              <w:spacing w:after="0"/>
              <w:rPr>
                <w:sz w:val="20"/>
                <w:szCs w:val="20"/>
                <w:color w:val="auto"/>
              </w:rPr>
            </w:pPr>
            <w:r>
              <w:rPr>
                <w:rFonts w:ascii="Arial" w:cs="Arial" w:eastAsia="Arial" w:hAnsi="Arial"/>
                <w:sz w:val="19"/>
                <w:szCs w:val="19"/>
                <w:color w:val="auto"/>
              </w:rPr>
              <w:t>Total</w:t>
            </w:r>
          </w:p>
        </w:tc>
        <w:tc>
          <w:tcPr>
            <w:tcW w:w="3880" w:type="dxa"/>
            <w:vAlign w:val="bottom"/>
          </w:tcPr>
          <w:p>
            <w:pPr>
              <w:jc w:val="right"/>
              <w:ind w:right="385"/>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25"/>
              <w:spacing w:after="0"/>
              <w:rPr>
                <w:sz w:val="20"/>
                <w:szCs w:val="20"/>
                <w:color w:val="auto"/>
              </w:rPr>
            </w:pPr>
            <w:r>
              <w:rPr>
                <w:rFonts w:ascii="Arial" w:cs="Arial" w:eastAsia="Arial" w:hAnsi="Arial"/>
                <w:sz w:val="19"/>
                <w:szCs w:val="19"/>
                <w:color w:val="auto"/>
              </w:rPr>
              <w:t>30,155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-1384935</wp:posOffset>
            </wp:positionV>
            <wp:extent cx="5967730"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5967730" cy="6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5967730" cy="285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18</w:t>
      </w:r>
    </w:p>
    <w:p>
      <w:pPr>
        <w:sectPr>
          <w:pgSz w:w="11900" w:h="16838" w:orient="portrait"/>
          <w:cols w:equalWidth="0" w:num="1">
            <w:col w:w="9400"/>
          </w:cols>
          <w:pgMar w:left="1260" w:top="1206" w:right="1246" w:bottom="0" w:gutter="0" w:footer="0" w:header="0"/>
          <w:type w:val="continuous"/>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b w:val="1"/>
          <w:bCs w:val="1"/>
          <w:color w:val="auto"/>
        </w:rPr>
        <w:t>NOTE 14: EMPLOYEE BENEFITS AND DEFERRED COMPENSATION AND SUPPLEMENTAL RETIREMENT PLANS</w:t>
      </w:r>
    </w:p>
    <w:p>
      <w:pPr>
        <w:spacing w:after="0" w:line="141"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The Company has a noncontributory defined benefit pension plan covering substantially all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will be no future benefit accruals after this date. Participants as of June 30, 2012 will continue to earn vesting credit with respect to their frozen accrued benefits as they continue to work.</w:t>
      </w:r>
    </w:p>
    <w:p>
      <w:pPr>
        <w:spacing w:after="0" w:line="107"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36"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The following tables set forth the changes in the plans’ benefit obligations, fair value of plan assets and the plans’ funded status as of and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20"/>
                <w:szCs w:val="20"/>
                <w:color w:val="auto"/>
                <w:w w:val="97"/>
              </w:rPr>
              <w:t>Pension Benefits</w:t>
            </w:r>
          </w:p>
        </w:tc>
        <w:tc>
          <w:tcPr>
            <w:tcW w:w="2260" w:type="dxa"/>
            <w:vAlign w:val="bottom"/>
            <w:gridSpan w:val="4"/>
          </w:tcPr>
          <w:p>
            <w:pPr>
              <w:jc w:val="right"/>
              <w:ind w:right="120"/>
              <w:spacing w:after="0"/>
              <w:rPr>
                <w:sz w:val="20"/>
                <w:szCs w:val="20"/>
                <w:color w:val="auto"/>
              </w:rPr>
            </w:pPr>
            <w:r>
              <w:rPr>
                <w:rFonts w:ascii="Arial" w:cs="Arial" w:eastAsia="Arial" w:hAnsi="Arial"/>
                <w:sz w:val="20"/>
                <w:szCs w:val="20"/>
                <w:color w:val="auto"/>
                <w:w w:val="97"/>
              </w:rPr>
              <w:t>Postretirement Benefits</w:t>
            </w:r>
          </w:p>
        </w:tc>
      </w:tr>
      <w:tr>
        <w:trPr>
          <w:trHeight w:val="324"/>
        </w:trPr>
        <w:tc>
          <w:tcPr>
            <w:tcW w:w="474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40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2025</w:t>
            </w:r>
          </w:p>
        </w:tc>
        <w:tc>
          <w:tcPr>
            <w:tcW w:w="3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2024</w:t>
            </w:r>
          </w:p>
        </w:tc>
        <w:tc>
          <w:tcPr>
            <w:tcW w:w="380" w:type="dxa"/>
            <w:vAlign w:val="bottom"/>
          </w:tcPr>
          <w:p>
            <w:pPr>
              <w:spacing w:after="0"/>
              <w:rPr>
                <w:sz w:val="24"/>
                <w:szCs w:val="24"/>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2025</w:t>
            </w:r>
          </w:p>
        </w:tc>
        <w:tc>
          <w:tcPr>
            <w:tcW w:w="40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51"/>
        </w:trPr>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94"/>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benefit obligations:</w:t>
            </w:r>
          </w:p>
        </w:tc>
        <w:tc>
          <w:tcPr>
            <w:tcW w:w="4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r>
      <w:tr>
        <w:trPr>
          <w:trHeight w:val="274"/>
        </w:trPr>
        <w:tc>
          <w:tcPr>
            <w:tcW w:w="4740" w:type="dxa"/>
            <w:vAlign w:val="bottom"/>
          </w:tcPr>
          <w:p>
            <w:pPr>
              <w:ind w:left="80"/>
              <w:spacing w:after="0"/>
              <w:rPr>
                <w:sz w:val="20"/>
                <w:szCs w:val="20"/>
                <w:color w:val="auto"/>
              </w:rPr>
            </w:pPr>
            <w:r>
              <w:rPr>
                <w:rFonts w:ascii="Arial" w:cs="Arial" w:eastAsia="Arial" w:hAnsi="Arial"/>
                <w:sz w:val="20"/>
                <w:szCs w:val="20"/>
                <w:color w:val="auto"/>
              </w:rPr>
              <w:t>Benefit obligations at beginning of year</w:t>
            </w: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9,347</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9,586</w:t>
            </w:r>
          </w:p>
        </w:tc>
        <w:tc>
          <w:tcPr>
            <w:tcW w:w="38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123</w:t>
            </w:r>
          </w:p>
        </w:tc>
        <w:tc>
          <w:tcPr>
            <w:tcW w:w="40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120</w:t>
            </w:r>
          </w:p>
        </w:tc>
      </w:tr>
      <w:tr>
        <w:trPr>
          <w:trHeight w:val="41"/>
        </w:trPr>
        <w:tc>
          <w:tcPr>
            <w:tcW w:w="4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4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Service cost</w:t>
            </w:r>
          </w:p>
        </w:tc>
        <w:tc>
          <w:tcPr>
            <w:tcW w:w="4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4740" w:type="dxa"/>
            <w:vAlign w:val="bottom"/>
          </w:tcPr>
          <w:p>
            <w:pPr>
              <w:ind w:left="80"/>
              <w:spacing w:after="0"/>
              <w:rPr>
                <w:sz w:val="20"/>
                <w:szCs w:val="20"/>
                <w:color w:val="auto"/>
              </w:rPr>
            </w:pPr>
            <w:r>
              <w:rPr>
                <w:rFonts w:ascii="Arial" w:cs="Arial" w:eastAsia="Arial" w:hAnsi="Arial"/>
                <w:sz w:val="20"/>
                <w:szCs w:val="20"/>
                <w:color w:val="auto"/>
              </w:rPr>
              <w:t>Interest cost</w:t>
            </w:r>
          </w:p>
        </w:tc>
        <w:tc>
          <w:tcPr>
            <w:tcW w:w="4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575</w:t>
            </w:r>
          </w:p>
        </w:tc>
        <w:tc>
          <w:tcPr>
            <w:tcW w:w="3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556</w:t>
            </w:r>
          </w:p>
        </w:tc>
        <w:tc>
          <w:tcPr>
            <w:tcW w:w="38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7</w:t>
            </w:r>
          </w:p>
        </w:tc>
        <w:tc>
          <w:tcPr>
            <w:tcW w:w="4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7</w:t>
            </w:r>
          </w:p>
        </w:tc>
      </w:tr>
      <w:tr>
        <w:trPr>
          <w:trHeight w:val="41"/>
        </w:trPr>
        <w:tc>
          <w:tcPr>
            <w:tcW w:w="4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4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Plan participants' contribution</w:t>
            </w:r>
          </w:p>
        </w:tc>
        <w:tc>
          <w:tcPr>
            <w:tcW w:w="4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6</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r>
      <w:tr>
        <w:trPr>
          <w:trHeight w:val="274"/>
        </w:trPr>
        <w:tc>
          <w:tcPr>
            <w:tcW w:w="4740" w:type="dxa"/>
            <w:vAlign w:val="bottom"/>
          </w:tcPr>
          <w:p>
            <w:pPr>
              <w:ind w:left="80"/>
              <w:spacing w:after="0"/>
              <w:rPr>
                <w:sz w:val="20"/>
                <w:szCs w:val="20"/>
                <w:color w:val="auto"/>
              </w:rPr>
            </w:pPr>
            <w:r>
              <w:rPr>
                <w:rFonts w:ascii="Arial" w:cs="Arial" w:eastAsia="Arial" w:hAnsi="Arial"/>
                <w:sz w:val="20"/>
                <w:szCs w:val="20"/>
                <w:color w:val="auto"/>
                <w:w w:val="93"/>
              </w:rPr>
              <w:t>Plan amendments, curtailments, and special termination</w:t>
            </w: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00"/>
        </w:trPr>
        <w:tc>
          <w:tcPr>
            <w:tcW w:w="4740" w:type="dxa"/>
            <w:vAlign w:val="bottom"/>
          </w:tcPr>
          <w:p>
            <w:pPr>
              <w:ind w:left="80"/>
              <w:spacing w:after="0"/>
              <w:rPr>
                <w:sz w:val="20"/>
                <w:szCs w:val="20"/>
                <w:color w:val="auto"/>
              </w:rPr>
            </w:pPr>
            <w:r>
              <w:rPr>
                <w:rFonts w:ascii="Arial" w:cs="Arial" w:eastAsia="Arial" w:hAnsi="Arial"/>
                <w:sz w:val="20"/>
                <w:szCs w:val="20"/>
                <w:color w:val="auto"/>
              </w:rPr>
              <w:t>benefits</w:t>
            </w:r>
          </w:p>
        </w:tc>
        <w:tc>
          <w:tcPr>
            <w:tcW w:w="40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146</w:t>
            </w:r>
          </w:p>
        </w:tc>
        <w:tc>
          <w:tcPr>
            <w:tcW w:w="3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4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4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Actuarial (gain) loss</w:t>
            </w:r>
          </w:p>
        </w:tc>
        <w:tc>
          <w:tcPr>
            <w:tcW w:w="4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96</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(343)</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23</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w:t>
            </w:r>
          </w:p>
        </w:tc>
      </w:tr>
      <w:tr>
        <w:trPr>
          <w:trHeight w:val="274"/>
        </w:trPr>
        <w:tc>
          <w:tcPr>
            <w:tcW w:w="4740" w:type="dxa"/>
            <w:vAlign w:val="bottom"/>
          </w:tcPr>
          <w:p>
            <w:pPr>
              <w:ind w:left="80"/>
              <w:spacing w:after="0"/>
              <w:rPr>
                <w:sz w:val="20"/>
                <w:szCs w:val="20"/>
                <w:color w:val="auto"/>
              </w:rPr>
            </w:pPr>
            <w:r>
              <w:rPr>
                <w:rFonts w:ascii="Arial" w:cs="Arial" w:eastAsia="Arial" w:hAnsi="Arial"/>
                <w:sz w:val="20"/>
                <w:szCs w:val="20"/>
                <w:color w:val="auto"/>
              </w:rPr>
              <w:t>Benefits paid</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(788)</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(452)</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(21)</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51"/>
        </w:trPr>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4"/>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Benefit obligations at end of year</w:t>
            </w:r>
          </w:p>
        </w:tc>
        <w:tc>
          <w:tcPr>
            <w:tcW w:w="4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9,376</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9,347</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138</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123</w:t>
            </w:r>
          </w:p>
        </w:tc>
      </w:tr>
      <w:tr>
        <w:trPr>
          <w:trHeight w:val="274"/>
        </w:trPr>
        <w:tc>
          <w:tcPr>
            <w:tcW w:w="4740" w:type="dxa"/>
            <w:vAlign w:val="bottom"/>
          </w:tcPr>
          <w:p>
            <w:pPr>
              <w:spacing w:after="0"/>
              <w:rPr>
                <w:sz w:val="20"/>
                <w:szCs w:val="20"/>
                <w:color w:val="auto"/>
              </w:rPr>
            </w:pPr>
            <w:r>
              <w:rPr>
                <w:rFonts w:ascii="Arial" w:cs="Arial" w:eastAsia="Arial" w:hAnsi="Arial"/>
                <w:sz w:val="20"/>
                <w:szCs w:val="20"/>
                <w:color w:val="auto"/>
              </w:rPr>
              <w:t>Change in plan assets:</w:t>
            </w: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41"/>
        </w:trPr>
        <w:tc>
          <w:tcPr>
            <w:tcW w:w="4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4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Fair value of plan assets at beginning of year</w:t>
            </w:r>
          </w:p>
        </w:tc>
        <w:tc>
          <w:tcPr>
            <w:tcW w:w="4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17,295</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17,108</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4740" w:type="dxa"/>
            <w:vAlign w:val="bottom"/>
          </w:tcPr>
          <w:p>
            <w:pPr>
              <w:ind w:left="80"/>
              <w:spacing w:after="0"/>
              <w:rPr>
                <w:sz w:val="20"/>
                <w:szCs w:val="20"/>
                <w:color w:val="auto"/>
              </w:rPr>
            </w:pPr>
            <w:r>
              <w:rPr>
                <w:rFonts w:ascii="Arial" w:cs="Arial" w:eastAsia="Arial" w:hAnsi="Arial"/>
                <w:sz w:val="20"/>
                <w:szCs w:val="20"/>
                <w:color w:val="auto"/>
              </w:rPr>
              <w:t>Actual return on plan assets</w:t>
            </w:r>
          </w:p>
        </w:tc>
        <w:tc>
          <w:tcPr>
            <w:tcW w:w="4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2,054</w:t>
            </w:r>
          </w:p>
        </w:tc>
        <w:tc>
          <w:tcPr>
            <w:tcW w:w="3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639</w:t>
            </w:r>
          </w:p>
        </w:tc>
        <w:tc>
          <w:tcPr>
            <w:tcW w:w="38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4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4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Benefits paid</w:t>
            </w:r>
          </w:p>
        </w:tc>
        <w:tc>
          <w:tcPr>
            <w:tcW w:w="4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(788)</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(452)</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w:t>
            </w:r>
          </w:p>
        </w:tc>
      </w:tr>
      <w:tr>
        <w:trPr>
          <w:trHeight w:val="274"/>
        </w:trPr>
        <w:tc>
          <w:tcPr>
            <w:tcW w:w="4740" w:type="dxa"/>
            <w:vAlign w:val="bottom"/>
          </w:tcPr>
          <w:p>
            <w:pPr>
              <w:ind w:left="80"/>
              <w:spacing w:after="0"/>
              <w:rPr>
                <w:sz w:val="20"/>
                <w:szCs w:val="20"/>
                <w:color w:val="auto"/>
              </w:rPr>
            </w:pPr>
            <w:r>
              <w:rPr>
                <w:rFonts w:ascii="Arial" w:cs="Arial" w:eastAsia="Arial" w:hAnsi="Arial"/>
                <w:sz w:val="20"/>
                <w:szCs w:val="20"/>
                <w:color w:val="auto"/>
              </w:rPr>
              <w:t>Plan participants' contribution</w:t>
            </w:r>
          </w:p>
        </w:tc>
        <w:tc>
          <w:tcPr>
            <w:tcW w:w="4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6</w:t>
            </w:r>
          </w:p>
        </w:tc>
        <w:tc>
          <w:tcPr>
            <w:tcW w:w="4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6</w:t>
            </w:r>
          </w:p>
        </w:tc>
      </w:tr>
      <w:tr>
        <w:trPr>
          <w:trHeight w:val="41"/>
        </w:trPr>
        <w:tc>
          <w:tcPr>
            <w:tcW w:w="4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304"/>
        </w:trPr>
        <w:tc>
          <w:tcPr>
            <w:tcW w:w="4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Employer contributions</w:t>
            </w:r>
          </w:p>
        </w:tc>
        <w:tc>
          <w:tcPr>
            <w:tcW w:w="4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15</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w:t>
            </w:r>
          </w:p>
        </w:tc>
      </w:tr>
      <w:tr>
        <w:trPr>
          <w:trHeight w:val="274"/>
        </w:trPr>
        <w:tc>
          <w:tcPr>
            <w:tcW w:w="4740" w:type="dxa"/>
            <w:vAlign w:val="bottom"/>
          </w:tcPr>
          <w:p>
            <w:pPr>
              <w:spacing w:after="0"/>
              <w:rPr>
                <w:sz w:val="20"/>
                <w:szCs w:val="20"/>
                <w:color w:val="auto"/>
              </w:rPr>
            </w:pPr>
            <w:r>
              <w:rPr>
                <w:rFonts w:ascii="Arial" w:cs="Arial" w:eastAsia="Arial" w:hAnsi="Arial"/>
                <w:sz w:val="20"/>
                <w:szCs w:val="20"/>
                <w:color w:val="auto"/>
              </w:rPr>
              <w:t>Fair value of plan assets at end of year</w:t>
            </w:r>
          </w:p>
        </w:tc>
        <w:tc>
          <w:tcPr>
            <w:tcW w:w="4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18,561</w:t>
            </w:r>
          </w:p>
        </w:tc>
        <w:tc>
          <w:tcPr>
            <w:tcW w:w="3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17,295</w:t>
            </w:r>
          </w:p>
        </w:tc>
        <w:tc>
          <w:tcPr>
            <w:tcW w:w="38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51"/>
        </w:trPr>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4"/>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Funded (unfunded) status - asset (liability)</w:t>
            </w:r>
          </w:p>
        </w:tc>
        <w:tc>
          <w:tcPr>
            <w:tcW w:w="4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9,185</w:t>
            </w:r>
          </w:p>
        </w:tc>
        <w:tc>
          <w:tcPr>
            <w:tcW w:w="3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7,948</w:t>
            </w:r>
          </w:p>
        </w:tc>
        <w:tc>
          <w:tcPr>
            <w:tcW w:w="38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(138)</w:t>
            </w:r>
          </w:p>
        </w:tc>
        <w:tc>
          <w:tcPr>
            <w:tcW w:w="40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(123)</w:t>
            </w:r>
          </w:p>
        </w:tc>
      </w:tr>
      <w:tr>
        <w:trPr>
          <w:trHeight w:val="86"/>
        </w:trPr>
        <w:tc>
          <w:tcPr>
            <w:tcW w:w="474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-3850005</wp:posOffset>
            </wp:positionV>
            <wp:extent cx="2839720"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83972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-3644265</wp:posOffset>
            </wp:positionV>
            <wp:extent cx="5967730" cy="6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-1850390</wp:posOffset>
            </wp:positionV>
            <wp:extent cx="5967730" cy="63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-1644015</wp:posOffset>
            </wp:positionV>
            <wp:extent cx="5967730" cy="63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5967730" cy="63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funded status of the pension was recorded within other assets on the Consolidated Statements of Condition. The unfunded status of the postretirement plan is recorded within other liabilities on the Consolidated Statements of Condition.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Amounts recognized in accumulated other comprehensive loss as of December 31 are as follows:</w:t>
      </w:r>
    </w:p>
    <w:p>
      <w:pPr>
        <w:spacing w:after="0" w:line="220" w:lineRule="exact"/>
        <w:rPr>
          <w:sz w:val="20"/>
          <w:szCs w:val="20"/>
          <w:color w:val="auto"/>
        </w:rPr>
      </w:pPr>
    </w:p>
    <w:p>
      <w:pPr>
        <w:ind w:left="5300"/>
        <w:spacing w:after="0"/>
        <w:tabs>
          <w:tab w:leader="none" w:pos="7300" w:val="left"/>
        </w:tabs>
        <w:rPr>
          <w:sz w:val="20"/>
          <w:szCs w:val="20"/>
          <w:color w:val="auto"/>
        </w:rPr>
      </w:pPr>
      <w:r>
        <w:rPr>
          <w:rFonts w:ascii="Arial" w:cs="Arial" w:eastAsia="Arial" w:hAnsi="Arial"/>
          <w:sz w:val="20"/>
          <w:szCs w:val="20"/>
          <w:color w:val="auto"/>
        </w:rPr>
        <w:t>Pension Benefits</w:t>
      </w:r>
      <w:r>
        <w:rPr>
          <w:sz w:val="20"/>
          <w:szCs w:val="20"/>
          <w:color w:val="auto"/>
        </w:rPr>
        <w:tab/>
      </w:r>
      <w:r>
        <w:rPr>
          <w:rFonts w:ascii="Arial" w:cs="Arial" w:eastAsia="Arial" w:hAnsi="Arial"/>
          <w:sz w:val="18"/>
          <w:szCs w:val="18"/>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26035</wp:posOffset>
            </wp:positionV>
            <wp:extent cx="2825750" cy="6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82575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18</w:t>
      </w:r>
    </w:p>
    <w:p>
      <w:pPr>
        <w:sectPr>
          <w:pgSz w:w="11900" w:h="16838" w:orient="portrait"/>
          <w:cols w:equalWidth="0" w:num="1">
            <w:col w:w="9400"/>
          </w:cols>
          <w:pgMar w:left="1260" w:top="1440" w:right="1246" w:bottom="0" w:gutter="0" w:footer="0" w:header="0"/>
          <w:type w:val="continuous"/>
        </w:sectPr>
      </w:pPr>
    </w:p>
    <w:bookmarkStart w:id="214" w:name="page215"/>
    <w:bookmarkEnd w:id="214"/>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2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2025</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2024</w:t>
            </w:r>
          </w:p>
        </w:tc>
        <w:tc>
          <w:tcPr>
            <w:tcW w:w="42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2025</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2024</w:t>
            </w:r>
          </w:p>
        </w:tc>
      </w:tr>
      <w:tr>
        <w:trPr>
          <w:trHeight w:val="310"/>
        </w:trPr>
        <w:tc>
          <w:tcPr>
            <w:tcW w:w="3060" w:type="dxa"/>
            <w:vAlign w:val="bottom"/>
          </w:tcPr>
          <w:p>
            <w:pPr>
              <w:spacing w:after="0"/>
              <w:rPr>
                <w:sz w:val="20"/>
                <w:szCs w:val="20"/>
                <w:color w:val="auto"/>
              </w:rPr>
            </w:pPr>
            <w:r>
              <w:rPr>
                <w:rFonts w:ascii="Arial" w:cs="Arial" w:eastAsia="Arial" w:hAnsi="Arial"/>
                <w:sz w:val="20"/>
                <w:szCs w:val="20"/>
                <w:color w:val="auto"/>
              </w:rPr>
              <w:t>Net loss (gain)</w:t>
            </w:r>
          </w:p>
        </w:tc>
        <w:tc>
          <w:tcPr>
            <w:tcW w:w="21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1,704</w:t>
            </w:r>
          </w:p>
        </w:tc>
        <w:tc>
          <w:tcPr>
            <w:tcW w:w="40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2,782</w:t>
            </w:r>
          </w:p>
        </w:tc>
        <w:tc>
          <w:tcPr>
            <w:tcW w:w="42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(56)</w:t>
            </w:r>
          </w:p>
        </w:tc>
        <w:tc>
          <w:tcPr>
            <w:tcW w:w="40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41"/>
        </w:trPr>
        <w:tc>
          <w:tcPr>
            <w:tcW w:w="30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0"/>
        </w:trPr>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Tax Effect</w:t>
            </w:r>
          </w:p>
        </w:tc>
        <w:tc>
          <w:tcPr>
            <w:tcW w:w="2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444</w:t>
            </w:r>
          </w:p>
        </w:tc>
        <w:tc>
          <w:tcPr>
            <w:tcW w:w="4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726</w:t>
            </w:r>
          </w:p>
        </w:tc>
        <w:tc>
          <w:tcPr>
            <w:tcW w:w="4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w:t>
            </w:r>
          </w:p>
        </w:tc>
      </w:tr>
      <w:tr>
        <w:trPr>
          <w:trHeight w:val="259"/>
        </w:trPr>
        <w:tc>
          <w:tcPr>
            <w:tcW w:w="3060" w:type="dxa"/>
            <w:vAlign w:val="bottom"/>
          </w:tcPr>
          <w:p>
            <w:pPr>
              <w:spacing w:after="0"/>
              <w:rPr>
                <w:sz w:val="22"/>
                <w:szCs w:val="22"/>
                <w:color w:val="auto"/>
              </w:rPr>
            </w:pPr>
          </w:p>
        </w:tc>
        <w:tc>
          <w:tcPr>
            <w:tcW w:w="21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1,260</w:t>
            </w:r>
          </w:p>
        </w:tc>
        <w:tc>
          <w:tcPr>
            <w:tcW w:w="40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2,056</w:t>
            </w:r>
          </w:p>
        </w:tc>
        <w:tc>
          <w:tcPr>
            <w:tcW w:w="42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(41)</w:t>
            </w:r>
          </w:p>
        </w:tc>
        <w:tc>
          <w:tcPr>
            <w:tcW w:w="40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5967730"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-170180</wp:posOffset>
            </wp:positionV>
            <wp:extent cx="5967730"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45"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Gains and losses in excess of 10% of the greater of the benefit obligation or the fair value of assets are amortized over the average remaining service period of active participants.</w:t>
      </w:r>
    </w:p>
    <w:p>
      <w:pPr>
        <w:spacing w:after="0" w:line="141"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Company utilized the actual projected cash flows of the participants in both plans for the years ended December 31, 2025 and 2024. The following points address the approach taken.</w:t>
      </w:r>
    </w:p>
    <w:p>
      <w:pPr>
        <w:spacing w:after="0" w:line="187" w:lineRule="exact"/>
        <w:rPr>
          <w:sz w:val="20"/>
          <w:szCs w:val="20"/>
          <w:color w:val="auto"/>
        </w:rPr>
      </w:pPr>
    </w:p>
    <w:p>
      <w:pPr>
        <w:jc w:val="both"/>
        <w:ind w:left="840" w:right="60" w:hanging="420"/>
        <w:spacing w:after="0" w:line="370" w:lineRule="auto"/>
        <w:tabs>
          <w:tab w:leader="none" w:pos="8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 analysis of the defined benefit pension plan’s expected future cash flows and high-quality fixed income investments currently available and expected to be available during the period to maturity of the pension benefits yielded a single discount rate of 6.22% at December 31, 2025.</w:t>
      </w:r>
    </w:p>
    <w:p>
      <w:pPr>
        <w:spacing w:after="0" w:line="136" w:lineRule="exact"/>
        <w:rPr>
          <w:rFonts w:ascii="Arial" w:cs="Arial" w:eastAsia="Arial" w:hAnsi="Arial"/>
          <w:sz w:val="20"/>
          <w:szCs w:val="20"/>
          <w:color w:val="auto"/>
        </w:rPr>
      </w:pPr>
    </w:p>
    <w:p>
      <w:pPr>
        <w:jc w:val="both"/>
        <w:ind w:left="840" w:right="60" w:hanging="420"/>
        <w:spacing w:after="0" w:line="396" w:lineRule="auto"/>
        <w:tabs>
          <w:tab w:leader="none" w:pos="8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 analysis of the postretirement health plan’s expected future cash flows and high-quality fixed-income investments currently available and expected to be available during the period to maturity of the retiree medical benefits yielded a single discount rate of 6.22% at December 31, 2025.</w:t>
      </w:r>
    </w:p>
    <w:p>
      <w:pPr>
        <w:spacing w:after="0" w:line="185" w:lineRule="exact"/>
        <w:rPr>
          <w:rFonts w:ascii="Arial" w:cs="Arial" w:eastAsia="Arial" w:hAnsi="Arial"/>
          <w:sz w:val="19"/>
          <w:szCs w:val="19"/>
          <w:color w:val="auto"/>
        </w:rPr>
      </w:pPr>
    </w:p>
    <w:p>
      <w:pPr>
        <w:ind w:left="4580" w:hanging="125"/>
        <w:spacing w:after="0"/>
        <w:tabs>
          <w:tab w:leader="none" w:pos="45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18</w:t>
      </w:r>
    </w:p>
    <w:p>
      <w:pPr>
        <w:sectPr>
          <w:pgSz w:w="11900" w:h="16838" w:orient="portrait"/>
          <w:cols w:equalWidth="0" w:num="1">
            <w:col w:w="9400"/>
          </w:cols>
          <w:pgMar w:left="1260" w:top="1163" w:right="1246" w:bottom="0" w:gutter="0" w:footer="0" w:header="0"/>
          <w:type w:val="continuous"/>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840" w:right="60" w:hanging="420"/>
        <w:spacing w:after="0" w:line="370" w:lineRule="auto"/>
        <w:tabs>
          <w:tab w:leader="none" w:pos="8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Each discount rate was developed by matching the expected future cash flows of the Bank to high quality bonds. Every bond considered has earned ratings of at least AA by Fitch Group, AA by Standard &amp; Poor’s, or Aa2 by Moody’s Investor Services.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The significant assumptions used in determining the benefit obligations as of December 31,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9"/>
                <w:szCs w:val="19"/>
                <w:color w:val="auto"/>
              </w:rPr>
              <w:t>Pension Benefits</w:t>
            </w:r>
          </w:p>
        </w:tc>
        <w:tc>
          <w:tcPr>
            <w:tcW w:w="680" w:type="dxa"/>
            <w:vAlign w:val="bottom"/>
          </w:tcPr>
          <w:p>
            <w:pPr>
              <w:spacing w:after="0"/>
              <w:rPr>
                <w:sz w:val="18"/>
                <w:szCs w:val="18"/>
                <w:color w:val="auto"/>
              </w:rPr>
            </w:pPr>
          </w:p>
        </w:tc>
        <w:tc>
          <w:tcPr>
            <w:tcW w:w="2260" w:type="dxa"/>
            <w:vAlign w:val="bottom"/>
            <w:gridSpan w:val="2"/>
          </w:tcPr>
          <w:p>
            <w:pPr>
              <w:jc w:val="right"/>
              <w:ind w:right="245"/>
              <w:spacing w:after="0"/>
              <w:rPr>
                <w:sz w:val="20"/>
                <w:szCs w:val="20"/>
                <w:color w:val="auto"/>
              </w:rPr>
            </w:pPr>
            <w:r>
              <w:rPr>
                <w:rFonts w:ascii="Arial" w:cs="Arial" w:eastAsia="Arial" w:hAnsi="Arial"/>
                <w:sz w:val="19"/>
                <w:szCs w:val="19"/>
                <w:color w:val="auto"/>
                <w:w w:val="96"/>
              </w:rPr>
              <w:t>Postretirement Benefits</w:t>
            </w:r>
          </w:p>
        </w:tc>
      </w:tr>
      <w:tr>
        <w:trPr>
          <w:trHeight w:val="295"/>
        </w:trPr>
        <w:tc>
          <w:tcPr>
            <w:tcW w:w="4340" w:type="dxa"/>
            <w:vAlign w:val="bottom"/>
          </w:tcPr>
          <w:p>
            <w:pPr>
              <w:spacing w:after="0"/>
              <w:rPr>
                <w:sz w:val="24"/>
                <w:szCs w:val="24"/>
                <w:color w:val="auto"/>
              </w:rPr>
            </w:pPr>
          </w:p>
        </w:tc>
        <w:tc>
          <w:tcPr>
            <w:tcW w:w="2120" w:type="dxa"/>
            <w:vAlign w:val="bottom"/>
          </w:tcPr>
          <w:p>
            <w:pPr>
              <w:jc w:val="right"/>
              <w:ind w:right="685"/>
              <w:spacing w:after="0"/>
              <w:rPr>
                <w:sz w:val="20"/>
                <w:szCs w:val="20"/>
                <w:color w:val="auto"/>
              </w:rPr>
            </w:pPr>
            <w:r>
              <w:rPr>
                <w:rFonts w:ascii="Arial" w:cs="Arial" w:eastAsia="Arial" w:hAnsi="Arial"/>
                <w:sz w:val="19"/>
                <w:szCs w:val="19"/>
                <w:color w:val="auto"/>
              </w:rPr>
              <w:t>2025</w:t>
            </w:r>
          </w:p>
        </w:tc>
        <w:tc>
          <w:tcPr>
            <w:tcW w:w="680" w:type="dxa"/>
            <w:vAlign w:val="bottom"/>
          </w:tcPr>
          <w:p>
            <w:pPr>
              <w:jc w:val="right"/>
              <w:ind w:right="185"/>
              <w:spacing w:after="0"/>
              <w:rPr>
                <w:sz w:val="20"/>
                <w:szCs w:val="20"/>
                <w:color w:val="auto"/>
              </w:rPr>
            </w:pPr>
            <w:r>
              <w:rPr>
                <w:rFonts w:ascii="Arial" w:cs="Arial" w:eastAsia="Arial" w:hAnsi="Arial"/>
                <w:sz w:val="19"/>
                <w:szCs w:val="19"/>
                <w:color w:val="auto"/>
                <w:w w:val="89"/>
              </w:rPr>
              <w:t>2024</w:t>
            </w:r>
          </w:p>
        </w:tc>
        <w:tc>
          <w:tcPr>
            <w:tcW w:w="1380" w:type="dxa"/>
            <w:vAlign w:val="bottom"/>
          </w:tcPr>
          <w:p>
            <w:pPr>
              <w:jc w:val="right"/>
              <w:ind w:right="385"/>
              <w:spacing w:after="0"/>
              <w:rPr>
                <w:sz w:val="20"/>
                <w:szCs w:val="20"/>
                <w:color w:val="auto"/>
              </w:rPr>
            </w:pPr>
            <w:r>
              <w:rPr>
                <w:rFonts w:ascii="Arial" w:cs="Arial" w:eastAsia="Arial" w:hAnsi="Arial"/>
                <w:sz w:val="19"/>
                <w:szCs w:val="19"/>
                <w:color w:val="auto"/>
              </w:rPr>
              <w:t>2025</w:t>
            </w:r>
          </w:p>
        </w:tc>
        <w:tc>
          <w:tcPr>
            <w:tcW w:w="880" w:type="dxa"/>
            <w:vAlign w:val="bottom"/>
          </w:tcPr>
          <w:p>
            <w:pPr>
              <w:jc w:val="right"/>
              <w:ind w:right="65"/>
              <w:spacing w:after="0"/>
              <w:rPr>
                <w:sz w:val="20"/>
                <w:szCs w:val="20"/>
                <w:color w:val="auto"/>
              </w:rPr>
            </w:pPr>
            <w:r>
              <w:rPr>
                <w:rFonts w:ascii="Arial" w:cs="Arial" w:eastAsia="Arial" w:hAnsi="Arial"/>
                <w:sz w:val="19"/>
                <w:szCs w:val="19"/>
                <w:color w:val="auto"/>
              </w:rPr>
              <w:t>2024</w:t>
            </w:r>
          </w:p>
        </w:tc>
      </w:tr>
      <w:tr>
        <w:trPr>
          <w:trHeight w:val="48"/>
        </w:trPr>
        <w:tc>
          <w:tcPr>
            <w:tcW w:w="43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80"/>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Weighted average discount rate</w:t>
            </w:r>
          </w:p>
        </w:tc>
        <w:tc>
          <w:tcPr>
            <w:tcW w:w="2120" w:type="dxa"/>
            <w:vAlign w:val="bottom"/>
            <w:tcBorders>
              <w:bottom w:val="single" w:sz="8" w:color="CFF0FC"/>
            </w:tcBorders>
            <w:shd w:val="clear" w:color="auto" w:fill="CFF0FC"/>
          </w:tcPr>
          <w:p>
            <w:pPr>
              <w:jc w:val="right"/>
              <w:ind w:right="525"/>
              <w:spacing w:after="0"/>
              <w:rPr>
                <w:sz w:val="20"/>
                <w:szCs w:val="20"/>
                <w:color w:val="auto"/>
              </w:rPr>
            </w:pPr>
            <w:r>
              <w:rPr>
                <w:rFonts w:ascii="Arial" w:cs="Arial" w:eastAsia="Arial" w:hAnsi="Arial"/>
                <w:sz w:val="19"/>
                <w:szCs w:val="19"/>
                <w:color w:val="auto"/>
              </w:rPr>
              <w:t>6.22%</w:t>
            </w:r>
          </w:p>
        </w:tc>
        <w:tc>
          <w:tcPr>
            <w:tcW w:w="6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6.32%</w:t>
            </w:r>
          </w:p>
        </w:tc>
        <w:tc>
          <w:tcPr>
            <w:tcW w:w="1380" w:type="dxa"/>
            <w:vAlign w:val="bottom"/>
            <w:tcBorders>
              <w:bottom w:val="single" w:sz="8" w:color="CFF0FC"/>
            </w:tcBorders>
            <w:shd w:val="clear" w:color="auto" w:fill="CFF0FC"/>
          </w:tcPr>
          <w:p>
            <w:pPr>
              <w:jc w:val="right"/>
              <w:ind w:right="245"/>
              <w:spacing w:after="0"/>
              <w:rPr>
                <w:sz w:val="20"/>
                <w:szCs w:val="20"/>
                <w:color w:val="auto"/>
              </w:rPr>
            </w:pPr>
            <w:r>
              <w:rPr>
                <w:rFonts w:ascii="Arial" w:cs="Arial" w:eastAsia="Arial" w:hAnsi="Arial"/>
                <w:sz w:val="19"/>
                <w:szCs w:val="19"/>
                <w:color w:val="auto"/>
              </w:rPr>
              <w:t>6.22%</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6.32%</w:t>
            </w:r>
          </w:p>
        </w:tc>
      </w:tr>
      <w:tr>
        <w:trPr>
          <w:trHeight w:val="262"/>
        </w:trPr>
        <w:tc>
          <w:tcPr>
            <w:tcW w:w="4340" w:type="dxa"/>
            <w:vAlign w:val="bottom"/>
          </w:tcPr>
          <w:p>
            <w:pPr>
              <w:spacing w:after="0"/>
              <w:rPr>
                <w:sz w:val="20"/>
                <w:szCs w:val="20"/>
                <w:color w:val="auto"/>
              </w:rPr>
            </w:pPr>
            <w:r>
              <w:rPr>
                <w:rFonts w:ascii="Arial" w:cs="Arial" w:eastAsia="Arial" w:hAnsi="Arial"/>
                <w:sz w:val="19"/>
                <w:szCs w:val="19"/>
                <w:color w:val="auto"/>
              </w:rPr>
              <w:t>Rate of increase in future compensation levels</w:t>
            </w:r>
          </w:p>
        </w:tc>
        <w:tc>
          <w:tcPr>
            <w:tcW w:w="2120" w:type="dxa"/>
            <w:vAlign w:val="bottom"/>
          </w:tcPr>
          <w:p>
            <w:pPr>
              <w:jc w:val="right"/>
              <w:ind w:right="685"/>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380" w:type="dxa"/>
            <w:vAlign w:val="bottom"/>
          </w:tcPr>
          <w:p>
            <w:pPr>
              <w:jc w:val="right"/>
              <w:ind w:right="385"/>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65"/>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-549910</wp:posOffset>
            </wp:positionV>
            <wp:extent cx="2942590"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94259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-362585</wp:posOffset>
            </wp:positionV>
            <wp:extent cx="5967730"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5967730"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08"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Assumed health care cost trend rates have a significant effect on the amounts reported for the postretirement health care plan. The annual rate of increase in the per capita cost of covered medical benefits for future years was assumed to be 7.5% for 2026, gradually decreasing to 4.0% in 2075 and remain at that level thereafter. For covered prescription drug benefits, the annual rate of increase in the per capita cost for future years was assumed to be 6.5% for 2026, gradually decreasing to 4.0% in 2075 and remain at that level thereafter.</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The composition of the net periodic benefit plan (benefit) cost for the years ended December 31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80" w:type="dxa"/>
            <w:vAlign w:val="bottom"/>
            <w:gridSpan w:val="3"/>
          </w:tcPr>
          <w:p>
            <w:pPr>
              <w:jc w:val="right"/>
              <w:ind w:right="445"/>
              <w:spacing w:after="0"/>
              <w:rPr>
                <w:sz w:val="20"/>
                <w:szCs w:val="20"/>
                <w:color w:val="auto"/>
              </w:rPr>
            </w:pPr>
            <w:r>
              <w:rPr>
                <w:rFonts w:ascii="Arial" w:cs="Arial" w:eastAsia="Arial" w:hAnsi="Arial"/>
                <w:sz w:val="19"/>
                <w:szCs w:val="19"/>
                <w:color w:val="auto"/>
                <w:w w:val="99"/>
              </w:rPr>
              <w:t>Pension Benefits</w:t>
            </w:r>
          </w:p>
        </w:tc>
        <w:tc>
          <w:tcPr>
            <w:tcW w:w="200" w:type="dxa"/>
            <w:vAlign w:val="bottom"/>
          </w:tcPr>
          <w:p>
            <w:pPr>
              <w:spacing w:after="0"/>
              <w:rPr>
                <w:sz w:val="19"/>
                <w:szCs w:val="19"/>
                <w:color w:val="auto"/>
              </w:rPr>
            </w:pPr>
          </w:p>
        </w:tc>
        <w:tc>
          <w:tcPr>
            <w:tcW w:w="2080" w:type="dxa"/>
            <w:vAlign w:val="bottom"/>
            <w:gridSpan w:val="3"/>
          </w:tcPr>
          <w:p>
            <w:pPr>
              <w:jc w:val="right"/>
              <w:ind w:right="165"/>
              <w:spacing w:after="0"/>
              <w:rPr>
                <w:sz w:val="20"/>
                <w:szCs w:val="20"/>
                <w:color w:val="auto"/>
              </w:rPr>
            </w:pPr>
            <w:r>
              <w:rPr>
                <w:rFonts w:ascii="Arial" w:cs="Arial" w:eastAsia="Arial" w:hAnsi="Arial"/>
                <w:sz w:val="19"/>
                <w:szCs w:val="19"/>
                <w:color w:val="auto"/>
                <w:w w:val="91"/>
              </w:rPr>
              <w:t>Postretirement Benefits</w:t>
            </w:r>
          </w:p>
        </w:tc>
      </w:tr>
      <w:tr>
        <w:trPr>
          <w:trHeight w:val="309"/>
        </w:trPr>
        <w:tc>
          <w:tcPr>
            <w:tcW w:w="4380" w:type="dxa"/>
            <w:vAlign w:val="bottom"/>
          </w:tcPr>
          <w:p>
            <w:pPr>
              <w:spacing w:after="0"/>
              <w:rPr>
                <w:sz w:val="20"/>
                <w:szCs w:val="20"/>
                <w:color w:val="auto"/>
              </w:rPr>
            </w:pPr>
            <w:r>
              <w:rPr>
                <w:rFonts w:ascii="Arial" w:cs="Arial" w:eastAsia="Arial" w:hAnsi="Arial"/>
                <w:sz w:val="19"/>
                <w:szCs w:val="19"/>
                <w:i w:val="1"/>
                <w:iCs w:val="1"/>
                <w:color w:val="auto"/>
              </w:rPr>
              <w:t>(In thousands)</w:t>
            </w:r>
          </w:p>
        </w:tc>
        <w:tc>
          <w:tcPr>
            <w:tcW w:w="760" w:type="dxa"/>
            <w:vAlign w:val="bottom"/>
          </w:tcPr>
          <w:p>
            <w:pPr>
              <w:spacing w:after="0"/>
              <w:rPr>
                <w:sz w:val="24"/>
                <w:szCs w:val="24"/>
                <w:color w:val="auto"/>
              </w:rPr>
            </w:pPr>
          </w:p>
        </w:tc>
        <w:tc>
          <w:tcPr>
            <w:tcW w:w="840" w:type="dxa"/>
            <w:vAlign w:val="bottom"/>
          </w:tcPr>
          <w:p>
            <w:pPr>
              <w:jc w:val="right"/>
              <w:ind w:right="65"/>
              <w:spacing w:after="0"/>
              <w:rPr>
                <w:sz w:val="20"/>
                <w:szCs w:val="20"/>
                <w:color w:val="auto"/>
              </w:rPr>
            </w:pPr>
            <w:r>
              <w:rPr>
                <w:rFonts w:ascii="Arial" w:cs="Arial" w:eastAsia="Arial" w:hAnsi="Arial"/>
                <w:sz w:val="19"/>
                <w:szCs w:val="19"/>
                <w:color w:val="auto"/>
              </w:rPr>
              <w:t>2025</w:t>
            </w:r>
          </w:p>
        </w:tc>
        <w:tc>
          <w:tcPr>
            <w:tcW w:w="320" w:type="dxa"/>
            <w:vAlign w:val="bottom"/>
          </w:tcPr>
          <w:p>
            <w:pPr>
              <w:spacing w:after="0"/>
              <w:rPr>
                <w:sz w:val="24"/>
                <w:szCs w:val="24"/>
                <w:color w:val="auto"/>
              </w:rPr>
            </w:pPr>
          </w:p>
        </w:tc>
        <w:tc>
          <w:tcPr>
            <w:tcW w:w="820" w:type="dxa"/>
            <w:vAlign w:val="bottom"/>
          </w:tcPr>
          <w:p>
            <w:pPr>
              <w:jc w:val="right"/>
              <w:ind w:right="65"/>
              <w:spacing w:after="0"/>
              <w:rPr>
                <w:sz w:val="20"/>
                <w:szCs w:val="20"/>
                <w:color w:val="auto"/>
              </w:rPr>
            </w:pPr>
            <w:r>
              <w:rPr>
                <w:rFonts w:ascii="Arial" w:cs="Arial" w:eastAsia="Arial" w:hAnsi="Arial"/>
                <w:sz w:val="19"/>
                <w:szCs w:val="19"/>
                <w:color w:val="auto"/>
              </w:rPr>
              <w:t>2024</w:t>
            </w:r>
          </w:p>
        </w:tc>
        <w:tc>
          <w:tcPr>
            <w:tcW w:w="200" w:type="dxa"/>
            <w:vAlign w:val="bottom"/>
          </w:tcPr>
          <w:p>
            <w:pPr>
              <w:spacing w:after="0"/>
              <w:rPr>
                <w:sz w:val="24"/>
                <w:szCs w:val="24"/>
                <w:color w:val="auto"/>
              </w:rPr>
            </w:pPr>
          </w:p>
        </w:tc>
        <w:tc>
          <w:tcPr>
            <w:tcW w:w="960" w:type="dxa"/>
            <w:vAlign w:val="bottom"/>
          </w:tcPr>
          <w:p>
            <w:pPr>
              <w:jc w:val="right"/>
              <w:ind w:right="65"/>
              <w:spacing w:after="0"/>
              <w:rPr>
                <w:sz w:val="20"/>
                <w:szCs w:val="20"/>
                <w:color w:val="auto"/>
              </w:rPr>
            </w:pPr>
            <w:r>
              <w:rPr>
                <w:rFonts w:ascii="Arial" w:cs="Arial" w:eastAsia="Arial" w:hAnsi="Arial"/>
                <w:sz w:val="19"/>
                <w:szCs w:val="19"/>
                <w:color w:val="auto"/>
              </w:rPr>
              <w:t>2025</w:t>
            </w:r>
          </w:p>
        </w:tc>
        <w:tc>
          <w:tcPr>
            <w:tcW w:w="40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Arial" w:cs="Arial" w:eastAsia="Arial" w:hAnsi="Arial"/>
                <w:sz w:val="19"/>
                <w:szCs w:val="19"/>
                <w:color w:val="auto"/>
              </w:rPr>
              <w:t>2024</w:t>
            </w:r>
          </w:p>
        </w:tc>
      </w:tr>
      <w:tr>
        <w:trPr>
          <w:trHeight w:val="48"/>
        </w:trPr>
        <w:tc>
          <w:tcPr>
            <w:tcW w:w="4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94"/>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Service cost</w:t>
            </w:r>
          </w:p>
        </w:tc>
        <w:tc>
          <w:tcPr>
            <w:tcW w:w="76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w:t>
            </w:r>
          </w:p>
        </w:tc>
        <w:tc>
          <w:tcPr>
            <w:tcW w:w="32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w:t>
            </w:r>
          </w:p>
        </w:tc>
        <w:tc>
          <w:tcPr>
            <w:tcW w:w="400" w:type="dxa"/>
            <w:vAlign w:val="bottom"/>
            <w:tcBorders>
              <w:bottom w:val="single" w:sz="8" w:color="CFF0FC"/>
            </w:tcBorders>
            <w:shd w:val="clear" w:color="auto" w:fill="CFF0FC"/>
          </w:tcPr>
          <w:p>
            <w:pPr>
              <w:jc w:val="right"/>
              <w:ind w:right="145"/>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r>
      <w:tr>
        <w:trPr>
          <w:trHeight w:val="272"/>
        </w:trPr>
        <w:tc>
          <w:tcPr>
            <w:tcW w:w="4380" w:type="dxa"/>
            <w:vAlign w:val="bottom"/>
          </w:tcPr>
          <w:p>
            <w:pPr>
              <w:spacing w:after="0"/>
              <w:rPr>
                <w:sz w:val="20"/>
                <w:szCs w:val="20"/>
                <w:color w:val="auto"/>
              </w:rPr>
            </w:pPr>
            <w:r>
              <w:rPr>
                <w:rFonts w:ascii="Arial" w:cs="Arial" w:eastAsia="Arial" w:hAnsi="Arial"/>
                <w:sz w:val="19"/>
                <w:szCs w:val="19"/>
                <w:color w:val="auto"/>
              </w:rPr>
              <w:t>Interest cost</w:t>
            </w:r>
          </w:p>
        </w:tc>
        <w:tc>
          <w:tcPr>
            <w:tcW w:w="760" w:type="dxa"/>
            <w:vAlign w:val="bottom"/>
          </w:tcPr>
          <w:p>
            <w:pPr>
              <w:spacing w:after="0"/>
              <w:rPr>
                <w:sz w:val="23"/>
                <w:szCs w:val="23"/>
                <w:color w:val="auto"/>
              </w:rPr>
            </w:pPr>
          </w:p>
        </w:tc>
        <w:tc>
          <w:tcPr>
            <w:tcW w:w="840" w:type="dxa"/>
            <w:vAlign w:val="bottom"/>
          </w:tcPr>
          <w:p>
            <w:pPr>
              <w:jc w:val="right"/>
              <w:ind w:right="65"/>
              <w:spacing w:after="0"/>
              <w:rPr>
                <w:sz w:val="20"/>
                <w:szCs w:val="20"/>
                <w:color w:val="auto"/>
              </w:rPr>
            </w:pPr>
            <w:r>
              <w:rPr>
                <w:rFonts w:ascii="Arial" w:cs="Arial" w:eastAsia="Arial" w:hAnsi="Arial"/>
                <w:sz w:val="19"/>
                <w:szCs w:val="19"/>
                <w:color w:val="auto"/>
              </w:rPr>
              <w:t>575</w:t>
            </w:r>
          </w:p>
        </w:tc>
        <w:tc>
          <w:tcPr>
            <w:tcW w:w="320" w:type="dxa"/>
            <w:vAlign w:val="bottom"/>
          </w:tcPr>
          <w:p>
            <w:pPr>
              <w:spacing w:after="0"/>
              <w:rPr>
                <w:sz w:val="23"/>
                <w:szCs w:val="23"/>
                <w:color w:val="auto"/>
              </w:rPr>
            </w:pPr>
          </w:p>
        </w:tc>
        <w:tc>
          <w:tcPr>
            <w:tcW w:w="820" w:type="dxa"/>
            <w:vAlign w:val="bottom"/>
          </w:tcPr>
          <w:p>
            <w:pPr>
              <w:jc w:val="right"/>
              <w:ind w:right="65"/>
              <w:spacing w:after="0"/>
              <w:rPr>
                <w:sz w:val="20"/>
                <w:szCs w:val="20"/>
                <w:color w:val="auto"/>
              </w:rPr>
            </w:pPr>
            <w:r>
              <w:rPr>
                <w:rFonts w:ascii="Arial" w:cs="Arial" w:eastAsia="Arial" w:hAnsi="Arial"/>
                <w:sz w:val="19"/>
                <w:szCs w:val="19"/>
                <w:color w:val="auto"/>
              </w:rPr>
              <w:t>556</w:t>
            </w:r>
          </w:p>
        </w:tc>
        <w:tc>
          <w:tcPr>
            <w:tcW w:w="200" w:type="dxa"/>
            <w:vAlign w:val="bottom"/>
          </w:tcPr>
          <w:p>
            <w:pPr>
              <w:spacing w:after="0"/>
              <w:rPr>
                <w:sz w:val="23"/>
                <w:szCs w:val="23"/>
                <w:color w:val="auto"/>
              </w:rPr>
            </w:pPr>
          </w:p>
        </w:tc>
        <w:tc>
          <w:tcPr>
            <w:tcW w:w="960" w:type="dxa"/>
            <w:vAlign w:val="bottom"/>
          </w:tcPr>
          <w:p>
            <w:pPr>
              <w:jc w:val="right"/>
              <w:ind w:right="65"/>
              <w:spacing w:after="0"/>
              <w:rPr>
                <w:sz w:val="20"/>
                <w:szCs w:val="20"/>
                <w:color w:val="auto"/>
              </w:rPr>
            </w:pPr>
            <w:r>
              <w:rPr>
                <w:rFonts w:ascii="Arial" w:cs="Arial" w:eastAsia="Arial" w:hAnsi="Arial"/>
                <w:sz w:val="19"/>
                <w:szCs w:val="19"/>
                <w:color w:val="auto"/>
              </w:rPr>
              <w:t>7</w:t>
            </w:r>
          </w:p>
        </w:tc>
        <w:tc>
          <w:tcPr>
            <w:tcW w:w="400" w:type="dxa"/>
            <w:vAlign w:val="bottom"/>
          </w:tcPr>
          <w:p>
            <w:pPr>
              <w:spacing w:after="0"/>
              <w:rPr>
                <w:sz w:val="23"/>
                <w:szCs w:val="23"/>
                <w:color w:val="auto"/>
              </w:rPr>
            </w:pPr>
          </w:p>
        </w:tc>
        <w:tc>
          <w:tcPr>
            <w:tcW w:w="720" w:type="dxa"/>
            <w:vAlign w:val="bottom"/>
          </w:tcPr>
          <w:p>
            <w:pPr>
              <w:jc w:val="right"/>
              <w:ind w:right="25"/>
              <w:spacing w:after="0"/>
              <w:rPr>
                <w:sz w:val="20"/>
                <w:szCs w:val="20"/>
                <w:color w:val="auto"/>
              </w:rPr>
            </w:pPr>
            <w:r>
              <w:rPr>
                <w:rFonts w:ascii="Arial" w:cs="Arial" w:eastAsia="Arial" w:hAnsi="Arial"/>
                <w:sz w:val="19"/>
                <w:szCs w:val="19"/>
                <w:color w:val="auto"/>
              </w:rPr>
              <w:t>7</w:t>
            </w:r>
          </w:p>
        </w:tc>
      </w:tr>
      <w:tr>
        <w:trPr>
          <w:trHeight w:val="43"/>
        </w:trPr>
        <w:tc>
          <w:tcPr>
            <w:tcW w:w="4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Expected return on plan assets</w:t>
            </w:r>
          </w:p>
        </w:tc>
        <w:tc>
          <w:tcPr>
            <w:tcW w:w="7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(1,023)</w:t>
            </w:r>
          </w:p>
        </w:tc>
        <w:tc>
          <w:tcPr>
            <w:tcW w:w="3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(1,013)</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r>
      <w:tr>
        <w:trPr>
          <w:trHeight w:val="272"/>
        </w:trPr>
        <w:tc>
          <w:tcPr>
            <w:tcW w:w="4380" w:type="dxa"/>
            <w:vAlign w:val="bottom"/>
          </w:tcPr>
          <w:p>
            <w:pPr>
              <w:spacing w:after="0"/>
              <w:rPr>
                <w:sz w:val="20"/>
                <w:szCs w:val="20"/>
                <w:color w:val="auto"/>
              </w:rPr>
            </w:pPr>
            <w:r>
              <w:rPr>
                <w:rFonts w:ascii="Arial" w:cs="Arial" w:eastAsia="Arial" w:hAnsi="Arial"/>
                <w:sz w:val="19"/>
                <w:szCs w:val="19"/>
                <w:color w:val="auto"/>
              </w:rPr>
              <w:t>Amortization of transition obligation</w:t>
            </w:r>
          </w:p>
        </w:tc>
        <w:tc>
          <w:tcPr>
            <w:tcW w:w="760" w:type="dxa"/>
            <w:vAlign w:val="bottom"/>
          </w:tcPr>
          <w:p>
            <w:pPr>
              <w:spacing w:after="0"/>
              <w:rPr>
                <w:sz w:val="23"/>
                <w:szCs w:val="23"/>
                <w:color w:val="auto"/>
              </w:rPr>
            </w:pPr>
          </w:p>
        </w:tc>
        <w:tc>
          <w:tcPr>
            <w:tcW w:w="84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82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96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23"/>
                <w:szCs w:val="23"/>
                <w:color w:val="auto"/>
              </w:rPr>
            </w:pPr>
          </w:p>
        </w:tc>
        <w:tc>
          <w:tcPr>
            <w:tcW w:w="720" w:type="dxa"/>
            <w:vAlign w:val="bottom"/>
          </w:tcPr>
          <w:p>
            <w:pPr>
              <w:jc w:val="right"/>
              <w:ind w:right="25"/>
              <w:spacing w:after="0"/>
              <w:rPr>
                <w:sz w:val="20"/>
                <w:szCs w:val="20"/>
                <w:color w:val="auto"/>
              </w:rPr>
            </w:pPr>
            <w:r>
              <w:rPr>
                <w:rFonts w:ascii="Arial" w:cs="Arial" w:eastAsia="Arial" w:hAnsi="Arial"/>
                <w:sz w:val="19"/>
                <w:szCs w:val="19"/>
                <w:color w:val="auto"/>
              </w:rPr>
              <w:t>-</w:t>
            </w:r>
          </w:p>
        </w:tc>
      </w:tr>
      <w:tr>
        <w:trPr>
          <w:trHeight w:val="43"/>
        </w:trPr>
        <w:tc>
          <w:tcPr>
            <w:tcW w:w="4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Amortization of net losses/(gains)</w:t>
            </w:r>
          </w:p>
        </w:tc>
        <w:tc>
          <w:tcPr>
            <w:tcW w:w="7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142</w:t>
            </w:r>
          </w:p>
        </w:tc>
        <w:tc>
          <w:tcPr>
            <w:tcW w:w="3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158</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w:t>
            </w: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w:t>
            </w:r>
          </w:p>
        </w:tc>
      </w:tr>
      <w:tr>
        <w:trPr>
          <w:trHeight w:val="276"/>
        </w:trPr>
        <w:tc>
          <w:tcPr>
            <w:tcW w:w="4380" w:type="dxa"/>
            <w:vAlign w:val="bottom"/>
          </w:tcPr>
          <w:p>
            <w:pPr>
              <w:spacing w:after="0"/>
              <w:rPr>
                <w:sz w:val="20"/>
                <w:szCs w:val="20"/>
                <w:color w:val="auto"/>
              </w:rPr>
            </w:pPr>
            <w:r>
              <w:rPr>
                <w:rFonts w:ascii="Arial" w:cs="Arial" w:eastAsia="Arial" w:hAnsi="Arial"/>
                <w:sz w:val="19"/>
                <w:szCs w:val="19"/>
                <w:color w:val="auto"/>
              </w:rPr>
              <w:t>Amortization of unrecognized past service liability</w:t>
            </w:r>
          </w:p>
        </w:tc>
        <w:tc>
          <w:tcPr>
            <w:tcW w:w="760" w:type="dxa"/>
            <w:vAlign w:val="bottom"/>
          </w:tcPr>
          <w:p>
            <w:pPr>
              <w:spacing w:after="0"/>
              <w:rPr>
                <w:sz w:val="24"/>
                <w:szCs w:val="24"/>
                <w:color w:val="auto"/>
              </w:rPr>
            </w:pPr>
          </w:p>
        </w:tc>
        <w:tc>
          <w:tcPr>
            <w:tcW w:w="84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4"/>
                <w:szCs w:val="24"/>
                <w:color w:val="auto"/>
              </w:rPr>
            </w:pPr>
          </w:p>
        </w:tc>
        <w:tc>
          <w:tcPr>
            <w:tcW w:w="82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38"/>
        </w:trPr>
        <w:tc>
          <w:tcPr>
            <w:tcW w:w="4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304"/>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Impact of special termination benefits</w:t>
            </w:r>
          </w:p>
        </w:tc>
        <w:tc>
          <w:tcPr>
            <w:tcW w:w="7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146</w:t>
            </w:r>
          </w:p>
        </w:tc>
        <w:tc>
          <w:tcPr>
            <w:tcW w:w="3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r>
      <w:tr>
        <w:trPr>
          <w:trHeight w:val="276"/>
        </w:trPr>
        <w:tc>
          <w:tcPr>
            <w:tcW w:w="4380" w:type="dxa"/>
            <w:vAlign w:val="bottom"/>
          </w:tcPr>
          <w:p>
            <w:pPr>
              <w:spacing w:after="0"/>
              <w:rPr>
                <w:sz w:val="20"/>
                <w:szCs w:val="20"/>
                <w:color w:val="auto"/>
              </w:rPr>
            </w:pPr>
            <w:r>
              <w:rPr>
                <w:rFonts w:ascii="Arial" w:cs="Arial" w:eastAsia="Arial" w:hAnsi="Arial"/>
                <w:sz w:val="19"/>
                <w:szCs w:val="19"/>
                <w:color w:val="auto"/>
              </w:rPr>
              <w:t>Net periodic benefit plan (benefit) cost</w:t>
            </w:r>
          </w:p>
        </w:tc>
        <w:tc>
          <w:tcPr>
            <w:tcW w:w="76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(160)</w:t>
            </w:r>
          </w:p>
        </w:tc>
        <w:tc>
          <w:tcPr>
            <w:tcW w:w="32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(299)</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65"/>
              <w:spacing w:after="0"/>
              <w:rPr>
                <w:sz w:val="20"/>
                <w:szCs w:val="20"/>
                <w:color w:val="auto"/>
              </w:rPr>
            </w:pPr>
            <w:r>
              <w:rPr>
                <w:rFonts w:ascii="Arial" w:cs="Arial" w:eastAsia="Arial" w:hAnsi="Arial"/>
                <w:sz w:val="19"/>
                <w:szCs w:val="19"/>
                <w:color w:val="auto"/>
              </w:rPr>
              <w:t>1</w:t>
            </w:r>
          </w:p>
        </w:tc>
        <w:tc>
          <w:tcPr>
            <w:tcW w:w="40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-1781175</wp:posOffset>
            </wp:positionV>
            <wp:extent cx="2846705"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84670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-1584960</wp:posOffset>
            </wp:positionV>
            <wp:extent cx="5967730" cy="63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5967730" cy="63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5967730" cy="285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43"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The significant assumptions used in determining the net periodic benefit plan cost for years ended December 31,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9"/>
                <w:szCs w:val="19"/>
                <w:color w:val="auto"/>
              </w:rPr>
              <w:t>Pension Benefits</w:t>
            </w:r>
          </w:p>
        </w:tc>
        <w:tc>
          <w:tcPr>
            <w:tcW w:w="680" w:type="dxa"/>
            <w:vAlign w:val="bottom"/>
          </w:tcPr>
          <w:p>
            <w:pPr>
              <w:spacing w:after="0"/>
              <w:rPr>
                <w:sz w:val="19"/>
                <w:szCs w:val="19"/>
                <w:color w:val="auto"/>
              </w:rPr>
            </w:pPr>
          </w:p>
        </w:tc>
        <w:tc>
          <w:tcPr>
            <w:tcW w:w="2260" w:type="dxa"/>
            <w:vAlign w:val="bottom"/>
            <w:gridSpan w:val="2"/>
          </w:tcPr>
          <w:p>
            <w:pPr>
              <w:jc w:val="right"/>
              <w:ind w:right="245"/>
              <w:spacing w:after="0"/>
              <w:rPr>
                <w:sz w:val="20"/>
                <w:szCs w:val="20"/>
                <w:color w:val="auto"/>
              </w:rPr>
            </w:pPr>
            <w:r>
              <w:rPr>
                <w:rFonts w:ascii="Arial" w:cs="Arial" w:eastAsia="Arial" w:hAnsi="Arial"/>
                <w:sz w:val="19"/>
                <w:szCs w:val="19"/>
                <w:color w:val="auto"/>
                <w:w w:val="96"/>
              </w:rPr>
              <w:t>Postretirement Benefits</w:t>
            </w:r>
          </w:p>
        </w:tc>
      </w:tr>
      <w:tr>
        <w:trPr>
          <w:trHeight w:val="295"/>
        </w:trPr>
        <w:tc>
          <w:tcPr>
            <w:tcW w:w="4400" w:type="dxa"/>
            <w:vAlign w:val="bottom"/>
          </w:tcPr>
          <w:p>
            <w:pPr>
              <w:spacing w:after="0"/>
              <w:rPr>
                <w:sz w:val="24"/>
                <w:szCs w:val="24"/>
                <w:color w:val="auto"/>
              </w:rPr>
            </w:pPr>
          </w:p>
        </w:tc>
        <w:tc>
          <w:tcPr>
            <w:tcW w:w="2060" w:type="dxa"/>
            <w:vAlign w:val="bottom"/>
          </w:tcPr>
          <w:p>
            <w:pPr>
              <w:jc w:val="right"/>
              <w:ind w:right="685"/>
              <w:spacing w:after="0"/>
              <w:rPr>
                <w:sz w:val="20"/>
                <w:szCs w:val="20"/>
                <w:color w:val="auto"/>
              </w:rPr>
            </w:pPr>
            <w:r>
              <w:rPr>
                <w:rFonts w:ascii="Arial" w:cs="Arial" w:eastAsia="Arial" w:hAnsi="Arial"/>
                <w:sz w:val="19"/>
                <w:szCs w:val="19"/>
                <w:color w:val="auto"/>
              </w:rPr>
              <w:t>2025</w:t>
            </w:r>
          </w:p>
        </w:tc>
        <w:tc>
          <w:tcPr>
            <w:tcW w:w="680" w:type="dxa"/>
            <w:vAlign w:val="bottom"/>
          </w:tcPr>
          <w:p>
            <w:pPr>
              <w:jc w:val="right"/>
              <w:ind w:right="185"/>
              <w:spacing w:after="0"/>
              <w:rPr>
                <w:sz w:val="20"/>
                <w:szCs w:val="20"/>
                <w:color w:val="auto"/>
              </w:rPr>
            </w:pPr>
            <w:r>
              <w:rPr>
                <w:rFonts w:ascii="Arial" w:cs="Arial" w:eastAsia="Arial" w:hAnsi="Arial"/>
                <w:sz w:val="19"/>
                <w:szCs w:val="19"/>
                <w:color w:val="auto"/>
                <w:w w:val="89"/>
              </w:rPr>
              <w:t>2024</w:t>
            </w:r>
          </w:p>
        </w:tc>
        <w:tc>
          <w:tcPr>
            <w:tcW w:w="1380" w:type="dxa"/>
            <w:vAlign w:val="bottom"/>
          </w:tcPr>
          <w:p>
            <w:pPr>
              <w:jc w:val="right"/>
              <w:ind w:right="385"/>
              <w:spacing w:after="0"/>
              <w:rPr>
                <w:sz w:val="20"/>
                <w:szCs w:val="20"/>
                <w:color w:val="auto"/>
              </w:rPr>
            </w:pPr>
            <w:r>
              <w:rPr>
                <w:rFonts w:ascii="Arial" w:cs="Arial" w:eastAsia="Arial" w:hAnsi="Arial"/>
                <w:sz w:val="19"/>
                <w:szCs w:val="19"/>
                <w:color w:val="auto"/>
              </w:rPr>
              <w:t>2025</w:t>
            </w:r>
          </w:p>
        </w:tc>
        <w:tc>
          <w:tcPr>
            <w:tcW w:w="880" w:type="dxa"/>
            <w:vAlign w:val="bottom"/>
          </w:tcPr>
          <w:p>
            <w:pPr>
              <w:jc w:val="right"/>
              <w:ind w:right="65"/>
              <w:spacing w:after="0"/>
              <w:rPr>
                <w:sz w:val="20"/>
                <w:szCs w:val="20"/>
                <w:color w:val="auto"/>
              </w:rPr>
            </w:pPr>
            <w:r>
              <w:rPr>
                <w:rFonts w:ascii="Arial" w:cs="Arial" w:eastAsia="Arial" w:hAnsi="Arial"/>
                <w:sz w:val="19"/>
                <w:szCs w:val="19"/>
                <w:color w:val="auto"/>
              </w:rPr>
              <w:t>2024</w:t>
            </w:r>
          </w:p>
        </w:tc>
      </w:tr>
      <w:tr>
        <w:trPr>
          <w:trHeight w:val="48"/>
        </w:trPr>
        <w:tc>
          <w:tcPr>
            <w:tcW w:w="44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80"/>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Weighted average discount rate</w:t>
            </w:r>
          </w:p>
        </w:tc>
        <w:tc>
          <w:tcPr>
            <w:tcW w:w="2060" w:type="dxa"/>
            <w:vAlign w:val="bottom"/>
            <w:tcBorders>
              <w:bottom w:val="single" w:sz="8" w:color="CFF0FC"/>
            </w:tcBorders>
            <w:shd w:val="clear" w:color="auto" w:fill="CFF0FC"/>
          </w:tcPr>
          <w:p>
            <w:pPr>
              <w:jc w:val="right"/>
              <w:ind w:right="525"/>
              <w:spacing w:after="0"/>
              <w:rPr>
                <w:sz w:val="20"/>
                <w:szCs w:val="20"/>
                <w:color w:val="auto"/>
              </w:rPr>
            </w:pPr>
            <w:r>
              <w:rPr>
                <w:rFonts w:ascii="Arial" w:cs="Arial" w:eastAsia="Arial" w:hAnsi="Arial"/>
                <w:sz w:val="19"/>
                <w:szCs w:val="19"/>
                <w:color w:val="auto"/>
              </w:rPr>
              <w:t>6.32%</w:t>
            </w:r>
          </w:p>
        </w:tc>
        <w:tc>
          <w:tcPr>
            <w:tcW w:w="6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5.94%</w:t>
            </w:r>
          </w:p>
        </w:tc>
        <w:tc>
          <w:tcPr>
            <w:tcW w:w="1380" w:type="dxa"/>
            <w:vAlign w:val="bottom"/>
            <w:tcBorders>
              <w:bottom w:val="single" w:sz="8" w:color="CFF0FC"/>
            </w:tcBorders>
            <w:shd w:val="clear" w:color="auto" w:fill="CFF0FC"/>
          </w:tcPr>
          <w:p>
            <w:pPr>
              <w:jc w:val="right"/>
              <w:ind w:right="245"/>
              <w:spacing w:after="0"/>
              <w:rPr>
                <w:sz w:val="20"/>
                <w:szCs w:val="20"/>
                <w:color w:val="auto"/>
              </w:rPr>
            </w:pPr>
            <w:r>
              <w:rPr>
                <w:rFonts w:ascii="Arial" w:cs="Arial" w:eastAsia="Arial" w:hAnsi="Arial"/>
                <w:sz w:val="19"/>
                <w:szCs w:val="19"/>
                <w:color w:val="auto"/>
              </w:rPr>
              <w:t>6.32%</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5.94%</w:t>
            </w:r>
          </w:p>
        </w:tc>
      </w:tr>
      <w:tr>
        <w:trPr>
          <w:trHeight w:val="262"/>
        </w:trPr>
        <w:tc>
          <w:tcPr>
            <w:tcW w:w="4400" w:type="dxa"/>
            <w:vAlign w:val="bottom"/>
          </w:tcPr>
          <w:p>
            <w:pPr>
              <w:spacing w:after="0"/>
              <w:rPr>
                <w:sz w:val="20"/>
                <w:szCs w:val="20"/>
                <w:color w:val="auto"/>
              </w:rPr>
            </w:pPr>
            <w:r>
              <w:rPr>
                <w:rFonts w:ascii="Arial" w:cs="Arial" w:eastAsia="Arial" w:hAnsi="Arial"/>
                <w:sz w:val="19"/>
                <w:szCs w:val="19"/>
                <w:color w:val="auto"/>
              </w:rPr>
              <w:t>Expected long term rate of return on plan assets</w:t>
            </w:r>
          </w:p>
        </w:tc>
        <w:tc>
          <w:tcPr>
            <w:tcW w:w="2060" w:type="dxa"/>
            <w:vAlign w:val="bottom"/>
          </w:tcPr>
          <w:p>
            <w:pPr>
              <w:jc w:val="right"/>
              <w:ind w:right="525"/>
              <w:spacing w:after="0"/>
              <w:rPr>
                <w:sz w:val="20"/>
                <w:szCs w:val="20"/>
                <w:color w:val="auto"/>
              </w:rPr>
            </w:pPr>
            <w:r>
              <w:rPr>
                <w:rFonts w:ascii="Arial" w:cs="Arial" w:eastAsia="Arial" w:hAnsi="Arial"/>
                <w:sz w:val="19"/>
                <w:szCs w:val="19"/>
                <w:color w:val="auto"/>
              </w:rPr>
              <w:t>6.00%</w:t>
            </w:r>
          </w:p>
        </w:tc>
        <w:tc>
          <w:tcPr>
            <w:tcW w:w="680" w:type="dxa"/>
            <w:vAlign w:val="bottom"/>
          </w:tcPr>
          <w:p>
            <w:pPr>
              <w:jc w:val="right"/>
              <w:ind w:right="25"/>
              <w:spacing w:after="0"/>
              <w:rPr>
                <w:sz w:val="20"/>
                <w:szCs w:val="20"/>
                <w:color w:val="auto"/>
              </w:rPr>
            </w:pPr>
            <w:r>
              <w:rPr>
                <w:rFonts w:ascii="Arial" w:cs="Arial" w:eastAsia="Arial" w:hAnsi="Arial"/>
                <w:sz w:val="19"/>
                <w:szCs w:val="19"/>
                <w:color w:val="auto"/>
              </w:rPr>
              <w:t>6.00%</w:t>
            </w:r>
          </w:p>
        </w:tc>
        <w:tc>
          <w:tcPr>
            <w:tcW w:w="1380" w:type="dxa"/>
            <w:vAlign w:val="bottom"/>
          </w:tcPr>
          <w:p>
            <w:pPr>
              <w:jc w:val="right"/>
              <w:ind w:right="385"/>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65"/>
              <w:spacing w:after="0"/>
              <w:rPr>
                <w:sz w:val="20"/>
                <w:szCs w:val="20"/>
                <w:color w:val="auto"/>
              </w:rPr>
            </w:pPr>
            <w:r>
              <w:rPr>
                <w:rFonts w:ascii="Arial" w:cs="Arial" w:eastAsia="Arial" w:hAnsi="Arial"/>
                <w:sz w:val="19"/>
                <w:szCs w:val="19"/>
                <w:color w:val="auto"/>
              </w:rPr>
              <w:t>-</w:t>
            </w:r>
          </w:p>
        </w:tc>
      </w:tr>
      <w:tr>
        <w:trPr>
          <w:trHeight w:val="38"/>
        </w:trPr>
        <w:tc>
          <w:tcPr>
            <w:tcW w:w="44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2"/>
        </w:trPr>
        <w:tc>
          <w:tcPr>
            <w:tcW w:w="4400" w:type="dxa"/>
            <w:vAlign w:val="bottom"/>
            <w:shd w:val="clear" w:color="auto" w:fill="CFF0FC"/>
          </w:tcPr>
          <w:p>
            <w:pPr>
              <w:spacing w:after="0"/>
              <w:rPr>
                <w:sz w:val="20"/>
                <w:szCs w:val="20"/>
                <w:color w:val="auto"/>
              </w:rPr>
            </w:pPr>
            <w:r>
              <w:rPr>
                <w:rFonts w:ascii="Arial" w:cs="Arial" w:eastAsia="Arial" w:hAnsi="Arial"/>
                <w:sz w:val="19"/>
                <w:szCs w:val="19"/>
                <w:color w:val="auto"/>
              </w:rPr>
              <w:t>Rate of increase in future compensation levels</w:t>
            </w:r>
          </w:p>
        </w:tc>
        <w:tc>
          <w:tcPr>
            <w:tcW w:w="2060" w:type="dxa"/>
            <w:vAlign w:val="bottom"/>
            <w:shd w:val="clear" w:color="auto" w:fill="CFF0FC"/>
          </w:tcPr>
          <w:p>
            <w:pPr>
              <w:jc w:val="right"/>
              <w:ind w:right="685"/>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ind w:right="185"/>
              <w:spacing w:after="0"/>
              <w:rPr>
                <w:sz w:val="20"/>
                <w:szCs w:val="20"/>
                <w:color w:val="auto"/>
              </w:rPr>
            </w:pPr>
            <w:r>
              <w:rPr>
                <w:rFonts w:ascii="Arial" w:cs="Arial" w:eastAsia="Arial" w:hAnsi="Arial"/>
                <w:sz w:val="19"/>
                <w:szCs w:val="19"/>
                <w:color w:val="auto"/>
              </w:rPr>
              <w:t>-</w:t>
            </w:r>
          </w:p>
        </w:tc>
        <w:tc>
          <w:tcPr>
            <w:tcW w:w="1380" w:type="dxa"/>
            <w:vAlign w:val="bottom"/>
            <w:shd w:val="clear" w:color="auto" w:fill="CFF0FC"/>
          </w:tcPr>
          <w:p>
            <w:pPr>
              <w:jc w:val="right"/>
              <w:ind w:right="385"/>
              <w:spacing w:after="0"/>
              <w:rPr>
                <w:sz w:val="20"/>
                <w:szCs w:val="20"/>
                <w:color w:val="auto"/>
              </w:rPr>
            </w:pPr>
            <w:r>
              <w:rPr>
                <w:rFonts w:ascii="Arial" w:cs="Arial" w:eastAsia="Arial" w:hAnsi="Arial"/>
                <w:sz w:val="19"/>
                <w:szCs w:val="19"/>
                <w:color w:val="auto"/>
              </w:rPr>
              <w:t>-</w:t>
            </w:r>
          </w:p>
        </w:tc>
        <w:tc>
          <w:tcPr>
            <w:tcW w:w="880" w:type="dxa"/>
            <w:vAlign w:val="bottom"/>
            <w:shd w:val="clear" w:color="auto" w:fill="CFF0FC"/>
          </w:tcPr>
          <w:p>
            <w:pPr>
              <w:jc w:val="right"/>
              <w:ind w:right="65"/>
              <w:spacing w:after="0"/>
              <w:rPr>
                <w:sz w:val="20"/>
                <w:szCs w:val="20"/>
                <w:color w:val="auto"/>
              </w:rPr>
            </w:pPr>
            <w:r>
              <w:rPr>
                <w:rFonts w:ascii="Arial" w:cs="Arial" w:eastAsia="Arial" w:hAnsi="Arial"/>
                <w:sz w:val="19"/>
                <w:szCs w:val="19"/>
                <w:color w:val="auto"/>
              </w:rPr>
              <w:t>-</w:t>
            </w:r>
          </w:p>
        </w:tc>
      </w:tr>
      <w:tr>
        <w:trPr>
          <w:trHeight w:val="38"/>
        </w:trPr>
        <w:tc>
          <w:tcPr>
            <w:tcW w:w="4400" w:type="dxa"/>
            <w:vAlign w:val="bottom"/>
            <w:shd w:val="clear" w:color="auto" w:fill="CFF0FC"/>
          </w:tcPr>
          <w:p>
            <w:pPr>
              <w:spacing w:after="0"/>
              <w:rPr>
                <w:sz w:val="3"/>
                <w:szCs w:val="3"/>
                <w:color w:val="auto"/>
              </w:rPr>
            </w:pPr>
          </w:p>
        </w:tc>
        <w:tc>
          <w:tcPr>
            <w:tcW w:w="206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138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-764540</wp:posOffset>
            </wp:positionV>
            <wp:extent cx="2942590" cy="63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94259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-577215</wp:posOffset>
            </wp:positionV>
            <wp:extent cx="5967730"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139"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The long term rate of return on assets assumption was set based on historical returns earned by equities and fixed income securities, adjusted to reflect expectations of future returns as applied to the plan’s target allocation of asset classes. Equities and fixed income securities were assumed to earn real rates of return in the ranges of 6.5% to 8.5% and 2.0% to 4.0%, respectively. The long-term inflation rate was estimated to be 2.5%. When these overall return expectations are applied to the plan’s target allocation, the expected rate of return was determined to be in the range of 5.0% to 7.0%. Management chose to use a 6.0% expected long-term rate of return in 2025 and a 6.0% expected long-term rate of return in 2026 reflecting current economic conditions and expected rates of return. Based on the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18</w:t>
      </w:r>
    </w:p>
    <w:p>
      <w:pPr>
        <w:sectPr>
          <w:pgSz w:w="11900" w:h="16838" w:orient="portrait"/>
          <w:cols w:equalWidth="0" w:num="1">
            <w:col w:w="9400"/>
          </w:cols>
          <w:pgMar w:left="1260" w:top="1440" w:right="1246" w:bottom="0" w:gutter="0" w:footer="0" w:header="0"/>
          <w:type w:val="continuous"/>
        </w:sectPr>
      </w:pPr>
    </w:p>
    <w:bookmarkStart w:id="216" w:name="page217"/>
    <w:bookmarkEnd w:id="216"/>
    <w:p>
      <w:pPr>
        <w:jc w:val="both"/>
        <w:ind w:right="20"/>
        <w:spacing w:after="0" w:line="307" w:lineRule="auto"/>
        <w:rPr>
          <w:sz w:val="20"/>
          <w:szCs w:val="20"/>
          <w:color w:val="auto"/>
        </w:rPr>
      </w:pPr>
      <w:r>
        <w:rPr>
          <w:rFonts w:ascii="Arial" w:cs="Arial" w:eastAsia="Arial" w:hAnsi="Arial"/>
          <w:sz w:val="20"/>
          <w:szCs w:val="20"/>
          <w:color w:val="auto"/>
        </w:rPr>
        <w:t>$18.6 million fair value of plan assets at December 31, 2025, each 50 basis point decrease in the expected long-term rate of return would reduce after tax net income at a 2026 expected state and federal combined statutory tax rate of 26.1% by approximately $69,000.</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The Company does not expect to recognize any amortization from accumulated other comprehensive loss into net periodic benefit income related to its pension plan during 2026. The estimated amortization of prior service credit for the postretirement health plan in 2026 is $5,000. The expected net periodic benefit plan benefit for 2026 is estimated to be $528,000 for both retirement plans in aggregate.</w:t>
      </w:r>
    </w:p>
    <w:p>
      <w:pPr>
        <w:spacing w:after="0" w:line="136"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Plan assets are invested in a diversified investment portfolio with the overall long-term investment objective of maintaining plan assets at a level that will sufficiently cover long-term obligations and generating a return on plan assets that will meet or exceed the rate at which long-term obligations will grow. The long-term objective for the assets under this policy is to achieve after fees and expenses, an average annual return of 6.0% over the expected holding period of this portfolio. The moderate portfolio objective combines both preservation of capital and moderate risk taking. This supports a diversified portfolio that incorporates equities, fixed income, cash, and potentially alternatives.</w:t>
      </w:r>
    </w:p>
    <w:p>
      <w:pPr>
        <w:spacing w:after="0" w:line="134" w:lineRule="exact"/>
        <w:rPr>
          <w:sz w:val="20"/>
          <w:szCs w:val="20"/>
          <w:color w:val="auto"/>
        </w:rPr>
      </w:pPr>
    </w:p>
    <w:p>
      <w:pPr>
        <w:jc w:val="both"/>
        <w:ind w:right="20"/>
        <w:spacing w:after="0" w:line="355" w:lineRule="auto"/>
        <w:rPr>
          <w:sz w:val="20"/>
          <w:szCs w:val="20"/>
          <w:color w:val="auto"/>
        </w:rPr>
      </w:pPr>
      <w:r>
        <w:rPr>
          <w:rFonts w:ascii="Arial" w:cs="Arial" w:eastAsia="Arial" w:hAnsi="Arial"/>
          <w:sz w:val="18"/>
          <w:szCs w:val="18"/>
          <w:color w:val="auto"/>
        </w:rPr>
        <w:t>As of year-end, the portfolio holds a diversified mix of U.S., non-U.S., and global equity ETFs. The portfolio also holds both individual bonds and bond ETFs. The fixed income allocation skews toward higher credit quality, with a focus on producing total return as well as hedging some of the liabilities to mitigate funded status volatility</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Pension plan assets measured at fair value are summarized below:</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 / 18</w:t>
      </w:r>
    </w:p>
    <w:p>
      <w:pPr>
        <w:sectPr>
          <w:pgSz w:w="11900" w:h="16838" w:orient="portrait"/>
          <w:cols w:equalWidth="0" w:num="1">
            <w:col w:w="9360"/>
          </w:cols>
          <w:pgMar w:left="1260" w:top="1173" w:right="1286" w:bottom="0" w:gutter="0" w:footer="0" w:header="0"/>
          <w:type w:val="continuous"/>
        </w:sectPr>
      </w:pPr>
    </w:p>
    <w:bookmarkStart w:id="217" w:name="page218"/>
    <w:bookmarkEnd w:id="2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3"/>
          </w:tcPr>
          <w:p>
            <w:pPr>
              <w:jc w:val="right"/>
              <w:ind w:right="225"/>
              <w:spacing w:after="0"/>
              <w:rPr>
                <w:sz w:val="20"/>
                <w:szCs w:val="20"/>
                <w:color w:val="auto"/>
              </w:rPr>
            </w:pPr>
            <w:r>
              <w:rPr>
                <w:rFonts w:ascii="Arial" w:cs="Arial" w:eastAsia="Arial" w:hAnsi="Arial"/>
                <w:sz w:val="19"/>
                <w:szCs w:val="19"/>
                <w:color w:val="auto"/>
                <w:w w:val="93"/>
              </w:rPr>
              <w:t>At December 31, 2025</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09"/>
        </w:trPr>
        <w:tc>
          <w:tcPr>
            <w:tcW w:w="4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65"/>
              <w:spacing w:after="0"/>
              <w:rPr>
                <w:sz w:val="20"/>
                <w:szCs w:val="20"/>
                <w:color w:val="auto"/>
              </w:rPr>
            </w:pPr>
            <w:r>
              <w:rPr>
                <w:rFonts w:ascii="Arial" w:cs="Arial" w:eastAsia="Arial" w:hAnsi="Arial"/>
                <w:sz w:val="19"/>
                <w:szCs w:val="19"/>
                <w:color w:val="auto"/>
                <w:w w:val="94"/>
              </w:rPr>
              <w:t>Total Fair</w:t>
            </w:r>
          </w:p>
        </w:tc>
      </w:tr>
      <w:tr>
        <w:trPr>
          <w:trHeight w:val="285"/>
        </w:trPr>
        <w:tc>
          <w:tcPr>
            <w:tcW w:w="4200" w:type="dxa"/>
            <w:vAlign w:val="bottom"/>
          </w:tcPr>
          <w:p>
            <w:pPr>
              <w:spacing w:after="0"/>
              <w:rPr>
                <w:sz w:val="20"/>
                <w:szCs w:val="20"/>
                <w:color w:val="auto"/>
              </w:rPr>
            </w:pPr>
            <w:r>
              <w:rPr>
                <w:rFonts w:ascii="Arial" w:cs="Arial" w:eastAsia="Arial" w:hAnsi="Arial"/>
                <w:sz w:val="19"/>
                <w:szCs w:val="19"/>
                <w:i w:val="1"/>
                <w:iCs w:val="1"/>
                <w:color w:val="auto"/>
              </w:rPr>
              <w:t>(In thousands)</w:t>
            </w:r>
          </w:p>
        </w:tc>
        <w:tc>
          <w:tcPr>
            <w:tcW w:w="82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Level 1</w:t>
            </w:r>
          </w:p>
        </w:tc>
        <w:tc>
          <w:tcPr>
            <w:tcW w:w="260" w:type="dxa"/>
            <w:vAlign w:val="bottom"/>
          </w:tcPr>
          <w:p>
            <w:pPr>
              <w:spacing w:after="0"/>
              <w:rPr>
                <w:sz w:val="24"/>
                <w:szCs w:val="24"/>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Level 2</w:t>
            </w:r>
          </w:p>
        </w:tc>
        <w:tc>
          <w:tcPr>
            <w:tcW w:w="360" w:type="dxa"/>
            <w:vAlign w:val="bottom"/>
          </w:tcPr>
          <w:p>
            <w:pPr>
              <w:spacing w:after="0"/>
              <w:rPr>
                <w:sz w:val="24"/>
                <w:szCs w:val="24"/>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Level 3</w:t>
            </w:r>
          </w:p>
        </w:tc>
        <w:tc>
          <w:tcPr>
            <w:tcW w:w="24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color w:val="auto"/>
              </w:rPr>
              <w:t>Value</w:t>
            </w:r>
          </w:p>
        </w:tc>
      </w:tr>
      <w:tr>
        <w:trPr>
          <w:trHeight w:val="48"/>
        </w:trPr>
        <w:tc>
          <w:tcPr>
            <w:tcW w:w="4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9"/>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Asset Category:</w:t>
            </w:r>
          </w:p>
        </w:tc>
        <w:tc>
          <w:tcPr>
            <w:tcW w:w="8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r>
      <w:tr>
        <w:trPr>
          <w:trHeight w:val="261"/>
        </w:trPr>
        <w:tc>
          <w:tcPr>
            <w:tcW w:w="4200" w:type="dxa"/>
            <w:vAlign w:val="bottom"/>
          </w:tcPr>
          <w:p>
            <w:pPr>
              <w:spacing w:after="0"/>
              <w:rPr>
                <w:sz w:val="20"/>
                <w:szCs w:val="20"/>
                <w:color w:val="auto"/>
              </w:rPr>
            </w:pPr>
            <w:r>
              <w:rPr>
                <w:rFonts w:ascii="Arial" w:cs="Arial" w:eastAsia="Arial" w:hAnsi="Arial"/>
                <w:sz w:val="19"/>
                <w:szCs w:val="19"/>
                <w:color w:val="auto"/>
              </w:rPr>
              <w:t>Mutual Funds - Equity</w:t>
            </w: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8"/>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14"/>
        </w:trPr>
        <w:tc>
          <w:tcPr>
            <w:tcW w:w="4200" w:type="dxa"/>
            <w:vAlign w:val="bottom"/>
            <w:shd w:val="clear" w:color="auto" w:fill="CFF0FC"/>
          </w:tcPr>
          <w:p>
            <w:pPr>
              <w:ind w:left="80"/>
              <w:spacing w:after="0"/>
              <w:rPr>
                <w:sz w:val="20"/>
                <w:szCs w:val="20"/>
                <w:color w:val="auto"/>
              </w:rPr>
            </w:pPr>
            <w:r>
              <w:rPr>
                <w:rFonts w:ascii="Arial" w:cs="Arial" w:eastAsia="Arial" w:hAnsi="Arial"/>
                <w:sz w:val="19"/>
                <w:szCs w:val="19"/>
                <w:color w:val="auto"/>
              </w:rPr>
              <w:t xml:space="preserve">Large-cap </w:t>
            </w:r>
            <w:r>
              <w:rPr>
                <w:rFonts w:ascii="Arial" w:cs="Arial" w:eastAsia="Arial" w:hAnsi="Arial"/>
                <w:sz w:val="25"/>
                <w:szCs w:val="25"/>
                <w:color w:val="auto"/>
                <w:vertAlign w:val="superscript"/>
              </w:rPr>
              <w:t>(a)</w:t>
            </w:r>
          </w:p>
        </w:tc>
        <w:tc>
          <w:tcPr>
            <w:tcW w:w="820" w:type="dxa"/>
            <w:vAlign w:val="bottom"/>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820" w:type="dxa"/>
            <w:vAlign w:val="bottom"/>
            <w:shd w:val="clear" w:color="auto" w:fill="CFF0FC"/>
          </w:tcPr>
          <w:p>
            <w:pPr>
              <w:jc w:val="right"/>
              <w:ind w:right="5"/>
              <w:spacing w:after="0"/>
              <w:rPr>
                <w:sz w:val="20"/>
                <w:szCs w:val="20"/>
                <w:color w:val="auto"/>
              </w:rPr>
            </w:pPr>
            <w:r>
              <w:rPr>
                <w:rFonts w:ascii="Arial" w:cs="Arial" w:eastAsia="Arial" w:hAnsi="Arial"/>
                <w:sz w:val="19"/>
                <w:szCs w:val="19"/>
                <w:color w:val="auto"/>
              </w:rPr>
              <w:t>4,496</w:t>
            </w:r>
          </w:p>
        </w:tc>
        <w:tc>
          <w:tcPr>
            <w:tcW w:w="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360" w:type="dxa"/>
            <w:vAlign w:val="bottom"/>
            <w:shd w:val="clear" w:color="auto" w:fill="CFF0FC"/>
          </w:tcPr>
          <w:p>
            <w:pPr>
              <w:jc w:val="right"/>
              <w:ind w:right="65"/>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4,496</w:t>
            </w:r>
          </w:p>
        </w:tc>
      </w:tr>
      <w:tr>
        <w:trPr>
          <w:trHeight w:val="314"/>
        </w:trPr>
        <w:tc>
          <w:tcPr>
            <w:tcW w:w="4200" w:type="dxa"/>
            <w:vAlign w:val="bottom"/>
          </w:tcPr>
          <w:p>
            <w:pPr>
              <w:ind w:left="80"/>
              <w:spacing w:after="0"/>
              <w:rPr>
                <w:sz w:val="20"/>
                <w:szCs w:val="20"/>
                <w:color w:val="auto"/>
              </w:rPr>
            </w:pPr>
            <w:r>
              <w:rPr>
                <w:rFonts w:ascii="Arial" w:cs="Arial" w:eastAsia="Arial" w:hAnsi="Arial"/>
                <w:sz w:val="19"/>
                <w:szCs w:val="19"/>
                <w:color w:val="auto"/>
              </w:rPr>
              <w:t xml:space="preserve">Mid-cap / Small-cap </w:t>
            </w:r>
            <w:r>
              <w:rPr>
                <w:rFonts w:ascii="Arial" w:cs="Arial" w:eastAsia="Arial" w:hAnsi="Arial"/>
                <w:sz w:val="25"/>
                <w:szCs w:val="25"/>
                <w:color w:val="auto"/>
                <w:vertAlign w:val="superscript"/>
              </w:rPr>
              <w:t>(a)</w:t>
            </w:r>
          </w:p>
        </w:tc>
        <w:tc>
          <w:tcPr>
            <w:tcW w:w="82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1,012</w:t>
            </w:r>
          </w:p>
        </w:tc>
        <w:tc>
          <w:tcPr>
            <w:tcW w:w="260" w:type="dxa"/>
            <w:vAlign w:val="bottom"/>
          </w:tcPr>
          <w:p>
            <w:pPr>
              <w:spacing w:after="0"/>
              <w:rPr>
                <w:sz w:val="24"/>
                <w:szCs w:val="24"/>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24"/>
                <w:szCs w:val="24"/>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color w:val="auto"/>
              </w:rPr>
              <w:t>1,012</w:t>
            </w:r>
          </w:p>
        </w:tc>
      </w:tr>
      <w:tr>
        <w:trPr>
          <w:trHeight w:val="314"/>
        </w:trPr>
        <w:tc>
          <w:tcPr>
            <w:tcW w:w="4200" w:type="dxa"/>
            <w:vAlign w:val="bottom"/>
            <w:shd w:val="clear" w:color="auto" w:fill="CFF0FC"/>
          </w:tcPr>
          <w:p>
            <w:pPr>
              <w:ind w:left="80"/>
              <w:spacing w:after="0"/>
              <w:rPr>
                <w:sz w:val="20"/>
                <w:szCs w:val="20"/>
                <w:color w:val="auto"/>
              </w:rPr>
            </w:pPr>
            <w:r>
              <w:rPr>
                <w:rFonts w:ascii="Arial" w:cs="Arial" w:eastAsia="Arial" w:hAnsi="Arial"/>
                <w:sz w:val="19"/>
                <w:szCs w:val="19"/>
                <w:color w:val="auto"/>
              </w:rPr>
              <w:t xml:space="preserve">International Equity </w:t>
            </w:r>
            <w:r>
              <w:rPr>
                <w:rFonts w:ascii="Arial" w:cs="Arial" w:eastAsia="Arial" w:hAnsi="Arial"/>
                <w:sz w:val="25"/>
                <w:szCs w:val="25"/>
                <w:color w:val="auto"/>
                <w:vertAlign w:val="superscript"/>
              </w:rPr>
              <w:t>(a)</w:t>
            </w:r>
          </w:p>
        </w:tc>
        <w:tc>
          <w:tcPr>
            <w:tcW w:w="8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5"/>
              <w:spacing w:after="0"/>
              <w:rPr>
                <w:sz w:val="20"/>
                <w:szCs w:val="20"/>
                <w:color w:val="auto"/>
              </w:rPr>
            </w:pPr>
            <w:r>
              <w:rPr>
                <w:rFonts w:ascii="Arial" w:cs="Arial" w:eastAsia="Arial" w:hAnsi="Arial"/>
                <w:sz w:val="19"/>
                <w:szCs w:val="19"/>
                <w:color w:val="auto"/>
              </w:rPr>
              <w:t>2,802</w:t>
            </w:r>
          </w:p>
        </w:tc>
        <w:tc>
          <w:tcPr>
            <w:tcW w:w="26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36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spacing w:after="0"/>
              <w:rPr>
                <w:sz w:val="24"/>
                <w:szCs w:val="24"/>
                <w:color w:val="auto"/>
              </w:rPr>
            </w:pPr>
          </w:p>
        </w:tc>
        <w:tc>
          <w:tcPr>
            <w:tcW w:w="94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2,802</w:t>
            </w:r>
          </w:p>
        </w:tc>
      </w:tr>
      <w:tr>
        <w:trPr>
          <w:trHeight w:val="324"/>
        </w:trPr>
        <w:tc>
          <w:tcPr>
            <w:tcW w:w="4200" w:type="dxa"/>
            <w:vAlign w:val="bottom"/>
          </w:tcPr>
          <w:p>
            <w:pPr>
              <w:ind w:left="80"/>
              <w:spacing w:after="0"/>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(a)</w:t>
            </w:r>
          </w:p>
        </w:tc>
        <w:tc>
          <w:tcPr>
            <w:tcW w:w="82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255</w:t>
            </w:r>
          </w:p>
        </w:tc>
        <w:tc>
          <w:tcPr>
            <w:tcW w:w="260" w:type="dxa"/>
            <w:vAlign w:val="bottom"/>
          </w:tcPr>
          <w:p>
            <w:pPr>
              <w:spacing w:after="0"/>
              <w:rPr>
                <w:sz w:val="24"/>
                <w:szCs w:val="24"/>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24"/>
                <w:szCs w:val="24"/>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color w:val="auto"/>
              </w:rPr>
              <w:t>255</w:t>
            </w:r>
          </w:p>
        </w:tc>
      </w:tr>
      <w:tr>
        <w:trPr>
          <w:trHeight w:val="294"/>
        </w:trPr>
        <w:tc>
          <w:tcPr>
            <w:tcW w:w="4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9"/>
                <w:szCs w:val="19"/>
                <w:color w:val="auto"/>
              </w:rPr>
              <w:t>Equity -Total</w:t>
            </w:r>
          </w:p>
        </w:tc>
        <w:tc>
          <w:tcPr>
            <w:tcW w:w="8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8,565</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8,565</w:t>
            </w:r>
          </w:p>
        </w:tc>
      </w:tr>
      <w:tr>
        <w:trPr>
          <w:trHeight w:val="261"/>
        </w:trPr>
        <w:tc>
          <w:tcPr>
            <w:tcW w:w="4200" w:type="dxa"/>
            <w:vAlign w:val="bottom"/>
          </w:tcPr>
          <w:p>
            <w:pPr>
              <w:spacing w:after="0"/>
              <w:rPr>
                <w:sz w:val="20"/>
                <w:szCs w:val="20"/>
                <w:color w:val="auto"/>
              </w:rPr>
            </w:pPr>
            <w:r>
              <w:rPr>
                <w:rFonts w:ascii="Arial" w:cs="Arial" w:eastAsia="Arial" w:hAnsi="Arial"/>
                <w:sz w:val="19"/>
                <w:szCs w:val="19"/>
                <w:color w:val="auto"/>
              </w:rPr>
              <w:t>Fixed Income Funds</w:t>
            </w: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8"/>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14"/>
        </w:trPr>
        <w:tc>
          <w:tcPr>
            <w:tcW w:w="4200" w:type="dxa"/>
            <w:vAlign w:val="bottom"/>
            <w:shd w:val="clear" w:color="auto" w:fill="CFF0FC"/>
          </w:tcPr>
          <w:p>
            <w:pPr>
              <w:ind w:left="80"/>
              <w:spacing w:after="0"/>
              <w:rPr>
                <w:sz w:val="20"/>
                <w:szCs w:val="20"/>
                <w:color w:val="auto"/>
              </w:rPr>
            </w:pPr>
            <w:r>
              <w:rPr>
                <w:rFonts w:ascii="Arial" w:cs="Arial" w:eastAsia="Arial" w:hAnsi="Arial"/>
                <w:sz w:val="19"/>
                <w:szCs w:val="19"/>
                <w:color w:val="auto"/>
              </w:rPr>
              <w:t xml:space="preserve">Government Securities </w:t>
            </w:r>
            <w:r>
              <w:rPr>
                <w:rFonts w:ascii="Arial" w:cs="Arial" w:eastAsia="Arial" w:hAnsi="Arial"/>
                <w:sz w:val="25"/>
                <w:szCs w:val="25"/>
                <w:color w:val="auto"/>
                <w:vertAlign w:val="superscript"/>
              </w:rPr>
              <w:t>(b) (c)</w:t>
            </w:r>
          </w:p>
        </w:tc>
        <w:tc>
          <w:tcPr>
            <w:tcW w:w="8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5"/>
              <w:spacing w:after="0"/>
              <w:rPr>
                <w:sz w:val="20"/>
                <w:szCs w:val="20"/>
                <w:color w:val="auto"/>
              </w:rPr>
            </w:pPr>
            <w:r>
              <w:rPr>
                <w:rFonts w:ascii="Arial" w:cs="Arial" w:eastAsia="Arial" w:hAnsi="Arial"/>
                <w:sz w:val="19"/>
                <w:szCs w:val="19"/>
                <w:color w:val="auto"/>
              </w:rPr>
              <w:t>5,377</w:t>
            </w:r>
          </w:p>
        </w:tc>
        <w:tc>
          <w:tcPr>
            <w:tcW w:w="26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1,222</w:t>
            </w:r>
          </w:p>
        </w:tc>
        <w:tc>
          <w:tcPr>
            <w:tcW w:w="36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spacing w:after="0"/>
              <w:rPr>
                <w:sz w:val="24"/>
                <w:szCs w:val="24"/>
                <w:color w:val="auto"/>
              </w:rPr>
            </w:pPr>
          </w:p>
        </w:tc>
        <w:tc>
          <w:tcPr>
            <w:tcW w:w="94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6,599</w:t>
            </w:r>
          </w:p>
        </w:tc>
      </w:tr>
      <w:tr>
        <w:trPr>
          <w:trHeight w:val="324"/>
        </w:trPr>
        <w:tc>
          <w:tcPr>
            <w:tcW w:w="4200" w:type="dxa"/>
            <w:vAlign w:val="bottom"/>
          </w:tcPr>
          <w:p>
            <w:pPr>
              <w:ind w:left="80"/>
              <w:spacing w:after="0"/>
              <w:rPr>
                <w:sz w:val="20"/>
                <w:szCs w:val="20"/>
                <w:color w:val="auto"/>
              </w:rPr>
            </w:pPr>
            <w:r>
              <w:rPr>
                <w:rFonts w:ascii="Arial" w:cs="Arial" w:eastAsia="Arial" w:hAnsi="Arial"/>
                <w:sz w:val="19"/>
                <w:szCs w:val="19"/>
                <w:color w:val="auto"/>
              </w:rPr>
              <w:t xml:space="preserve">Corporate Bonds and other debt securities </w:t>
            </w:r>
            <w:r>
              <w:rPr>
                <w:rFonts w:ascii="Arial" w:cs="Arial" w:eastAsia="Arial" w:hAnsi="Arial"/>
                <w:sz w:val="25"/>
                <w:szCs w:val="25"/>
                <w:color w:val="auto"/>
                <w:vertAlign w:val="superscript"/>
              </w:rPr>
              <w:t>(d) (e)</w:t>
            </w:r>
          </w:p>
        </w:tc>
        <w:tc>
          <w:tcPr>
            <w:tcW w:w="82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655</w:t>
            </w:r>
          </w:p>
        </w:tc>
        <w:tc>
          <w:tcPr>
            <w:tcW w:w="260" w:type="dxa"/>
            <w:vAlign w:val="bottom"/>
          </w:tcPr>
          <w:p>
            <w:pPr>
              <w:spacing w:after="0"/>
              <w:rPr>
                <w:sz w:val="24"/>
                <w:szCs w:val="24"/>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2,576</w:t>
            </w:r>
          </w:p>
        </w:tc>
        <w:tc>
          <w:tcPr>
            <w:tcW w:w="360" w:type="dxa"/>
            <w:vAlign w:val="bottom"/>
          </w:tcPr>
          <w:p>
            <w:pPr>
              <w:spacing w:after="0"/>
              <w:rPr>
                <w:sz w:val="24"/>
                <w:szCs w:val="24"/>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color w:val="auto"/>
              </w:rPr>
              <w:t>3,231</w:t>
            </w:r>
          </w:p>
        </w:tc>
      </w:tr>
      <w:tr>
        <w:trPr>
          <w:trHeight w:val="294"/>
        </w:trPr>
        <w:tc>
          <w:tcPr>
            <w:tcW w:w="4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9"/>
                <w:szCs w:val="19"/>
                <w:color w:val="auto"/>
              </w:rPr>
              <w:t>Fixed Income-Total</w:t>
            </w:r>
          </w:p>
        </w:tc>
        <w:tc>
          <w:tcPr>
            <w:tcW w:w="8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6,032</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3,798</w:t>
            </w:r>
          </w:p>
        </w:tc>
        <w:tc>
          <w:tcPr>
            <w:tcW w:w="3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9,830</w:t>
            </w:r>
          </w:p>
        </w:tc>
      </w:tr>
      <w:tr>
        <w:trPr>
          <w:trHeight w:val="324"/>
        </w:trPr>
        <w:tc>
          <w:tcPr>
            <w:tcW w:w="4200" w:type="dxa"/>
            <w:vAlign w:val="bottom"/>
          </w:tcPr>
          <w:p>
            <w:pPr>
              <w:spacing w:after="0"/>
              <w:rPr>
                <w:sz w:val="20"/>
                <w:szCs w:val="20"/>
                <w:color w:val="auto"/>
              </w:rPr>
            </w:pPr>
            <w:r>
              <w:rPr>
                <w:rFonts w:ascii="Arial" w:cs="Arial" w:eastAsia="Arial" w:hAnsi="Arial"/>
                <w:sz w:val="19"/>
                <w:szCs w:val="19"/>
                <w:color w:val="auto"/>
              </w:rPr>
              <w:t xml:space="preserve">Cash and Cash Equivalents </w:t>
            </w:r>
            <w:r>
              <w:rPr>
                <w:rFonts w:ascii="Arial" w:cs="Arial" w:eastAsia="Arial" w:hAnsi="Arial"/>
                <w:sz w:val="25"/>
                <w:szCs w:val="25"/>
                <w:color w:val="auto"/>
                <w:vertAlign w:val="superscript"/>
              </w:rPr>
              <w:t>(f) (g)</w:t>
            </w:r>
          </w:p>
        </w:tc>
        <w:tc>
          <w:tcPr>
            <w:tcW w:w="82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158</w:t>
            </w:r>
          </w:p>
        </w:tc>
        <w:tc>
          <w:tcPr>
            <w:tcW w:w="260" w:type="dxa"/>
            <w:vAlign w:val="bottom"/>
          </w:tcPr>
          <w:p>
            <w:pPr>
              <w:spacing w:after="0"/>
              <w:rPr>
                <w:sz w:val="24"/>
                <w:szCs w:val="24"/>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8</w:t>
            </w:r>
          </w:p>
        </w:tc>
        <w:tc>
          <w:tcPr>
            <w:tcW w:w="360" w:type="dxa"/>
            <w:vAlign w:val="bottom"/>
          </w:tcPr>
          <w:p>
            <w:pPr>
              <w:spacing w:after="0"/>
              <w:rPr>
                <w:sz w:val="24"/>
                <w:szCs w:val="24"/>
                <w:color w:val="auto"/>
              </w:rPr>
            </w:pPr>
          </w:p>
        </w:tc>
        <w:tc>
          <w:tcPr>
            <w:tcW w:w="8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Arial" w:cs="Arial" w:eastAsia="Arial" w:hAnsi="Arial"/>
                <w:sz w:val="19"/>
                <w:szCs w:val="19"/>
                <w:color w:val="auto"/>
              </w:rPr>
              <w:t>166</w:t>
            </w:r>
          </w:p>
        </w:tc>
      </w:tr>
      <w:tr>
        <w:trPr>
          <w:trHeight w:val="276"/>
        </w:trPr>
        <w:tc>
          <w:tcPr>
            <w:tcW w:w="4200" w:type="dxa"/>
            <w:vAlign w:val="bottom"/>
            <w:shd w:val="clear" w:color="auto" w:fill="CFF0FC"/>
          </w:tcPr>
          <w:p>
            <w:pPr>
              <w:spacing w:after="0"/>
              <w:rPr>
                <w:sz w:val="20"/>
                <w:szCs w:val="20"/>
                <w:color w:val="auto"/>
              </w:rPr>
            </w:pPr>
            <w:r>
              <w:rPr>
                <w:rFonts w:ascii="Arial" w:cs="Arial" w:eastAsia="Arial" w:hAnsi="Arial"/>
                <w:sz w:val="19"/>
                <w:szCs w:val="19"/>
                <w:color w:val="auto"/>
              </w:rPr>
              <w:t>Total</w:t>
            </w:r>
          </w:p>
        </w:tc>
        <w:tc>
          <w:tcPr>
            <w:tcW w:w="820" w:type="dxa"/>
            <w:vAlign w:val="bottom"/>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820" w:type="dxa"/>
            <w:vAlign w:val="bottom"/>
            <w:shd w:val="clear" w:color="auto" w:fill="CFF0FC"/>
          </w:tcPr>
          <w:p>
            <w:pPr>
              <w:jc w:val="right"/>
              <w:ind w:right="5"/>
              <w:spacing w:after="0"/>
              <w:rPr>
                <w:sz w:val="20"/>
                <w:szCs w:val="20"/>
                <w:color w:val="auto"/>
              </w:rPr>
            </w:pPr>
            <w:r>
              <w:rPr>
                <w:rFonts w:ascii="Arial" w:cs="Arial" w:eastAsia="Arial" w:hAnsi="Arial"/>
                <w:sz w:val="19"/>
                <w:szCs w:val="19"/>
                <w:color w:val="auto"/>
              </w:rPr>
              <w:t>14,755</w:t>
            </w:r>
          </w:p>
        </w:tc>
        <w:tc>
          <w:tcPr>
            <w:tcW w:w="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3,806</w:t>
            </w:r>
          </w:p>
        </w:tc>
        <w:tc>
          <w:tcPr>
            <w:tcW w:w="360" w:type="dxa"/>
            <w:vAlign w:val="bottom"/>
            <w:shd w:val="clear" w:color="auto" w:fill="CFF0FC"/>
          </w:tcPr>
          <w:p>
            <w:pPr>
              <w:jc w:val="right"/>
              <w:ind w:right="65"/>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18,561</w:t>
            </w:r>
          </w:p>
        </w:tc>
      </w:tr>
      <w:tr>
        <w:trPr>
          <w:trHeight w:val="83"/>
        </w:trPr>
        <w:tc>
          <w:tcPr>
            <w:tcW w:w="420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r>
      <w:tr>
        <w:trPr>
          <w:trHeight w:val="104"/>
        </w:trPr>
        <w:tc>
          <w:tcPr>
            <w:tcW w:w="4200" w:type="dxa"/>
            <w:vAlign w:val="bottom"/>
          </w:tcPr>
          <w:p>
            <w:pPr>
              <w:ind w:left="420"/>
              <w:spacing w:after="0"/>
              <w:rPr>
                <w:sz w:val="20"/>
                <w:szCs w:val="20"/>
                <w:color w:val="auto"/>
              </w:rPr>
            </w:pPr>
            <w:r>
              <w:rPr>
                <w:rFonts w:ascii="Arial" w:cs="Arial" w:eastAsia="Arial" w:hAnsi="Arial"/>
                <w:sz w:val="8"/>
                <w:szCs w:val="8"/>
                <w:color w:val="auto"/>
              </w:rPr>
              <w:t>a)</w:t>
            </w: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-3063240</wp:posOffset>
            </wp:positionV>
            <wp:extent cx="2926715"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9267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-2686050</wp:posOffset>
            </wp:positionV>
            <wp:extent cx="5967730" cy="6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-1501140</wp:posOffset>
            </wp:positionV>
            <wp:extent cx="2926715" cy="63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926715" cy="6350"/>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-705485</wp:posOffset>
            </wp:positionV>
            <wp:extent cx="2926715"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9267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-299720</wp:posOffset>
            </wp:positionV>
            <wp:extent cx="5967730"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-93980</wp:posOffset>
            </wp:positionV>
            <wp:extent cx="5967730" cy="285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6"/>
          <w:szCs w:val="6"/>
          <w:color w:val="auto"/>
        </w:rPr>
        <w:t>b)</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7"/>
          <w:szCs w:val="7"/>
          <w:color w:val="auto"/>
        </w:rPr>
        <w:t>c)</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6"/>
          <w:szCs w:val="6"/>
          <w:color w:val="auto"/>
        </w:rPr>
        <w:t>d)</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6"/>
          <w:szCs w:val="6"/>
          <w:color w:val="auto"/>
        </w:rPr>
        <w:t>e)</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8"/>
          <w:szCs w:val="8"/>
          <w:color w:val="auto"/>
        </w:rPr>
        <w:t>f)</w:t>
      </w:r>
    </w:p>
    <w:p>
      <w:pPr>
        <w:spacing w:after="0" w:line="272" w:lineRule="exact"/>
        <w:rPr>
          <w:sz w:val="20"/>
          <w:szCs w:val="20"/>
          <w:color w:val="auto"/>
        </w:rPr>
      </w:pPr>
    </w:p>
    <w:p>
      <w:pPr>
        <w:ind w:left="420"/>
        <w:spacing w:after="0"/>
        <w:rPr>
          <w:sz w:val="20"/>
          <w:szCs w:val="20"/>
          <w:color w:val="auto"/>
        </w:rPr>
      </w:pPr>
      <w:r>
        <w:rPr>
          <w:rFonts w:ascii="Arial" w:cs="Arial" w:eastAsia="Arial" w:hAnsi="Arial"/>
          <w:sz w:val="6"/>
          <w:szCs w:val="6"/>
          <w:color w:val="auto"/>
        </w:rPr>
        <w:t>g)</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exchange-traded funds representing equity markets.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U.S. Treasuries.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U.S. Agencies.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exchange traded funds with fixed income as the underlying exposure.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investment grade corporate bonds and taxable municipal bonds.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cash and a fully collateralized money market fund.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This category includes ex-dividends that will be paid in cash and accrued interest on the money market fund.</w:t>
      </w:r>
    </w:p>
    <w:p>
      <w:pPr>
        <w:spacing w:after="0" w:line="200" w:lineRule="exact"/>
        <w:rPr>
          <w:sz w:val="20"/>
          <w:szCs w:val="20"/>
          <w:color w:val="auto"/>
        </w:rPr>
      </w:pPr>
    </w:p>
    <w:p>
      <w:pPr>
        <w:sectPr>
          <w:pgSz w:w="11900" w:h="16838" w:orient="portrait"/>
          <w:cols w:equalWidth="0" w:num="2">
            <w:col w:w="480" w:space="360"/>
            <w:col w:w="856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969260"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969260" cy="635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Asset Category:</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Mutual Funds - Equity</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9"/>
          <w:szCs w:val="19"/>
          <w:color w:val="auto"/>
        </w:rPr>
        <w:t xml:space="preserve">Large-cap </w:t>
      </w:r>
      <w:r>
        <w:rPr>
          <w:rFonts w:ascii="Arial" w:cs="Arial" w:eastAsia="Arial" w:hAnsi="Arial"/>
          <w:sz w:val="25"/>
          <w:szCs w:val="25"/>
          <w:color w:val="auto"/>
          <w:vertAlign w:val="superscript"/>
        </w:rPr>
        <w:t>(a)</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9"/>
          <w:szCs w:val="19"/>
          <w:color w:val="auto"/>
        </w:rPr>
        <w:t xml:space="preserve">Mid-cap / Small-cap </w:t>
      </w:r>
      <w:r>
        <w:rPr>
          <w:rFonts w:ascii="Arial" w:cs="Arial" w:eastAsia="Arial" w:hAnsi="Arial"/>
          <w:sz w:val="25"/>
          <w:szCs w:val="25"/>
          <w:color w:val="auto"/>
          <w:vertAlign w:val="superscript"/>
        </w:rPr>
        <w:t>(a)</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9"/>
          <w:szCs w:val="19"/>
          <w:color w:val="auto"/>
        </w:rPr>
        <w:t xml:space="preserve">International Equity </w:t>
      </w:r>
      <w:r>
        <w:rPr>
          <w:rFonts w:ascii="Arial" w:cs="Arial" w:eastAsia="Arial" w:hAnsi="Arial"/>
          <w:sz w:val="25"/>
          <w:szCs w:val="25"/>
          <w:color w:val="auto"/>
          <w:vertAlign w:val="superscript"/>
        </w:rPr>
        <w:t>(a)</w:t>
      </w:r>
    </w:p>
    <w:p>
      <w:pPr>
        <w:spacing w:after="0" w:line="37" w:lineRule="exact"/>
        <w:rPr>
          <w:sz w:val="20"/>
          <w:szCs w:val="20"/>
          <w:color w:val="auto"/>
        </w:rPr>
      </w:pPr>
    </w:p>
    <w:p>
      <w:pPr>
        <w:ind w:left="80"/>
        <w:spacing w:after="0"/>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(a)</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Equity -Total</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Fixed Income Funds</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9"/>
          <w:szCs w:val="19"/>
          <w:color w:val="auto"/>
        </w:rPr>
        <w:t xml:space="preserve">Government Securities </w:t>
      </w:r>
      <w:r>
        <w:rPr>
          <w:rFonts w:ascii="Arial" w:cs="Arial" w:eastAsia="Arial" w:hAnsi="Arial"/>
          <w:sz w:val="25"/>
          <w:szCs w:val="25"/>
          <w:color w:val="auto"/>
          <w:vertAlign w:val="superscript"/>
        </w:rPr>
        <w:t>(b) (c)</w:t>
      </w:r>
    </w:p>
    <w:p>
      <w:pPr>
        <w:spacing w:after="0" w:line="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Corporate Bonds and other debt securities </w:t>
      </w:r>
      <w:r>
        <w:rPr>
          <w:rFonts w:ascii="Arial" w:cs="Arial" w:eastAsia="Arial" w:hAnsi="Arial"/>
          <w:sz w:val="21"/>
          <w:szCs w:val="21"/>
          <w:color w:val="auto"/>
          <w:vertAlign w:val="superscript"/>
        </w:rPr>
        <w:t>(d) (e)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ind w:left="40"/>
              <w:spacing w:after="0"/>
              <w:rPr>
                <w:sz w:val="20"/>
                <w:szCs w:val="20"/>
                <w:color w:val="auto"/>
              </w:rPr>
            </w:pPr>
            <w:r>
              <w:rPr>
                <w:rFonts w:ascii="Arial" w:cs="Arial" w:eastAsia="Arial" w:hAnsi="Arial"/>
                <w:sz w:val="19"/>
                <w:szCs w:val="19"/>
                <w:color w:val="auto"/>
              </w:rPr>
              <w:t>At December 31, 2024</w:t>
            </w:r>
          </w:p>
        </w:tc>
        <w:tc>
          <w:tcPr>
            <w:tcW w:w="820" w:type="dxa"/>
            <w:vAlign w:val="bottom"/>
          </w:tcPr>
          <w:p>
            <w:pPr>
              <w:spacing w:after="0"/>
              <w:rPr>
                <w:sz w:val="19"/>
                <w:szCs w:val="19"/>
                <w:color w:val="auto"/>
              </w:rPr>
            </w:pPr>
          </w:p>
        </w:tc>
      </w:tr>
      <w:tr>
        <w:trPr>
          <w:trHeight w:val="314"/>
        </w:trPr>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w w:val="94"/>
              </w:rPr>
              <w:t>Total Fair</w:t>
            </w:r>
          </w:p>
        </w:tc>
      </w:tr>
      <w:tr>
        <w:trPr>
          <w:trHeight w:val="285"/>
        </w:trPr>
        <w:tc>
          <w:tcPr>
            <w:tcW w:w="24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Level 1</w:t>
            </w:r>
          </w:p>
        </w:tc>
        <w:tc>
          <w:tcPr>
            <w:tcW w:w="2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Arial" w:cs="Arial" w:eastAsia="Arial" w:hAnsi="Arial"/>
                <w:sz w:val="19"/>
                <w:szCs w:val="19"/>
                <w:color w:val="auto"/>
              </w:rPr>
              <w:t>Level 2</w:t>
            </w:r>
          </w:p>
        </w:tc>
        <w:tc>
          <w:tcPr>
            <w:tcW w:w="1080" w:type="dxa"/>
            <w:vAlign w:val="bottom"/>
          </w:tcPr>
          <w:p>
            <w:pPr>
              <w:ind w:left="160"/>
              <w:spacing w:after="0"/>
              <w:rPr>
                <w:sz w:val="20"/>
                <w:szCs w:val="20"/>
                <w:color w:val="auto"/>
              </w:rPr>
            </w:pPr>
            <w:r>
              <w:rPr>
                <w:rFonts w:ascii="Arial" w:cs="Arial" w:eastAsia="Arial" w:hAnsi="Arial"/>
                <w:sz w:val="19"/>
                <w:szCs w:val="19"/>
                <w:color w:val="auto"/>
              </w:rPr>
              <w:t>Level 3</w:t>
            </w:r>
          </w:p>
        </w:tc>
        <w:tc>
          <w:tcPr>
            <w:tcW w:w="820" w:type="dxa"/>
            <w:vAlign w:val="bottom"/>
          </w:tcPr>
          <w:p>
            <w:pPr>
              <w:jc w:val="right"/>
              <w:spacing w:after="0"/>
              <w:rPr>
                <w:sz w:val="20"/>
                <w:szCs w:val="20"/>
                <w:color w:val="auto"/>
              </w:rPr>
            </w:pPr>
            <w:r>
              <w:rPr>
                <w:rFonts w:ascii="Arial" w:cs="Arial" w:eastAsia="Arial" w:hAnsi="Arial"/>
                <w:sz w:val="19"/>
                <w:szCs w:val="19"/>
                <w:color w:val="auto"/>
              </w:rPr>
              <w:t>Value</w:t>
            </w:r>
          </w:p>
        </w:tc>
      </w:tr>
      <w:tr>
        <w:trPr>
          <w:trHeight w:val="923"/>
        </w:trPr>
        <w:tc>
          <w:tcPr>
            <w:tcW w:w="240" w:type="dxa"/>
            <w:vAlign w:val="bottom"/>
          </w:tcPr>
          <w:p>
            <w:pPr>
              <w:jc w:val="right"/>
              <w:ind w:right="45"/>
              <w:spacing w:after="0"/>
              <w:rPr>
                <w:sz w:val="20"/>
                <w:szCs w:val="20"/>
                <w:color w:val="auto"/>
              </w:rPr>
            </w:pPr>
            <w:r>
              <w:rPr>
                <w:rFonts w:ascii="Arial" w:cs="Arial" w:eastAsia="Arial" w:hAnsi="Arial"/>
                <w:sz w:val="19"/>
                <w:szCs w:val="19"/>
                <w:color w:val="auto"/>
                <w:w w:val="75"/>
              </w:rPr>
              <w:t>$</w:t>
            </w: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3,906</w:t>
            </w:r>
          </w:p>
        </w:tc>
        <w:tc>
          <w:tcPr>
            <w:tcW w:w="28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65"/>
              <w:spacing w:after="0"/>
              <w:rPr>
                <w:sz w:val="20"/>
                <w:szCs w:val="20"/>
                <w:color w:val="auto"/>
              </w:rPr>
            </w:pPr>
            <w:r>
              <w:rPr>
                <w:rFonts w:ascii="Arial" w:cs="Arial" w:eastAsia="Arial" w:hAnsi="Arial"/>
                <w:sz w:val="19"/>
                <w:szCs w:val="19"/>
                <w:color w:val="auto"/>
              </w:rPr>
              <w:t>-   $</w:t>
            </w:r>
          </w:p>
        </w:tc>
        <w:tc>
          <w:tcPr>
            <w:tcW w:w="1080" w:type="dxa"/>
            <w:vAlign w:val="bottom"/>
          </w:tcPr>
          <w:p>
            <w:pPr>
              <w:ind w:left="660"/>
              <w:spacing w:after="0"/>
              <w:rPr>
                <w:sz w:val="20"/>
                <w:szCs w:val="20"/>
                <w:color w:val="auto"/>
              </w:rPr>
            </w:pPr>
            <w:r>
              <w:rPr>
                <w:rFonts w:ascii="Arial" w:cs="Arial" w:eastAsia="Arial" w:hAnsi="Arial"/>
                <w:sz w:val="19"/>
                <w:szCs w:val="19"/>
                <w:color w:val="auto"/>
              </w:rPr>
              <w:t>-   $</w:t>
            </w:r>
          </w:p>
        </w:tc>
        <w:tc>
          <w:tcPr>
            <w:tcW w:w="820" w:type="dxa"/>
            <w:vAlign w:val="bottom"/>
          </w:tcPr>
          <w:p>
            <w:pPr>
              <w:jc w:val="right"/>
              <w:spacing w:after="0"/>
              <w:rPr>
                <w:sz w:val="20"/>
                <w:szCs w:val="20"/>
                <w:color w:val="auto"/>
              </w:rPr>
            </w:pPr>
            <w:r>
              <w:rPr>
                <w:rFonts w:ascii="Arial" w:cs="Arial" w:eastAsia="Arial" w:hAnsi="Arial"/>
                <w:sz w:val="19"/>
                <w:szCs w:val="19"/>
                <w:color w:val="auto"/>
              </w:rPr>
              <w:t>3,906</w:t>
            </w:r>
          </w:p>
        </w:tc>
      </w:tr>
      <w:tr>
        <w:trPr>
          <w:trHeight w:val="310"/>
        </w:trPr>
        <w:tc>
          <w:tcPr>
            <w:tcW w:w="24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886</w:t>
            </w:r>
          </w:p>
        </w:tc>
        <w:tc>
          <w:tcPr>
            <w:tcW w:w="2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Arial" w:cs="Arial" w:eastAsia="Arial" w:hAnsi="Arial"/>
                <w:sz w:val="19"/>
                <w:szCs w:val="19"/>
                <w:color w:val="auto"/>
              </w:rPr>
              <w:t>-</w:t>
            </w:r>
          </w:p>
        </w:tc>
        <w:tc>
          <w:tcPr>
            <w:tcW w:w="1080" w:type="dxa"/>
            <w:vAlign w:val="bottom"/>
          </w:tcPr>
          <w:p>
            <w:pPr>
              <w:ind w:left="66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886</w:t>
            </w:r>
          </w:p>
        </w:tc>
      </w:tr>
      <w:tr>
        <w:trPr>
          <w:trHeight w:val="314"/>
        </w:trPr>
        <w:tc>
          <w:tcPr>
            <w:tcW w:w="24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2,234</w:t>
            </w:r>
          </w:p>
        </w:tc>
        <w:tc>
          <w:tcPr>
            <w:tcW w:w="2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Arial" w:cs="Arial" w:eastAsia="Arial" w:hAnsi="Arial"/>
                <w:sz w:val="19"/>
                <w:szCs w:val="19"/>
                <w:color w:val="auto"/>
              </w:rPr>
              <w:t>-</w:t>
            </w:r>
          </w:p>
        </w:tc>
        <w:tc>
          <w:tcPr>
            <w:tcW w:w="1080" w:type="dxa"/>
            <w:vAlign w:val="bottom"/>
          </w:tcPr>
          <w:p>
            <w:pPr>
              <w:ind w:left="66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2,234</w:t>
            </w:r>
          </w:p>
        </w:tc>
      </w:tr>
      <w:tr>
        <w:trPr>
          <w:trHeight w:val="319"/>
        </w:trPr>
        <w:tc>
          <w:tcPr>
            <w:tcW w:w="24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213</w:t>
            </w:r>
          </w:p>
        </w:tc>
        <w:tc>
          <w:tcPr>
            <w:tcW w:w="2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Arial" w:cs="Arial" w:eastAsia="Arial" w:hAnsi="Arial"/>
                <w:sz w:val="19"/>
                <w:szCs w:val="19"/>
                <w:color w:val="auto"/>
              </w:rPr>
              <w:t>-</w:t>
            </w:r>
          </w:p>
        </w:tc>
        <w:tc>
          <w:tcPr>
            <w:tcW w:w="1080" w:type="dxa"/>
            <w:vAlign w:val="bottom"/>
          </w:tcPr>
          <w:p>
            <w:pPr>
              <w:ind w:left="66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213</w:t>
            </w:r>
          </w:p>
        </w:tc>
      </w:tr>
      <w:tr>
        <w:trPr>
          <w:trHeight w:val="320"/>
        </w:trPr>
        <w:tc>
          <w:tcPr>
            <w:tcW w:w="24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7,239</w:t>
            </w:r>
          </w:p>
        </w:tc>
        <w:tc>
          <w:tcPr>
            <w:tcW w:w="2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Arial" w:cs="Arial" w:eastAsia="Arial" w:hAnsi="Arial"/>
                <w:sz w:val="19"/>
                <w:szCs w:val="19"/>
                <w:color w:val="auto"/>
              </w:rPr>
              <w:t>-</w:t>
            </w:r>
          </w:p>
        </w:tc>
        <w:tc>
          <w:tcPr>
            <w:tcW w:w="1080" w:type="dxa"/>
            <w:vAlign w:val="bottom"/>
          </w:tcPr>
          <w:p>
            <w:pPr>
              <w:ind w:left="66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7,239</w:t>
            </w:r>
          </w:p>
        </w:tc>
      </w:tr>
      <w:tr>
        <w:trPr>
          <w:trHeight w:val="614"/>
        </w:trPr>
        <w:tc>
          <w:tcPr>
            <w:tcW w:w="24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5,921</w:t>
            </w:r>
          </w:p>
        </w:tc>
        <w:tc>
          <w:tcPr>
            <w:tcW w:w="2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Arial" w:cs="Arial" w:eastAsia="Arial" w:hAnsi="Arial"/>
                <w:sz w:val="19"/>
                <w:szCs w:val="19"/>
                <w:color w:val="auto"/>
              </w:rPr>
              <w:t>1,210</w:t>
            </w:r>
          </w:p>
        </w:tc>
        <w:tc>
          <w:tcPr>
            <w:tcW w:w="1080" w:type="dxa"/>
            <w:vAlign w:val="bottom"/>
          </w:tcPr>
          <w:p>
            <w:pPr>
              <w:ind w:left="66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7,131</w:t>
            </w:r>
          </w:p>
        </w:tc>
      </w:tr>
      <w:tr>
        <w:trPr>
          <w:trHeight w:val="319"/>
        </w:trPr>
        <w:tc>
          <w:tcPr>
            <w:tcW w:w="240" w:type="dxa"/>
            <w:vAlign w:val="bottom"/>
          </w:tcPr>
          <w:p>
            <w:pPr>
              <w:spacing w:after="0"/>
              <w:rPr>
                <w:sz w:val="24"/>
                <w:szCs w:val="24"/>
                <w:color w:val="auto"/>
              </w:rPr>
            </w:pPr>
          </w:p>
        </w:tc>
        <w:tc>
          <w:tcPr>
            <w:tcW w:w="820" w:type="dxa"/>
            <w:vAlign w:val="bottom"/>
          </w:tcPr>
          <w:p>
            <w:pPr>
              <w:jc w:val="right"/>
              <w:ind w:right="5"/>
              <w:spacing w:after="0"/>
              <w:rPr>
                <w:sz w:val="20"/>
                <w:szCs w:val="20"/>
                <w:color w:val="auto"/>
              </w:rPr>
            </w:pPr>
            <w:r>
              <w:rPr>
                <w:rFonts w:ascii="Arial" w:cs="Arial" w:eastAsia="Arial" w:hAnsi="Arial"/>
                <w:sz w:val="19"/>
                <w:szCs w:val="19"/>
                <w:color w:val="auto"/>
              </w:rPr>
              <w:t>490</w:t>
            </w:r>
          </w:p>
        </w:tc>
        <w:tc>
          <w:tcPr>
            <w:tcW w:w="2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Arial" w:cs="Arial" w:eastAsia="Arial" w:hAnsi="Arial"/>
                <w:sz w:val="19"/>
                <w:szCs w:val="19"/>
                <w:color w:val="auto"/>
              </w:rPr>
              <w:t>2,283</w:t>
            </w:r>
          </w:p>
        </w:tc>
        <w:tc>
          <w:tcPr>
            <w:tcW w:w="1080" w:type="dxa"/>
            <w:vAlign w:val="bottom"/>
          </w:tcPr>
          <w:p>
            <w:pPr>
              <w:ind w:left="66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-2332990</wp:posOffset>
            </wp:positionV>
            <wp:extent cx="5967730" cy="236410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967730" cy="236410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-2332990</wp:posOffset>
            </wp:positionV>
            <wp:extent cx="5967730" cy="23641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967730" cy="236410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4060" w:space="720"/>
            <w:col w:w="462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18</w:t>
      </w:r>
    </w:p>
    <w:p>
      <w:pPr>
        <w:sectPr>
          <w:pgSz w:w="11900" w:h="16838" w:orient="portrait"/>
          <w:cols w:equalWidth="0" w:num="1">
            <w:col w:w="9400"/>
          </w:cols>
          <w:pgMar w:left="1260" w:top="1440" w:right="1246" w:bottom="0" w:gutter="0" w:footer="0" w:header="0"/>
          <w:type w:val="continuous"/>
        </w:sectPr>
      </w:pPr>
    </w:p>
    <w:bookmarkStart w:id="218" w:name="page219"/>
    <w:bookmarkEnd w:id="218"/>
    <w:p>
      <w:pPr>
        <w:ind w:left="260"/>
        <w:spacing w:after="0"/>
        <w:rPr>
          <w:sz w:val="20"/>
          <w:szCs w:val="20"/>
          <w:color w:val="auto"/>
        </w:rPr>
      </w:pPr>
      <w:r>
        <w:rPr>
          <w:rFonts w:ascii="Arial" w:cs="Arial" w:eastAsia="Arial" w:hAnsi="Arial"/>
          <w:sz w:val="19"/>
          <w:szCs w:val="19"/>
          <w:color w:val="auto"/>
        </w:rPr>
        <w:t>Fixed Income-Total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3,493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9,904</w:t>
      </w: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Cash and Cash Equivalents </w:t>
      </w:r>
      <w:r>
        <w:rPr>
          <w:rFonts w:ascii="Arial" w:cs="Arial" w:eastAsia="Arial" w:hAnsi="Arial"/>
          <w:sz w:val="25"/>
          <w:szCs w:val="25"/>
          <w:color w:val="auto"/>
          <w:vertAlign w:val="superscript"/>
        </w:rPr>
        <w:t>(f) (g)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152</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auto"/>
        </w:rPr>
        <w:t>Total</w:t>
      </w: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13,795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3,500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17,295</w:t>
      </w:r>
    </w:p>
    <w:p>
      <w:pPr>
        <w:sectPr>
          <w:pgSz w:w="11900" w:h="16838" w:orient="portrait"/>
          <w:cols w:equalWidth="0" w:num="1">
            <w:col w:w="9400"/>
          </w:cols>
          <w:pgMar w:left="1260" w:top="1281" w:right="1246"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24</w:t>
      </w:r>
    </w:p>
    <w:p>
      <w:pPr>
        <w:sectPr>
          <w:pgSz w:w="11900" w:h="16838" w:orient="portrait"/>
          <w:cols w:equalWidth="0" w:num="1">
            <w:col w:w="9400"/>
          </w:cols>
          <w:pgMar w:left="1260" w:top="1281" w:right="1246" w:bottom="0" w:gutter="0" w:footer="0" w:header="0"/>
          <w:type w:val="continuous"/>
        </w:sectPr>
      </w:pPr>
    </w:p>
    <w:bookmarkStart w:id="219" w:name="page220"/>
    <w:bookmarkEnd w:id="219"/>
    <w:p>
      <w:pPr>
        <w:ind w:left="240"/>
        <w:spacing w:after="0"/>
        <w:rPr>
          <w:sz w:val="20"/>
          <w:szCs w:val="20"/>
          <w:color w:val="auto"/>
        </w:rPr>
      </w:pPr>
      <w:r>
        <w:rPr>
          <w:rFonts w:ascii="Arial" w:cs="Arial" w:eastAsia="Arial" w:hAnsi="Arial"/>
          <w:sz w:val="6"/>
          <w:szCs w:val="6"/>
          <w:color w:val="auto"/>
        </w:rPr>
        <w:t>a)</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6"/>
          <w:szCs w:val="6"/>
          <w:color w:val="auto"/>
        </w:rPr>
        <w:t>b)</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7"/>
          <w:szCs w:val="7"/>
          <w:color w:val="auto"/>
        </w:rPr>
        <w:t>c)</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6"/>
          <w:szCs w:val="6"/>
          <w:color w:val="auto"/>
        </w:rPr>
        <w:t>d)</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6"/>
          <w:szCs w:val="6"/>
          <w:color w:val="auto"/>
        </w:rPr>
        <w:t>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8"/>
          <w:szCs w:val="8"/>
          <w:color w:val="auto"/>
        </w:rPr>
        <w:t>f)</w:t>
      </w:r>
    </w:p>
    <w:p>
      <w:pPr>
        <w:spacing w:after="0" w:line="272" w:lineRule="exact"/>
        <w:rPr>
          <w:sz w:val="20"/>
          <w:szCs w:val="20"/>
          <w:color w:val="auto"/>
        </w:rPr>
      </w:pPr>
    </w:p>
    <w:p>
      <w:pPr>
        <w:ind w:left="240"/>
        <w:spacing w:after="0"/>
        <w:rPr>
          <w:sz w:val="20"/>
          <w:szCs w:val="20"/>
          <w:color w:val="auto"/>
        </w:rPr>
      </w:pPr>
      <w:r>
        <w:rPr>
          <w:rFonts w:ascii="Arial" w:cs="Arial" w:eastAsia="Arial" w:hAnsi="Arial"/>
          <w:sz w:val="6"/>
          <w:szCs w:val="6"/>
          <w:color w:val="auto"/>
        </w:rPr>
        <w:t>g)</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exchange-traded funds representing equity markets.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nominal U.S Treasuries.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U.S. Agencies.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This category includes exchange traded funds with fixed income as the underlying exposure.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This category includes investment grade corporate bonds and taxable municipal bonds.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cash and a fully collateralized money market fund.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category includes ex-dividends that will be paid in cash.</w:t>
      </w:r>
    </w:p>
    <w:p>
      <w:pPr>
        <w:spacing w:after="0" w:line="200" w:lineRule="exact"/>
        <w:rPr>
          <w:sz w:val="20"/>
          <w:szCs w:val="20"/>
          <w:color w:val="auto"/>
        </w:rPr>
      </w:pPr>
    </w:p>
    <w:p>
      <w:pPr>
        <w:spacing w:after="0" w:line="293" w:lineRule="exact"/>
        <w:rPr>
          <w:sz w:val="20"/>
          <w:szCs w:val="20"/>
          <w:color w:val="auto"/>
        </w:rPr>
      </w:pPr>
    </w:p>
    <w:p>
      <w:pPr>
        <w:jc w:val="center"/>
        <w:ind w:right="666"/>
        <w:spacing w:after="0"/>
        <w:rPr>
          <w:sz w:val="20"/>
          <w:szCs w:val="20"/>
          <w:color w:val="auto"/>
        </w:rPr>
      </w:pPr>
      <w:r>
        <w:rPr>
          <w:rFonts w:ascii="Arial" w:cs="Arial" w:eastAsia="Arial" w:hAnsi="Arial"/>
          <w:sz w:val="22"/>
          <w:szCs w:val="22"/>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561975</wp:posOffset>
            </wp:positionV>
            <wp:extent cx="5967730" cy="190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 w:space="360"/>
            <w:col w:w="8366"/>
          </w:cols>
          <w:pgMar w:left="1440" w:top="143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 / 24</w:t>
      </w:r>
    </w:p>
    <w:p>
      <w:pPr>
        <w:sectPr>
          <w:pgSz w:w="11900" w:h="16838" w:orient="portrait"/>
          <w:cols w:equalWidth="0" w:num="1">
            <w:col w:w="9026"/>
          </w:cols>
          <w:pgMar w:left="1440" w:top="1434" w:right="1440" w:bottom="0" w:gutter="0" w:footer="0" w:header="0"/>
          <w:type w:val="continuous"/>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For the fiscal year ending December 31, 2026, the Company expects to contribute approximately $17,000 to the postretirement plan.</w:t>
      </w:r>
    </w:p>
    <w:p>
      <w:pPr>
        <w:spacing w:after="0" w:line="141"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The following benefit payments, which reflect expected future service, as appropriate, are expected to be paid from both retirement plans for the years ending December 31: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40" w:type="dxa"/>
            <w:vAlign w:val="bottom"/>
          </w:tcPr>
          <w:p>
            <w:pPr>
              <w:jc w:val="right"/>
              <w:ind w:right="265"/>
              <w:spacing w:after="0"/>
              <w:rPr>
                <w:sz w:val="20"/>
                <w:szCs w:val="20"/>
                <w:color w:val="auto"/>
              </w:rPr>
            </w:pPr>
            <w:r>
              <w:rPr>
                <w:rFonts w:ascii="Arial" w:cs="Arial" w:eastAsia="Arial" w:hAnsi="Arial"/>
                <w:sz w:val="19"/>
                <w:szCs w:val="19"/>
                <w:color w:val="auto"/>
                <w:w w:val="96"/>
              </w:rPr>
              <w:t>Pension</w:t>
            </w:r>
          </w:p>
        </w:tc>
        <w:tc>
          <w:tcPr>
            <w:tcW w:w="1360" w:type="dxa"/>
            <w:vAlign w:val="bottom"/>
            <w:gridSpan w:val="2"/>
          </w:tcPr>
          <w:p>
            <w:pPr>
              <w:ind w:left="120"/>
              <w:spacing w:after="0"/>
              <w:rPr>
                <w:sz w:val="20"/>
                <w:szCs w:val="20"/>
                <w:color w:val="auto"/>
              </w:rPr>
            </w:pPr>
            <w:r>
              <w:rPr>
                <w:rFonts w:ascii="Arial" w:cs="Arial" w:eastAsia="Arial" w:hAnsi="Arial"/>
                <w:sz w:val="19"/>
                <w:szCs w:val="19"/>
                <w:color w:val="auto"/>
                <w:w w:val="98"/>
              </w:rPr>
              <w:t>Postretirement</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99"/>
        </w:trPr>
        <w:tc>
          <w:tcPr>
            <w:tcW w:w="3840" w:type="dxa"/>
            <w:vAlign w:val="bottom"/>
          </w:tcPr>
          <w:p>
            <w:pPr>
              <w:spacing w:after="0"/>
              <w:rPr>
                <w:sz w:val="20"/>
                <w:szCs w:val="20"/>
                <w:color w:val="auto"/>
              </w:rPr>
            </w:pPr>
            <w:r>
              <w:rPr>
                <w:rFonts w:ascii="Arial" w:cs="Arial" w:eastAsia="Arial" w:hAnsi="Arial"/>
                <w:sz w:val="19"/>
                <w:szCs w:val="19"/>
                <w:i w:val="1"/>
                <w:iCs w:val="1"/>
                <w:color w:val="auto"/>
              </w:rPr>
              <w:t>(In thousands)</w:t>
            </w:r>
          </w:p>
        </w:tc>
        <w:tc>
          <w:tcPr>
            <w:tcW w:w="188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Arial" w:cs="Arial" w:eastAsia="Arial" w:hAnsi="Arial"/>
                <w:sz w:val="19"/>
                <w:szCs w:val="19"/>
                <w:color w:val="auto"/>
                <w:w w:val="98"/>
              </w:rPr>
              <w:t>Benefits</w:t>
            </w:r>
          </w:p>
        </w:tc>
        <w:tc>
          <w:tcPr>
            <w:tcW w:w="280" w:type="dxa"/>
            <w:vAlign w:val="bottom"/>
          </w:tcPr>
          <w:p>
            <w:pPr>
              <w:spacing w:after="0"/>
              <w:rPr>
                <w:sz w:val="24"/>
                <w:szCs w:val="24"/>
                <w:color w:val="auto"/>
              </w:rPr>
            </w:pPr>
          </w:p>
        </w:tc>
        <w:tc>
          <w:tcPr>
            <w:tcW w:w="1080" w:type="dxa"/>
            <w:vAlign w:val="bottom"/>
          </w:tcPr>
          <w:p>
            <w:pPr>
              <w:jc w:val="right"/>
              <w:ind w:right="265"/>
              <w:spacing w:after="0"/>
              <w:rPr>
                <w:sz w:val="20"/>
                <w:szCs w:val="20"/>
                <w:color w:val="auto"/>
              </w:rPr>
            </w:pPr>
            <w:r>
              <w:rPr>
                <w:rFonts w:ascii="Arial" w:cs="Arial" w:eastAsia="Arial" w:hAnsi="Arial"/>
                <w:sz w:val="19"/>
                <w:szCs w:val="19"/>
                <w:color w:val="auto"/>
              </w:rPr>
              <w:t>Benefits</w:t>
            </w:r>
          </w:p>
        </w:tc>
        <w:tc>
          <w:tcPr>
            <w:tcW w:w="320" w:type="dxa"/>
            <w:vAlign w:val="bottom"/>
          </w:tcPr>
          <w:p>
            <w:pPr>
              <w:spacing w:after="0"/>
              <w:rPr>
                <w:sz w:val="24"/>
                <w:szCs w:val="24"/>
                <w:color w:val="auto"/>
              </w:rPr>
            </w:pPr>
          </w:p>
        </w:tc>
        <w:tc>
          <w:tcPr>
            <w:tcW w:w="960" w:type="dxa"/>
            <w:vAlign w:val="bottom"/>
          </w:tcPr>
          <w:p>
            <w:pPr>
              <w:jc w:val="right"/>
              <w:ind w:right="345"/>
              <w:spacing w:after="0"/>
              <w:rPr>
                <w:sz w:val="20"/>
                <w:szCs w:val="20"/>
                <w:color w:val="auto"/>
              </w:rPr>
            </w:pPr>
            <w:r>
              <w:rPr>
                <w:rFonts w:ascii="Arial" w:cs="Arial" w:eastAsia="Arial" w:hAnsi="Arial"/>
                <w:sz w:val="19"/>
                <w:szCs w:val="19"/>
                <w:color w:val="auto"/>
              </w:rPr>
              <w:t>Total</w:t>
            </w:r>
          </w:p>
        </w:tc>
      </w:tr>
      <w:tr>
        <w:trPr>
          <w:trHeight w:val="309"/>
        </w:trPr>
        <w:tc>
          <w:tcPr>
            <w:tcW w:w="3840" w:type="dxa"/>
            <w:vAlign w:val="bottom"/>
          </w:tcPr>
          <w:p>
            <w:pPr>
              <w:spacing w:after="0"/>
              <w:rPr>
                <w:sz w:val="20"/>
                <w:szCs w:val="20"/>
                <w:color w:val="auto"/>
              </w:rPr>
            </w:pPr>
            <w:r>
              <w:rPr>
                <w:rFonts w:ascii="Arial" w:cs="Arial" w:eastAsia="Arial" w:hAnsi="Arial"/>
                <w:sz w:val="19"/>
                <w:szCs w:val="19"/>
                <w:color w:val="auto"/>
              </w:rPr>
              <w:t>Years ending December 31:</w:t>
            </w: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3840" w:type="dxa"/>
            <w:vAlign w:val="bottom"/>
          </w:tcPr>
          <w:p>
            <w:pPr>
              <w:spacing w:after="0"/>
              <w:rPr>
                <w:sz w:val="20"/>
                <w:szCs w:val="20"/>
                <w:color w:val="auto"/>
              </w:rPr>
            </w:pPr>
            <w:r>
              <w:rPr>
                <w:rFonts w:ascii="Arial" w:cs="Arial" w:eastAsia="Arial" w:hAnsi="Arial"/>
                <w:sz w:val="19"/>
                <w:szCs w:val="19"/>
                <w:color w:val="auto"/>
              </w:rPr>
              <w:t>2026</w:t>
            </w:r>
          </w:p>
        </w:tc>
        <w:tc>
          <w:tcPr>
            <w:tcW w:w="188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25"/>
              <w:spacing w:after="0"/>
              <w:rPr>
                <w:sz w:val="20"/>
                <w:szCs w:val="20"/>
                <w:color w:val="auto"/>
              </w:rPr>
            </w:pPr>
            <w:r>
              <w:rPr>
                <w:rFonts w:ascii="Arial" w:cs="Arial" w:eastAsia="Arial" w:hAnsi="Arial"/>
                <w:sz w:val="19"/>
                <w:szCs w:val="19"/>
                <w:color w:val="auto"/>
              </w:rPr>
              <w:t>636</w:t>
            </w:r>
          </w:p>
        </w:tc>
        <w:tc>
          <w:tcPr>
            <w:tcW w:w="280" w:type="dxa"/>
            <w:vAlign w:val="bottom"/>
          </w:tcPr>
          <w:p>
            <w:pPr>
              <w:ind w:left="120"/>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17</w:t>
            </w:r>
          </w:p>
        </w:tc>
        <w:tc>
          <w:tcPr>
            <w:tcW w:w="32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653</w:t>
            </w:r>
          </w:p>
        </w:tc>
      </w:tr>
      <w:tr>
        <w:trPr>
          <w:trHeight w:val="38"/>
        </w:trPr>
        <w:tc>
          <w:tcPr>
            <w:tcW w:w="38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2027</w:t>
            </w:r>
          </w:p>
        </w:tc>
        <w:tc>
          <w:tcPr>
            <w:tcW w:w="18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646</w:t>
            </w:r>
          </w:p>
        </w:tc>
        <w:tc>
          <w:tcPr>
            <w:tcW w:w="2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16</w:t>
            </w:r>
          </w:p>
        </w:tc>
        <w:tc>
          <w:tcPr>
            <w:tcW w:w="3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662</w:t>
            </w:r>
          </w:p>
        </w:tc>
      </w:tr>
      <w:tr>
        <w:trPr>
          <w:trHeight w:val="276"/>
        </w:trPr>
        <w:tc>
          <w:tcPr>
            <w:tcW w:w="3840" w:type="dxa"/>
            <w:vAlign w:val="bottom"/>
          </w:tcPr>
          <w:p>
            <w:pPr>
              <w:spacing w:after="0"/>
              <w:rPr>
                <w:sz w:val="20"/>
                <w:szCs w:val="20"/>
                <w:color w:val="auto"/>
              </w:rPr>
            </w:pPr>
            <w:r>
              <w:rPr>
                <w:rFonts w:ascii="Arial" w:cs="Arial" w:eastAsia="Arial" w:hAnsi="Arial"/>
                <w:sz w:val="19"/>
                <w:szCs w:val="19"/>
                <w:color w:val="auto"/>
              </w:rPr>
              <w:t>2028</w:t>
            </w:r>
          </w:p>
        </w:tc>
        <w:tc>
          <w:tcPr>
            <w:tcW w:w="188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Arial" w:cs="Arial" w:eastAsia="Arial" w:hAnsi="Arial"/>
                <w:sz w:val="19"/>
                <w:szCs w:val="19"/>
                <w:color w:val="auto"/>
              </w:rPr>
              <w:t>683</w:t>
            </w:r>
          </w:p>
        </w:tc>
        <w:tc>
          <w:tcPr>
            <w:tcW w:w="28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15</w:t>
            </w:r>
          </w:p>
        </w:tc>
        <w:tc>
          <w:tcPr>
            <w:tcW w:w="320" w:type="dxa"/>
            <w:vAlign w:val="bottom"/>
          </w:tcPr>
          <w:p>
            <w:pPr>
              <w:spacing w:after="0"/>
              <w:rPr>
                <w:sz w:val="24"/>
                <w:szCs w:val="24"/>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698</w:t>
            </w:r>
          </w:p>
        </w:tc>
      </w:tr>
      <w:tr>
        <w:trPr>
          <w:trHeight w:val="38"/>
        </w:trPr>
        <w:tc>
          <w:tcPr>
            <w:tcW w:w="38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2029</w:t>
            </w:r>
          </w:p>
        </w:tc>
        <w:tc>
          <w:tcPr>
            <w:tcW w:w="18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686</w:t>
            </w:r>
          </w:p>
        </w:tc>
        <w:tc>
          <w:tcPr>
            <w:tcW w:w="2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15</w:t>
            </w:r>
          </w:p>
        </w:tc>
        <w:tc>
          <w:tcPr>
            <w:tcW w:w="3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701</w:t>
            </w:r>
          </w:p>
        </w:tc>
      </w:tr>
      <w:tr>
        <w:trPr>
          <w:trHeight w:val="276"/>
        </w:trPr>
        <w:tc>
          <w:tcPr>
            <w:tcW w:w="3840" w:type="dxa"/>
            <w:vAlign w:val="bottom"/>
          </w:tcPr>
          <w:p>
            <w:pPr>
              <w:spacing w:after="0"/>
              <w:rPr>
                <w:sz w:val="20"/>
                <w:szCs w:val="20"/>
                <w:color w:val="auto"/>
              </w:rPr>
            </w:pPr>
            <w:r>
              <w:rPr>
                <w:rFonts w:ascii="Arial" w:cs="Arial" w:eastAsia="Arial" w:hAnsi="Arial"/>
                <w:sz w:val="19"/>
                <w:szCs w:val="19"/>
                <w:color w:val="auto"/>
              </w:rPr>
              <w:t>2030</w:t>
            </w:r>
          </w:p>
        </w:tc>
        <w:tc>
          <w:tcPr>
            <w:tcW w:w="188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Arial" w:cs="Arial" w:eastAsia="Arial" w:hAnsi="Arial"/>
                <w:sz w:val="19"/>
                <w:szCs w:val="19"/>
                <w:color w:val="auto"/>
              </w:rPr>
              <w:t>724</w:t>
            </w:r>
          </w:p>
        </w:tc>
        <w:tc>
          <w:tcPr>
            <w:tcW w:w="28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14</w:t>
            </w:r>
          </w:p>
        </w:tc>
        <w:tc>
          <w:tcPr>
            <w:tcW w:w="320" w:type="dxa"/>
            <w:vAlign w:val="bottom"/>
          </w:tcPr>
          <w:p>
            <w:pPr>
              <w:spacing w:after="0"/>
              <w:rPr>
                <w:sz w:val="24"/>
                <w:szCs w:val="24"/>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738</w:t>
            </w:r>
          </w:p>
        </w:tc>
      </w:tr>
      <w:tr>
        <w:trPr>
          <w:trHeight w:val="38"/>
        </w:trPr>
        <w:tc>
          <w:tcPr>
            <w:tcW w:w="38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04"/>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2031-2035</w:t>
            </w:r>
          </w:p>
        </w:tc>
        <w:tc>
          <w:tcPr>
            <w:tcW w:w="18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3,645</w:t>
            </w:r>
          </w:p>
        </w:tc>
        <w:tc>
          <w:tcPr>
            <w:tcW w:w="2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61</w:t>
            </w:r>
          </w:p>
        </w:tc>
        <w:tc>
          <w:tcPr>
            <w:tcW w:w="3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3,706</w:t>
            </w:r>
          </w:p>
        </w:tc>
      </w:tr>
      <w:tr>
        <w:trPr>
          <w:trHeight w:val="276"/>
        </w:trPr>
        <w:tc>
          <w:tcPr>
            <w:tcW w:w="3840" w:type="dxa"/>
            <w:vAlign w:val="bottom"/>
          </w:tcPr>
          <w:p>
            <w:pPr>
              <w:spacing w:after="0"/>
              <w:rPr>
                <w:sz w:val="20"/>
                <w:szCs w:val="20"/>
                <w:color w:val="auto"/>
              </w:rPr>
            </w:pPr>
            <w:r>
              <w:rPr>
                <w:rFonts w:ascii="Arial" w:cs="Arial" w:eastAsia="Arial" w:hAnsi="Arial"/>
                <w:sz w:val="19"/>
                <w:szCs w:val="19"/>
                <w:color w:val="auto"/>
              </w:rPr>
              <w:t>Total</w:t>
            </w:r>
          </w:p>
        </w:tc>
        <w:tc>
          <w:tcPr>
            <w:tcW w:w="188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25"/>
              <w:spacing w:after="0"/>
              <w:rPr>
                <w:sz w:val="20"/>
                <w:szCs w:val="20"/>
                <w:color w:val="auto"/>
              </w:rPr>
            </w:pPr>
            <w:r>
              <w:rPr>
                <w:rFonts w:ascii="Arial" w:cs="Arial" w:eastAsia="Arial" w:hAnsi="Arial"/>
                <w:sz w:val="19"/>
                <w:szCs w:val="19"/>
                <w:color w:val="auto"/>
              </w:rPr>
              <w:t>7,020</w:t>
            </w:r>
          </w:p>
        </w:tc>
        <w:tc>
          <w:tcPr>
            <w:tcW w:w="280" w:type="dxa"/>
            <w:vAlign w:val="bottom"/>
          </w:tcPr>
          <w:p>
            <w:pPr>
              <w:ind w:left="120"/>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138</w:t>
            </w:r>
          </w:p>
        </w:tc>
        <w:tc>
          <w:tcPr>
            <w:tcW w:w="32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7,158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-1581785</wp:posOffset>
            </wp:positionV>
            <wp:extent cx="5967730"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-1384935</wp:posOffset>
            </wp:positionV>
            <wp:extent cx="5967730"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5967730" cy="6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5967730" cy="285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43"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The Company also offers a 401(k) plan to its employees. Employees may contribute a portion of their eligible compensation to the plan, and the Company matches a percentage of such contributions pursuant to the plan’s provisions. Expense related to employer contributions under the plan totaled $832,000 for the year ended December 31, 2025, compared to $848,000 for the year ended December 31, 2024.</w:t>
      </w:r>
    </w:p>
    <w:p>
      <w:pPr>
        <w:spacing w:after="0" w:line="118"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The Company maintains optional deferred compensation plans for its directors and certain executive officers, whereby fees and income normally received are deferred and paid by the Company based upon a payment schedule commencing between the ages of 65 and 70 and continuing monthly for 10 years. At December 31, 2025 and 2024, other liabilities on the accompanying Consolidated Statements of Condition include approximately $3.5 million and $3.4 million, respectively, relating to deferred compensation. Deferred compensation expense for the years ended December 31, 2025 and 2024 amounted to approximately $348,000 and $347,000, respectively.</w:t>
      </w:r>
    </w:p>
    <w:p>
      <w:pPr>
        <w:spacing w:after="0" w:line="109" w:lineRule="exact"/>
        <w:rPr>
          <w:sz w:val="20"/>
          <w:szCs w:val="20"/>
          <w:color w:val="auto"/>
        </w:rPr>
      </w:pPr>
    </w:p>
    <w:p>
      <w:pPr>
        <w:jc w:val="both"/>
        <w:ind w:right="60"/>
        <w:spacing w:after="0" w:line="348" w:lineRule="auto"/>
        <w:rPr>
          <w:sz w:val="20"/>
          <w:szCs w:val="20"/>
          <w:color w:val="auto"/>
        </w:rPr>
      </w:pPr>
      <w:r>
        <w:rPr>
          <w:rFonts w:ascii="Arial" w:cs="Arial" w:eastAsia="Arial" w:hAnsi="Arial"/>
          <w:sz w:val="18"/>
          <w:szCs w:val="18"/>
          <w:color w:val="auto"/>
        </w:rPr>
        <w:t>The Bank adopted a Defined Contribution Supplemental Executive Retirement Plan (the “SERP”), effective January 1, 2014. The SERP benefits certain key senior executives of the Bank who are selected by the Board to participate, including our named executive officers. The SERP is intended to provide a benefit from the Bank upon retirement, death, disability or voluntary or involuntary termination of service (other than “for cause”), subject to the requirements of Section 409A of the Internal Revenue Code. Accordingly, the SERP obligates the Bank to make a contribution to each executive’s account on the last business day of each calendar year. In addition, the Bank may, but is not required to, make additional discretionary contributions to the executive’s accounts from time to time. All executives currently participating in the plan, including the named executive officers, are fully vested in the Bank’s contribution to the plan. In the event the executive is terminated involuntarily or resigns for good reason within 24 months following a change in control, the Bank is required to make additional annual contributions the lesser of: (1) three years or (2) the number of years remaining until the executive’s benefit age, subject to potential reduction to avoid an excess parachute payment under Code Section 280G. In the event of the executive’s death, disability or termination within 24 months after a change in control, the executive’s account will be paid in a lump sum to the executive or a named beneficiary, as applicable. In the event the executive is entitled to a benefit from the SERP due to retirement or other termination of employment, the benefit will be paid either in a lump sum or in 10 annual</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24</w:t>
      </w:r>
    </w:p>
    <w:p>
      <w:pPr>
        <w:sectPr>
          <w:pgSz w:w="11900" w:h="16838" w:orient="portrait"/>
          <w:cols w:equalWidth="0" w:num="1">
            <w:col w:w="9400"/>
          </w:cols>
          <w:pgMar w:left="1260" w:top="1440" w:right="1246" w:bottom="0" w:gutter="0" w:footer="0" w:header="0"/>
          <w:type w:val="continuous"/>
        </w:sectPr>
      </w:pPr>
    </w:p>
    <w:bookmarkStart w:id="221" w:name="page222"/>
    <w:bookmarkEnd w:id="221"/>
    <w:p>
      <w:pPr>
        <w:jc w:val="both"/>
        <w:spacing w:after="0" w:line="307" w:lineRule="auto"/>
        <w:rPr>
          <w:sz w:val="20"/>
          <w:szCs w:val="20"/>
          <w:color w:val="auto"/>
        </w:rPr>
      </w:pPr>
      <w:r>
        <w:rPr>
          <w:rFonts w:ascii="Arial" w:cs="Arial" w:eastAsia="Arial" w:hAnsi="Arial"/>
          <w:sz w:val="20"/>
          <w:szCs w:val="20"/>
          <w:color w:val="auto"/>
        </w:rPr>
        <w:t>installments as detailed in his or her participant agreement. At December 31, 2025 and 2024, other liabilities on the accompanying Consolidated Statements of Condition included $699,000 and $694,000, respectively, accrued under this plan.</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To assist in the funding of the Company’s benefits under the supplemental executive retirement plan and deferred compensation plans, the Company is the owner of single premium life insurance policies on selected participants. At December 31, 2025 and 2024, the cash surrender values of these policies were $31.4 million and $24.7 million, respectively.</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 / 24</w:t>
      </w:r>
    </w:p>
    <w:p>
      <w:pPr>
        <w:sectPr>
          <w:pgSz w:w="11900" w:h="16838" w:orient="portrait"/>
          <w:cols w:equalWidth="0" w:num="1">
            <w:col w:w="9340"/>
          </w:cols>
          <w:pgMar w:left="1260" w:top="1173" w:right="1306" w:bottom="0" w:gutter="0" w:footer="0" w:header="0"/>
          <w:type w:val="continuous"/>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STOCK BASED COMPENSATION PLANS</w:t>
      </w:r>
    </w:p>
    <w:p>
      <w:pPr>
        <w:spacing w:after="0" w:line="200"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The Company maintains stock option awards granted under its legacy equity incentive plans. The Company’s 2010 and 2016 Equity Incentive Plans remain in existence solely for the purpose of administering outstanding awards granted under those plans, and no additional awards may be granted thereunder.</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Outstanding stock options and activity are summarized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3220" w:type="dxa"/>
            <w:vAlign w:val="bottom"/>
            <w:gridSpan w:val="3"/>
          </w:tcPr>
          <w:p>
            <w:pPr>
              <w:jc w:val="right"/>
              <w:ind w:right="640"/>
              <w:spacing w:after="0"/>
              <w:rPr>
                <w:sz w:val="20"/>
                <w:szCs w:val="20"/>
                <w:color w:val="auto"/>
              </w:rPr>
            </w:pPr>
            <w:r>
              <w:rPr>
                <w:rFonts w:ascii="Arial" w:cs="Arial" w:eastAsia="Arial" w:hAnsi="Arial"/>
                <w:sz w:val="20"/>
                <w:szCs w:val="20"/>
                <w:color w:val="auto"/>
              </w:rPr>
              <w:t>Options Outstanding</w:t>
            </w:r>
          </w:p>
        </w:tc>
        <w:tc>
          <w:tcPr>
            <w:tcW w:w="2740" w:type="dxa"/>
            <w:vAlign w:val="bottom"/>
            <w:gridSpan w:val="3"/>
          </w:tcPr>
          <w:p>
            <w:pPr>
              <w:jc w:val="right"/>
              <w:ind w:right="600"/>
              <w:spacing w:after="0"/>
              <w:rPr>
                <w:sz w:val="20"/>
                <w:szCs w:val="20"/>
                <w:color w:val="auto"/>
              </w:rPr>
            </w:pPr>
            <w:r>
              <w:rPr>
                <w:rFonts w:ascii="Arial" w:cs="Arial" w:eastAsia="Arial" w:hAnsi="Arial"/>
                <w:sz w:val="20"/>
                <w:szCs w:val="20"/>
                <w:color w:val="auto"/>
              </w:rPr>
              <w:t>Shares Exercisable</w:t>
            </w:r>
          </w:p>
        </w:tc>
      </w:tr>
      <w:tr>
        <w:trPr>
          <w:trHeight w:val="324"/>
        </w:trPr>
        <w:tc>
          <w:tcPr>
            <w:tcW w:w="3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20"/>
                <w:szCs w:val="20"/>
                <w:color w:val="auto"/>
              </w:rPr>
              <w:t>Weighted</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Weighted</w:t>
            </w:r>
          </w:p>
        </w:tc>
      </w:tr>
      <w:tr>
        <w:trPr>
          <w:trHeight w:val="300"/>
        </w:trPr>
        <w:tc>
          <w:tcPr>
            <w:tcW w:w="3440" w:type="dxa"/>
            <w:vAlign w:val="bottom"/>
          </w:tcPr>
          <w:p>
            <w:pPr>
              <w:spacing w:after="0"/>
              <w:rPr>
                <w:sz w:val="24"/>
                <w:szCs w:val="24"/>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Number of</w:t>
            </w:r>
          </w:p>
        </w:tc>
        <w:tc>
          <w:tcPr>
            <w:tcW w:w="300" w:type="dxa"/>
            <w:vAlign w:val="bottom"/>
          </w:tcPr>
          <w:p>
            <w:pPr>
              <w:spacing w:after="0"/>
              <w:rPr>
                <w:sz w:val="24"/>
                <w:szCs w:val="24"/>
                <w:color w:val="auto"/>
              </w:rPr>
            </w:pPr>
          </w:p>
        </w:tc>
        <w:tc>
          <w:tcPr>
            <w:tcW w:w="1220" w:type="dxa"/>
            <w:vAlign w:val="bottom"/>
          </w:tcPr>
          <w:p>
            <w:pPr>
              <w:jc w:val="right"/>
              <w:ind w:right="180"/>
              <w:spacing w:after="0"/>
              <w:rPr>
                <w:sz w:val="20"/>
                <w:szCs w:val="20"/>
                <w:color w:val="auto"/>
              </w:rPr>
            </w:pPr>
            <w:r>
              <w:rPr>
                <w:rFonts w:ascii="Arial" w:cs="Arial" w:eastAsia="Arial" w:hAnsi="Arial"/>
                <w:sz w:val="20"/>
                <w:szCs w:val="20"/>
                <w:color w:val="auto"/>
              </w:rPr>
              <w:t>Average</w:t>
            </w:r>
          </w:p>
        </w:tc>
        <w:tc>
          <w:tcPr>
            <w:tcW w:w="1340" w:type="dxa"/>
            <w:vAlign w:val="bottom"/>
          </w:tcPr>
          <w:p>
            <w:pPr>
              <w:jc w:val="right"/>
              <w:ind w:right="80"/>
              <w:spacing w:after="0"/>
              <w:rPr>
                <w:sz w:val="20"/>
                <w:szCs w:val="20"/>
                <w:color w:val="auto"/>
              </w:rPr>
            </w:pPr>
            <w:r>
              <w:rPr>
                <w:rFonts w:ascii="Arial" w:cs="Arial" w:eastAsia="Arial" w:hAnsi="Arial"/>
                <w:sz w:val="20"/>
                <w:szCs w:val="20"/>
                <w:color w:val="auto"/>
              </w:rPr>
              <w:t>Number of</w:t>
            </w:r>
          </w:p>
        </w:tc>
        <w:tc>
          <w:tcPr>
            <w:tcW w:w="32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Average</w:t>
            </w:r>
          </w:p>
        </w:tc>
      </w:tr>
      <w:tr>
        <w:trPr>
          <w:trHeight w:val="314"/>
        </w:trPr>
        <w:tc>
          <w:tcPr>
            <w:tcW w:w="3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20"/>
                <w:szCs w:val="20"/>
                <w:color w:val="auto"/>
              </w:rPr>
              <w:t>Exercise</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3440" w:type="dxa"/>
            <w:vAlign w:val="bottom"/>
          </w:tcPr>
          <w:p>
            <w:pPr>
              <w:spacing w:after="0"/>
              <w:rPr>
                <w:sz w:val="20"/>
                <w:szCs w:val="20"/>
                <w:color w:val="auto"/>
              </w:rPr>
            </w:pPr>
            <w:r>
              <w:rPr>
                <w:rFonts w:ascii="Arial" w:cs="Arial" w:eastAsia="Arial" w:hAnsi="Arial"/>
                <w:sz w:val="20"/>
                <w:szCs w:val="20"/>
                <w:i w:val="1"/>
                <w:iCs w:val="1"/>
                <w:color w:val="auto"/>
              </w:rPr>
              <w:t>(Shares in thousands)</w:t>
            </w: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Shares</w:t>
            </w:r>
          </w:p>
        </w:tc>
        <w:tc>
          <w:tcPr>
            <w:tcW w:w="300" w:type="dxa"/>
            <w:vAlign w:val="bottom"/>
          </w:tcPr>
          <w:p>
            <w:pPr>
              <w:spacing w:after="0"/>
              <w:rPr>
                <w:sz w:val="24"/>
                <w:szCs w:val="24"/>
                <w:color w:val="auto"/>
              </w:rPr>
            </w:pPr>
          </w:p>
        </w:tc>
        <w:tc>
          <w:tcPr>
            <w:tcW w:w="1220" w:type="dxa"/>
            <w:vAlign w:val="bottom"/>
          </w:tcPr>
          <w:p>
            <w:pPr>
              <w:jc w:val="right"/>
              <w:ind w:right="180"/>
              <w:spacing w:after="0"/>
              <w:rPr>
                <w:sz w:val="20"/>
                <w:szCs w:val="20"/>
                <w:color w:val="auto"/>
              </w:rPr>
            </w:pPr>
            <w:r>
              <w:rPr>
                <w:rFonts w:ascii="Arial" w:cs="Arial" w:eastAsia="Arial" w:hAnsi="Arial"/>
                <w:sz w:val="20"/>
                <w:szCs w:val="20"/>
                <w:color w:val="auto"/>
              </w:rPr>
              <w:t>Price</w:t>
            </w:r>
          </w:p>
        </w:tc>
        <w:tc>
          <w:tcPr>
            <w:tcW w:w="1340" w:type="dxa"/>
            <w:vAlign w:val="bottom"/>
          </w:tcPr>
          <w:p>
            <w:pPr>
              <w:jc w:val="right"/>
              <w:ind w:right="80"/>
              <w:spacing w:after="0"/>
              <w:rPr>
                <w:sz w:val="20"/>
                <w:szCs w:val="20"/>
                <w:color w:val="auto"/>
              </w:rPr>
            </w:pPr>
            <w:r>
              <w:rPr>
                <w:rFonts w:ascii="Arial" w:cs="Arial" w:eastAsia="Arial" w:hAnsi="Arial"/>
                <w:sz w:val="20"/>
                <w:szCs w:val="20"/>
                <w:color w:val="auto"/>
              </w:rPr>
              <w:t>Shares</w:t>
            </w:r>
          </w:p>
        </w:tc>
        <w:tc>
          <w:tcPr>
            <w:tcW w:w="1400" w:type="dxa"/>
            <w:vAlign w:val="bottom"/>
            <w:gridSpan w:val="2"/>
          </w:tcPr>
          <w:p>
            <w:pPr>
              <w:jc w:val="right"/>
              <w:ind w:right="20"/>
              <w:spacing w:after="0"/>
              <w:rPr>
                <w:sz w:val="20"/>
                <w:szCs w:val="20"/>
                <w:color w:val="auto"/>
              </w:rPr>
            </w:pPr>
            <w:r>
              <w:rPr>
                <w:rFonts w:ascii="Arial" w:cs="Arial" w:eastAsia="Arial" w:hAnsi="Arial"/>
                <w:sz w:val="20"/>
                <w:szCs w:val="20"/>
                <w:color w:val="auto"/>
                <w:w w:val="98"/>
              </w:rPr>
              <w:t>Exercise Price</w:t>
            </w:r>
          </w:p>
        </w:tc>
      </w:tr>
      <w:tr>
        <w:trPr>
          <w:trHeight w:val="51"/>
        </w:trPr>
        <w:tc>
          <w:tcPr>
            <w:tcW w:w="34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0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Outstanding at January 1, 2024</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165</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11.01</w:t>
            </w:r>
          </w:p>
        </w:tc>
        <w:tc>
          <w:tcPr>
            <w:tcW w:w="13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165</w:t>
            </w:r>
          </w:p>
        </w:tc>
        <w:tc>
          <w:tcPr>
            <w:tcW w:w="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11.01</w:t>
            </w:r>
          </w:p>
        </w:tc>
      </w:tr>
      <w:tr>
        <w:trPr>
          <w:trHeight w:val="274"/>
        </w:trPr>
        <w:tc>
          <w:tcPr>
            <w:tcW w:w="3440" w:type="dxa"/>
            <w:vAlign w:val="bottom"/>
          </w:tcPr>
          <w:p>
            <w:pPr>
              <w:ind w:left="60"/>
              <w:spacing w:after="0"/>
              <w:rPr>
                <w:sz w:val="20"/>
                <w:szCs w:val="20"/>
                <w:color w:val="auto"/>
              </w:rPr>
            </w:pPr>
            <w:r>
              <w:rPr>
                <w:rFonts w:ascii="Arial" w:cs="Arial" w:eastAsia="Arial" w:hAnsi="Arial"/>
                <w:sz w:val="20"/>
                <w:szCs w:val="20"/>
                <w:color w:val="auto"/>
              </w:rPr>
              <w:t>Granted</w:t>
            </w: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22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34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Newly vested</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3440" w:type="dxa"/>
            <w:vAlign w:val="bottom"/>
          </w:tcPr>
          <w:p>
            <w:pPr>
              <w:ind w:left="60"/>
              <w:spacing w:after="0"/>
              <w:rPr>
                <w:sz w:val="20"/>
                <w:szCs w:val="20"/>
                <w:color w:val="auto"/>
              </w:rPr>
            </w:pPr>
            <w:r>
              <w:rPr>
                <w:rFonts w:ascii="Arial" w:cs="Arial" w:eastAsia="Arial" w:hAnsi="Arial"/>
                <w:sz w:val="20"/>
                <w:szCs w:val="20"/>
                <w:color w:val="auto"/>
              </w:rPr>
              <w:t>Exercised</w:t>
            </w:r>
          </w:p>
        </w:tc>
        <w:tc>
          <w:tcPr>
            <w:tcW w:w="1700" w:type="dxa"/>
            <w:vAlign w:val="bottom"/>
          </w:tcPr>
          <w:p>
            <w:pPr>
              <w:jc w:val="right"/>
              <w:spacing w:after="0"/>
              <w:rPr>
                <w:sz w:val="20"/>
                <w:szCs w:val="20"/>
                <w:color w:val="auto"/>
              </w:rPr>
            </w:pPr>
            <w:r>
              <w:rPr>
                <w:rFonts w:ascii="Arial" w:cs="Arial" w:eastAsia="Arial" w:hAnsi="Arial"/>
                <w:sz w:val="20"/>
                <w:szCs w:val="20"/>
                <w:color w:val="auto"/>
              </w:rPr>
              <w:t>(26)</w:t>
            </w:r>
          </w:p>
        </w:tc>
        <w:tc>
          <w:tcPr>
            <w:tcW w:w="300" w:type="dxa"/>
            <w:vAlign w:val="bottom"/>
          </w:tcPr>
          <w:p>
            <w:pPr>
              <w:spacing w:after="0"/>
              <w:rPr>
                <w:sz w:val="23"/>
                <w:szCs w:val="23"/>
                <w:color w:val="auto"/>
              </w:rPr>
            </w:pPr>
          </w:p>
        </w:tc>
        <w:tc>
          <w:tcPr>
            <w:tcW w:w="122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(26)</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34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Forfeited</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3440" w:type="dxa"/>
            <w:vAlign w:val="bottom"/>
          </w:tcPr>
          <w:p>
            <w:pPr>
              <w:ind w:left="60"/>
              <w:spacing w:after="0"/>
              <w:rPr>
                <w:sz w:val="20"/>
                <w:szCs w:val="20"/>
                <w:color w:val="auto"/>
              </w:rPr>
            </w:pPr>
            <w:r>
              <w:rPr>
                <w:rFonts w:ascii="Arial" w:cs="Arial" w:eastAsia="Arial" w:hAnsi="Arial"/>
                <w:sz w:val="20"/>
                <w:szCs w:val="20"/>
                <w:color w:val="auto"/>
              </w:rPr>
              <w:t>Expired</w:t>
            </w: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22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51"/>
        </w:trPr>
        <w:tc>
          <w:tcPr>
            <w:tcW w:w="34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0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Outstanding at December 31, 2024</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139</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11.00</w:t>
            </w:r>
          </w:p>
        </w:tc>
        <w:tc>
          <w:tcPr>
            <w:tcW w:w="13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139</w:t>
            </w:r>
          </w:p>
        </w:tc>
        <w:tc>
          <w:tcPr>
            <w:tcW w:w="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11.00</w:t>
            </w:r>
          </w:p>
        </w:tc>
      </w:tr>
      <w:tr>
        <w:trPr>
          <w:trHeight w:val="274"/>
        </w:trPr>
        <w:tc>
          <w:tcPr>
            <w:tcW w:w="3440" w:type="dxa"/>
            <w:vAlign w:val="bottom"/>
          </w:tcPr>
          <w:p>
            <w:pPr>
              <w:ind w:left="60"/>
              <w:spacing w:after="0"/>
              <w:rPr>
                <w:sz w:val="20"/>
                <w:szCs w:val="20"/>
                <w:color w:val="auto"/>
              </w:rPr>
            </w:pPr>
            <w:r>
              <w:rPr>
                <w:rFonts w:ascii="Arial" w:cs="Arial" w:eastAsia="Arial" w:hAnsi="Arial"/>
                <w:sz w:val="20"/>
                <w:szCs w:val="20"/>
                <w:color w:val="auto"/>
              </w:rPr>
              <w:t>Granted</w:t>
            </w: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22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34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Newly vested</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3440" w:type="dxa"/>
            <w:vAlign w:val="bottom"/>
          </w:tcPr>
          <w:p>
            <w:pPr>
              <w:ind w:left="60"/>
              <w:spacing w:after="0"/>
              <w:rPr>
                <w:sz w:val="20"/>
                <w:szCs w:val="20"/>
                <w:color w:val="auto"/>
              </w:rPr>
            </w:pPr>
            <w:r>
              <w:rPr>
                <w:rFonts w:ascii="Arial" w:cs="Arial" w:eastAsia="Arial" w:hAnsi="Arial"/>
                <w:sz w:val="20"/>
                <w:szCs w:val="20"/>
                <w:color w:val="auto"/>
              </w:rPr>
              <w:t>Exercised</w:t>
            </w:r>
          </w:p>
        </w:tc>
        <w:tc>
          <w:tcPr>
            <w:tcW w:w="1700" w:type="dxa"/>
            <w:vAlign w:val="bottom"/>
          </w:tcPr>
          <w:p>
            <w:pPr>
              <w:jc w:val="right"/>
              <w:spacing w:after="0"/>
              <w:rPr>
                <w:sz w:val="20"/>
                <w:szCs w:val="20"/>
                <w:color w:val="auto"/>
              </w:rPr>
            </w:pPr>
            <w:r>
              <w:rPr>
                <w:rFonts w:ascii="Arial" w:cs="Arial" w:eastAsia="Arial" w:hAnsi="Arial"/>
                <w:sz w:val="20"/>
                <w:szCs w:val="20"/>
                <w:color w:val="auto"/>
              </w:rPr>
              <w:t>(60)</w:t>
            </w:r>
          </w:p>
        </w:tc>
        <w:tc>
          <w:tcPr>
            <w:tcW w:w="300" w:type="dxa"/>
            <w:vAlign w:val="bottom"/>
          </w:tcPr>
          <w:p>
            <w:pPr>
              <w:spacing w:after="0"/>
              <w:rPr>
                <w:sz w:val="23"/>
                <w:szCs w:val="23"/>
                <w:color w:val="auto"/>
              </w:rPr>
            </w:pPr>
          </w:p>
        </w:tc>
        <w:tc>
          <w:tcPr>
            <w:tcW w:w="122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(60)</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34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Forfeited</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3440" w:type="dxa"/>
            <w:vAlign w:val="bottom"/>
          </w:tcPr>
          <w:p>
            <w:pPr>
              <w:ind w:left="60"/>
              <w:spacing w:after="0"/>
              <w:rPr>
                <w:sz w:val="20"/>
                <w:szCs w:val="20"/>
                <w:color w:val="auto"/>
              </w:rPr>
            </w:pPr>
            <w:r>
              <w:rPr>
                <w:rFonts w:ascii="Arial" w:cs="Arial" w:eastAsia="Arial" w:hAnsi="Arial"/>
                <w:sz w:val="20"/>
                <w:szCs w:val="20"/>
                <w:color w:val="auto"/>
              </w:rPr>
              <w:t>Expired</w:t>
            </w: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22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51"/>
        </w:trPr>
        <w:tc>
          <w:tcPr>
            <w:tcW w:w="34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4"/>
        </w:trPr>
        <w:tc>
          <w:tcPr>
            <w:tcW w:w="3440" w:type="dxa"/>
            <w:vAlign w:val="bottom"/>
            <w:shd w:val="clear" w:color="auto" w:fill="CFF0FC"/>
          </w:tcPr>
          <w:p>
            <w:pPr>
              <w:spacing w:after="0"/>
              <w:rPr>
                <w:sz w:val="20"/>
                <w:szCs w:val="20"/>
                <w:color w:val="auto"/>
              </w:rPr>
            </w:pPr>
            <w:r>
              <w:rPr>
                <w:rFonts w:ascii="Arial" w:cs="Arial" w:eastAsia="Arial" w:hAnsi="Arial"/>
                <w:sz w:val="20"/>
                <w:szCs w:val="20"/>
                <w:color w:val="auto"/>
              </w:rPr>
              <w:t>Outstanding at December 31, 2025</w:t>
            </w:r>
          </w:p>
        </w:tc>
        <w:tc>
          <w:tcPr>
            <w:tcW w:w="170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79</w:t>
            </w:r>
          </w:p>
        </w:tc>
        <w:tc>
          <w:tcPr>
            <w:tcW w:w="3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11.06</w:t>
            </w:r>
          </w:p>
        </w:tc>
        <w:tc>
          <w:tcPr>
            <w:tcW w:w="134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79</w:t>
            </w:r>
          </w:p>
        </w:tc>
        <w:tc>
          <w:tcPr>
            <w:tcW w:w="3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11.06</w:t>
            </w:r>
          </w:p>
        </w:tc>
      </w:tr>
      <w:tr>
        <w:trPr>
          <w:trHeight w:val="51"/>
        </w:trPr>
        <w:tc>
          <w:tcPr>
            <w:tcW w:w="3440" w:type="dxa"/>
            <w:vAlign w:val="bottom"/>
            <w:shd w:val="clear" w:color="auto" w:fill="CFF0FC"/>
          </w:tcPr>
          <w:p>
            <w:pPr>
              <w:spacing w:after="0"/>
              <w:rPr>
                <w:sz w:val="4"/>
                <w:szCs w:val="4"/>
                <w:color w:val="auto"/>
              </w:rPr>
            </w:pPr>
          </w:p>
        </w:tc>
        <w:tc>
          <w:tcPr>
            <w:tcW w:w="1700" w:type="dxa"/>
            <w:vAlign w:val="bottom"/>
            <w:shd w:val="clear" w:color="auto" w:fill="CFF0FC"/>
          </w:tcPr>
          <w:p>
            <w:pPr>
              <w:spacing w:after="0"/>
              <w:rPr>
                <w:sz w:val="4"/>
                <w:szCs w:val="4"/>
                <w:color w:val="auto"/>
              </w:rPr>
            </w:pPr>
          </w:p>
        </w:tc>
        <w:tc>
          <w:tcPr>
            <w:tcW w:w="300" w:type="dxa"/>
            <w:vAlign w:val="bottom"/>
            <w:shd w:val="clear" w:color="auto" w:fill="CFF0FC"/>
          </w:tcPr>
          <w:p>
            <w:pPr>
              <w:spacing w:after="0"/>
              <w:rPr>
                <w:sz w:val="4"/>
                <w:szCs w:val="4"/>
                <w:color w:val="auto"/>
              </w:rPr>
            </w:pPr>
          </w:p>
        </w:tc>
        <w:tc>
          <w:tcPr>
            <w:tcW w:w="1220" w:type="dxa"/>
            <w:vAlign w:val="bottom"/>
            <w:shd w:val="clear" w:color="auto" w:fill="CFF0FC"/>
          </w:tcPr>
          <w:p>
            <w:pPr>
              <w:spacing w:after="0"/>
              <w:rPr>
                <w:sz w:val="4"/>
                <w:szCs w:val="4"/>
                <w:color w:val="auto"/>
              </w:rPr>
            </w:pPr>
          </w:p>
        </w:tc>
        <w:tc>
          <w:tcPr>
            <w:tcW w:w="1340" w:type="dxa"/>
            <w:vAlign w:val="bottom"/>
            <w:shd w:val="clear" w:color="auto" w:fill="CFF0FC"/>
          </w:tcPr>
          <w:p>
            <w:pPr>
              <w:spacing w:after="0"/>
              <w:rPr>
                <w:sz w:val="4"/>
                <w:szCs w:val="4"/>
                <w:color w:val="auto"/>
              </w:rPr>
            </w:pPr>
          </w:p>
        </w:tc>
        <w:tc>
          <w:tcPr>
            <w:tcW w:w="320" w:type="dxa"/>
            <w:vAlign w:val="bottom"/>
            <w:shd w:val="clear" w:color="auto" w:fill="CFF0FC"/>
          </w:tcPr>
          <w:p>
            <w:pPr>
              <w:spacing w:after="0"/>
              <w:rPr>
                <w:sz w:val="4"/>
                <w:szCs w:val="4"/>
                <w:color w:val="auto"/>
              </w:rPr>
            </w:pPr>
          </w:p>
        </w:tc>
        <w:tc>
          <w:tcPr>
            <w:tcW w:w="1080" w:type="dxa"/>
            <w:vAlign w:val="bottom"/>
            <w:shd w:val="clear" w:color="auto" w:fill="CFF0F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-3419475</wp:posOffset>
            </wp:positionV>
            <wp:extent cx="3556635"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55663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-2632710</wp:posOffset>
            </wp:positionV>
            <wp:extent cx="5967730"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-2426970</wp:posOffset>
            </wp:positionV>
            <wp:extent cx="5967730"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-1422400</wp:posOffset>
            </wp:positionV>
            <wp:extent cx="5967730"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-1216025</wp:posOffset>
            </wp:positionV>
            <wp:extent cx="5967730"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-211455</wp:posOffset>
            </wp:positionV>
            <wp:extent cx="5967730"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5967730"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59" w:lineRule="exact"/>
        <w:rPr>
          <w:sz w:val="20"/>
          <w:szCs w:val="20"/>
          <w:color w:val="auto"/>
        </w:rPr>
      </w:pPr>
    </w:p>
    <w:p>
      <w:pPr>
        <w:jc w:val="both"/>
        <w:ind w:right="60"/>
        <w:spacing w:after="0" w:line="351" w:lineRule="auto"/>
        <w:rPr>
          <w:sz w:val="20"/>
          <w:szCs w:val="20"/>
          <w:color w:val="auto"/>
        </w:rPr>
      </w:pPr>
      <w:r>
        <w:rPr>
          <w:rFonts w:ascii="Arial" w:cs="Arial" w:eastAsia="Arial" w:hAnsi="Arial"/>
          <w:sz w:val="18"/>
          <w:szCs w:val="18"/>
          <w:color w:val="auto"/>
        </w:rPr>
        <w:t>The aggregate intrinsic value of stock options represents the total pre-tax intrinsic value (the amount by which the current market value of the underlying stock exceeds the exercise price of the option) that would have been received by the option holders had all option holders exercised their options prior to the expiration date. The intrinsic value can change based on fluctuations in the market value of the Company’s stock. The intrinsic value of the stock options was $241,000 and $902,000 at December 31, 2025 and December 31, 2024, respectively.</w:t>
      </w:r>
    </w:p>
    <w:p>
      <w:pPr>
        <w:spacing w:after="0" w:line="106"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color w:val="auto"/>
        </w:rPr>
        <w:t>At December 31, 2025 and 2024, the average remaining contractual life of outstanding options and shares exercisable was 1.3 years and 2.7 years,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Unit Grants</w:t>
      </w:r>
    </w:p>
    <w:p>
      <w:pPr>
        <w:spacing w:after="0" w:line="200" w:lineRule="exact"/>
        <w:rPr>
          <w:sz w:val="20"/>
          <w:szCs w:val="20"/>
          <w:color w:val="auto"/>
        </w:rPr>
      </w:pPr>
    </w:p>
    <w:p>
      <w:pPr>
        <w:jc w:val="both"/>
        <w:ind w:right="20"/>
        <w:spacing w:after="0" w:line="372" w:lineRule="auto"/>
        <w:rPr>
          <w:sz w:val="20"/>
          <w:szCs w:val="20"/>
          <w:color w:val="auto"/>
        </w:rPr>
      </w:pPr>
      <w:r>
        <w:rPr>
          <w:rFonts w:ascii="Arial" w:cs="Arial" w:eastAsia="Arial" w:hAnsi="Arial"/>
          <w:sz w:val="17"/>
          <w:szCs w:val="17"/>
          <w:color w:val="auto"/>
        </w:rPr>
        <w:t>In June 2024, the Pathfinder Bancorp, Inc. 2024 Equity Incentive Plan (the “2024 Equity Incentive Plan”) was approved at the Company's 2024 Annual Meeting. The 2024 Equity Incentive Plan authorized the issuance of up to 300,000 shares of common stock pursuant to grants of stock options, restricted stock, and restricted stock units to our senior executive officers, directors, key management, and other employees. Stock options granted under the plan may vest based on performance measures or time-based criteria, as determined by the Compensation Committee. The exercise price for stock options will be set at the fair market value on the date of the grant, and they will have an exercise period of up to 10 years. Restricted stock and restricted stock units granted to senior executive officers and key employees may also vest based on performance measures or continuous service, with at least 95% of the awards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24</w:t>
      </w:r>
    </w:p>
    <w:p>
      <w:pPr>
        <w:sectPr>
          <w:pgSz w:w="11900" w:h="16838" w:orient="portrait"/>
          <w:cols w:equalWidth="0" w:num="1">
            <w:col w:w="9400"/>
          </w:cols>
          <w:pgMar w:left="1260" w:top="1440" w:right="1246" w:bottom="0" w:gutter="0" w:footer="0" w:header="0"/>
          <w:type w:val="continuous"/>
        </w:sectPr>
      </w:pPr>
    </w:p>
    <w:bookmarkStart w:id="223" w:name="page224"/>
    <w:bookmarkEnd w:id="223"/>
    <w:p>
      <w:pPr>
        <w:jc w:val="both"/>
        <w:ind w:right="80"/>
        <w:spacing w:after="0" w:line="309" w:lineRule="auto"/>
        <w:rPr>
          <w:sz w:val="20"/>
          <w:szCs w:val="20"/>
          <w:color w:val="auto"/>
        </w:rPr>
      </w:pPr>
      <w:r>
        <w:rPr>
          <w:rFonts w:ascii="Arial" w:cs="Arial" w:eastAsia="Arial" w:hAnsi="Arial"/>
          <w:sz w:val="20"/>
          <w:szCs w:val="20"/>
          <w:color w:val="auto"/>
        </w:rPr>
        <w:t>vesting no earlier than one year after the grant date. Dividends on restricted stock awards will be distributed only after the shares vest. In January 2025, a total of 125,000 restricted stock units were granted to senior executive officers to vest at a rate of 25% per year commencing January 31, 2026, and 175,000 shares remain available for future issuance under the 2024 Equity Incentive Plan.</w:t>
      </w:r>
    </w:p>
    <w:p>
      <w:pPr>
        <w:spacing w:after="0" w:line="136"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The compensation expense of the stock option awards and restricted stock units is based on the fair value of the instruments on the date of grant. For the year ended December 31, 2025, the Company recorded $985,000 in stock-based compensation expense, compared with no such expense recognized in 2024.</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24</w:t>
      </w:r>
    </w:p>
    <w:p>
      <w:pPr>
        <w:sectPr>
          <w:pgSz w:w="11900" w:h="16838" w:orient="portrait"/>
          <w:cols w:equalWidth="0" w:num="1">
            <w:col w:w="9400"/>
          </w:cols>
          <w:pgMar w:left="1260" w:top="1173" w:right="1246" w:bottom="0" w:gutter="0" w:footer="0" w:header="0"/>
          <w:type w:val="continuous"/>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EMPLOYEE STOCK OWNERSHIP PLAN</w:t>
      </w:r>
    </w:p>
    <w:p>
      <w:pPr>
        <w:spacing w:after="0" w:line="200"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Bank maintains the Pathfinder Bank Employee Stock Ownership Plan (the “ESOP”) to provide Company stock for the benefit of its employees.</w:t>
      </w:r>
    </w:p>
    <w:p>
      <w:pPr>
        <w:spacing w:after="0" w:line="141" w:lineRule="exact"/>
        <w:rPr>
          <w:sz w:val="20"/>
          <w:szCs w:val="20"/>
          <w:color w:val="auto"/>
        </w:rPr>
      </w:pPr>
    </w:p>
    <w:p>
      <w:pPr>
        <w:ind w:right="220"/>
        <w:spacing w:after="0" w:line="311" w:lineRule="auto"/>
        <w:rPr>
          <w:sz w:val="20"/>
          <w:szCs w:val="20"/>
          <w:color w:val="auto"/>
        </w:rPr>
      </w:pPr>
      <w:r>
        <w:rPr>
          <w:rFonts w:ascii="Arial" w:cs="Arial" w:eastAsia="Arial" w:hAnsi="Arial"/>
          <w:sz w:val="20"/>
          <w:szCs w:val="20"/>
          <w:color w:val="auto"/>
        </w:rPr>
        <w:t>The ESOP was internally leveraged through a loan from the Company, which was fully repaid on September 30, 2024 when the plan reached maturity status. In accordance with ASC 718-40, the ESOP loan did not appear as a liability on the Company’s Consolidated Statements of Condition. The Company recorded no ESOP compensation expense in 2025, compared with $247,000 recorded in 2024, including $2,000 for dividends on unallocated shares. As of December 31, 2025, the ESOP loan was fully repaid and all related shares were earned and allocated to participants.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20"/>
                <w:szCs w:val="20"/>
                <w:b w:val="1"/>
                <w:bCs w:val="1"/>
                <w:color w:val="auto"/>
              </w:rPr>
              <w:t>NOTE 17: INCOME TAXES</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20"/>
        </w:trPr>
        <w:tc>
          <w:tcPr>
            <w:tcW w:w="7880" w:type="dxa"/>
            <w:vAlign w:val="bottom"/>
            <w:gridSpan w:val="3"/>
          </w:tcPr>
          <w:p>
            <w:pPr>
              <w:spacing w:after="0"/>
              <w:rPr>
                <w:sz w:val="20"/>
                <w:szCs w:val="20"/>
                <w:color w:val="auto"/>
              </w:rPr>
            </w:pPr>
            <w:r>
              <w:rPr>
                <w:rFonts w:ascii="Arial" w:cs="Arial" w:eastAsia="Arial" w:hAnsi="Arial"/>
                <w:sz w:val="20"/>
                <w:szCs w:val="20"/>
                <w:color w:val="auto"/>
                <w:w w:val="95"/>
              </w:rPr>
              <w:t>The (benefit from) provision for income taxes for the years ended December 31, is as follows: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0"/>
        </w:trPr>
        <w:tc>
          <w:tcPr>
            <w:tcW w:w="598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88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2025</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2024</w:t>
            </w:r>
          </w:p>
        </w:tc>
      </w:tr>
      <w:tr>
        <w:trPr>
          <w:trHeight w:val="51"/>
        </w:trPr>
        <w:tc>
          <w:tcPr>
            <w:tcW w:w="5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80"/>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w:t>
            </w:r>
          </w:p>
        </w:tc>
        <w:tc>
          <w:tcPr>
            <w:tcW w:w="88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1,361</w:t>
            </w:r>
          </w:p>
        </w:tc>
        <w:tc>
          <w:tcPr>
            <w:tcW w:w="600" w:type="dxa"/>
            <w:vAlign w:val="bottom"/>
            <w:tcBorders>
              <w:bottom w:val="single" w:sz="8" w:color="CFF0FC"/>
            </w:tcBorders>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749</w:t>
            </w:r>
          </w:p>
        </w:tc>
      </w:tr>
      <w:tr>
        <w:trPr>
          <w:trHeight w:val="259"/>
        </w:trPr>
        <w:tc>
          <w:tcPr>
            <w:tcW w:w="5980" w:type="dxa"/>
            <w:vAlign w:val="bottom"/>
          </w:tcPr>
          <w:p>
            <w:pPr>
              <w:spacing w:after="0"/>
              <w:rPr>
                <w:sz w:val="20"/>
                <w:szCs w:val="20"/>
                <w:color w:val="auto"/>
              </w:rPr>
            </w:pPr>
            <w:r>
              <w:rPr>
                <w:rFonts w:ascii="Arial" w:cs="Arial" w:eastAsia="Arial" w:hAnsi="Arial"/>
                <w:sz w:val="20"/>
                <w:szCs w:val="20"/>
                <w:color w:val="auto"/>
              </w:rPr>
              <w:t>Deferred</w:t>
            </w:r>
          </w:p>
        </w:tc>
        <w:tc>
          <w:tcPr>
            <w:tcW w:w="8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(3,521)</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(417)</w:t>
            </w:r>
          </w:p>
        </w:tc>
      </w:tr>
      <w:tr>
        <w:trPr>
          <w:trHeight w:val="51"/>
        </w:trPr>
        <w:tc>
          <w:tcPr>
            <w:tcW w:w="5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9"/>
        </w:trPr>
        <w:tc>
          <w:tcPr>
            <w:tcW w:w="59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Total (benefit from) provision for income taxes</w:t>
            </w:r>
          </w:p>
        </w:tc>
        <w:tc>
          <w:tcPr>
            <w:tcW w:w="880" w:type="dxa"/>
            <w:vAlign w:val="bottom"/>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(2,160)</w:t>
            </w:r>
          </w:p>
        </w:tc>
        <w:tc>
          <w:tcPr>
            <w:tcW w:w="600" w:type="dxa"/>
            <w:vAlign w:val="bottom"/>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332</w:t>
            </w:r>
          </w:p>
        </w:tc>
      </w:tr>
      <w:tr>
        <w:trPr>
          <w:trHeight w:val="86"/>
        </w:trPr>
        <w:tc>
          <w:tcPr>
            <w:tcW w:w="598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r>
      <w:tr>
        <w:trPr>
          <w:trHeight w:val="499"/>
        </w:trPr>
        <w:tc>
          <w:tcPr>
            <w:tcW w:w="5980" w:type="dxa"/>
            <w:vAlign w:val="bottom"/>
          </w:tcPr>
          <w:p>
            <w:pPr>
              <w:spacing w:after="0"/>
              <w:rPr>
                <w:sz w:val="20"/>
                <w:szCs w:val="20"/>
                <w:color w:val="auto"/>
              </w:rPr>
            </w:pPr>
            <w:r>
              <w:rPr>
                <w:rFonts w:ascii="Arial" w:cs="Arial" w:eastAsia="Arial" w:hAnsi="Arial"/>
                <w:sz w:val="20"/>
                <w:szCs w:val="20"/>
                <w:color w:val="auto"/>
                <w:w w:val="99"/>
              </w:rPr>
              <w:t>The (benefit from) provision for income taxes includes the following:</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0"/>
        </w:trPr>
        <w:tc>
          <w:tcPr>
            <w:tcW w:w="598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88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2025</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2024</w:t>
            </w:r>
          </w:p>
        </w:tc>
      </w:tr>
      <w:tr>
        <w:trPr>
          <w:trHeight w:val="51"/>
        </w:trPr>
        <w:tc>
          <w:tcPr>
            <w:tcW w:w="5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80"/>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Federal Income Tax</w:t>
            </w:r>
          </w:p>
        </w:tc>
        <w:tc>
          <w:tcPr>
            <w:tcW w:w="88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(1,412)</w:t>
            </w:r>
          </w:p>
        </w:tc>
        <w:tc>
          <w:tcPr>
            <w:tcW w:w="600" w:type="dxa"/>
            <w:vAlign w:val="bottom"/>
            <w:tcBorders>
              <w:bottom w:val="single" w:sz="8" w:color="CFF0FC"/>
            </w:tcBorders>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166</w:t>
            </w:r>
          </w:p>
        </w:tc>
      </w:tr>
      <w:tr>
        <w:trPr>
          <w:trHeight w:val="259"/>
        </w:trPr>
        <w:tc>
          <w:tcPr>
            <w:tcW w:w="5980" w:type="dxa"/>
            <w:vAlign w:val="bottom"/>
          </w:tcPr>
          <w:p>
            <w:pPr>
              <w:spacing w:after="0"/>
              <w:rPr>
                <w:sz w:val="20"/>
                <w:szCs w:val="20"/>
                <w:color w:val="auto"/>
              </w:rPr>
            </w:pPr>
            <w:r>
              <w:rPr>
                <w:rFonts w:ascii="Arial" w:cs="Arial" w:eastAsia="Arial" w:hAnsi="Arial"/>
                <w:sz w:val="20"/>
                <w:szCs w:val="20"/>
                <w:color w:val="auto"/>
              </w:rPr>
              <w:t>State Income Tax</w:t>
            </w:r>
          </w:p>
        </w:tc>
        <w:tc>
          <w:tcPr>
            <w:tcW w:w="8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(748)</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166</w:t>
            </w:r>
          </w:p>
        </w:tc>
      </w:tr>
      <w:tr>
        <w:trPr>
          <w:trHeight w:val="51"/>
        </w:trPr>
        <w:tc>
          <w:tcPr>
            <w:tcW w:w="5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9"/>
        </w:trPr>
        <w:tc>
          <w:tcPr>
            <w:tcW w:w="59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Total (benefit from) provision for income taxes</w:t>
            </w:r>
          </w:p>
        </w:tc>
        <w:tc>
          <w:tcPr>
            <w:tcW w:w="880" w:type="dxa"/>
            <w:vAlign w:val="bottom"/>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(2,160)</w:t>
            </w:r>
          </w:p>
        </w:tc>
        <w:tc>
          <w:tcPr>
            <w:tcW w:w="600" w:type="dxa"/>
            <w:vAlign w:val="bottom"/>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332</w:t>
            </w:r>
          </w:p>
        </w:tc>
      </w:tr>
      <w:tr>
        <w:trPr>
          <w:trHeight w:val="86"/>
        </w:trPr>
        <w:tc>
          <w:tcPr>
            <w:tcW w:w="598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-1853565</wp:posOffset>
            </wp:positionV>
            <wp:extent cx="5967730"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-1466215</wp:posOffset>
            </wp:positionV>
            <wp:extent cx="5967730" cy="63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-1269365</wp:posOffset>
            </wp:positionV>
            <wp:extent cx="5967730" cy="285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-612140</wp:posOffset>
            </wp:positionV>
            <wp:extent cx="5967730"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-224790</wp:posOffset>
            </wp:positionV>
            <wp:extent cx="5967730"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139"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components of the net deferred tax asset (liability), included in other assets on the accompanying Consolidated Statements of Condition as of December 31,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248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2025</w:t>
            </w:r>
          </w:p>
        </w:tc>
        <w:tc>
          <w:tcPr>
            <w:tcW w:w="54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51"/>
        </w:trPr>
        <w:tc>
          <w:tcPr>
            <w:tcW w:w="44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94"/>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Assets:</w:t>
            </w:r>
          </w:p>
        </w:tc>
        <w:tc>
          <w:tcPr>
            <w:tcW w:w="24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4400" w:type="dxa"/>
            <w:vAlign w:val="bottom"/>
          </w:tcPr>
          <w:p>
            <w:pPr>
              <w:ind w:left="120"/>
              <w:spacing w:after="0"/>
              <w:rPr>
                <w:sz w:val="20"/>
                <w:szCs w:val="20"/>
                <w:color w:val="auto"/>
              </w:rPr>
            </w:pPr>
            <w:r>
              <w:rPr>
                <w:rFonts w:ascii="Arial" w:cs="Arial" w:eastAsia="Arial" w:hAnsi="Arial"/>
                <w:sz w:val="20"/>
                <w:szCs w:val="20"/>
                <w:color w:val="auto"/>
              </w:rPr>
              <w:t>Deferred compensation</w:t>
            </w:r>
          </w:p>
        </w:tc>
        <w:tc>
          <w:tcPr>
            <w:tcW w:w="248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1,150</w:t>
            </w:r>
          </w:p>
        </w:tc>
        <w:tc>
          <w:tcPr>
            <w:tcW w:w="54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1,120</w:t>
            </w:r>
          </w:p>
        </w:tc>
      </w:tr>
      <w:tr>
        <w:trPr>
          <w:trHeight w:val="41"/>
        </w:trPr>
        <w:tc>
          <w:tcPr>
            <w:tcW w:w="44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Allowance for credit losses</w:t>
            </w:r>
          </w:p>
        </w:tc>
        <w:tc>
          <w:tcPr>
            <w:tcW w:w="24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7,904</w:t>
            </w:r>
          </w:p>
        </w:tc>
        <w:tc>
          <w:tcPr>
            <w:tcW w:w="5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4,720</w:t>
            </w:r>
          </w:p>
        </w:tc>
      </w:tr>
      <w:tr>
        <w:trPr>
          <w:trHeight w:val="274"/>
        </w:trPr>
        <w:tc>
          <w:tcPr>
            <w:tcW w:w="4400" w:type="dxa"/>
            <w:vAlign w:val="bottom"/>
          </w:tcPr>
          <w:p>
            <w:pPr>
              <w:ind w:left="120"/>
              <w:spacing w:after="0"/>
              <w:rPr>
                <w:sz w:val="20"/>
                <w:szCs w:val="20"/>
                <w:color w:val="auto"/>
              </w:rPr>
            </w:pPr>
            <w:r>
              <w:rPr>
                <w:rFonts w:ascii="Arial" w:cs="Arial" w:eastAsia="Arial" w:hAnsi="Arial"/>
                <w:sz w:val="20"/>
                <w:szCs w:val="20"/>
                <w:color w:val="auto"/>
              </w:rPr>
              <w:t>Postretirement benefits</w:t>
            </w:r>
          </w:p>
        </w:tc>
        <w:tc>
          <w:tcPr>
            <w:tcW w:w="248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36</w:t>
            </w:r>
          </w:p>
        </w:tc>
        <w:tc>
          <w:tcPr>
            <w:tcW w:w="54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32</w:t>
            </w:r>
          </w:p>
        </w:tc>
      </w:tr>
      <w:tr>
        <w:trPr>
          <w:trHeight w:val="41"/>
        </w:trPr>
        <w:tc>
          <w:tcPr>
            <w:tcW w:w="44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Subordinated debt interest</w:t>
            </w:r>
          </w:p>
        </w:tc>
        <w:tc>
          <w:tcPr>
            <w:tcW w:w="24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82</w:t>
            </w:r>
          </w:p>
        </w:tc>
      </w:tr>
      <w:tr>
        <w:trPr>
          <w:trHeight w:val="274"/>
        </w:trPr>
        <w:tc>
          <w:tcPr>
            <w:tcW w:w="4400" w:type="dxa"/>
            <w:vAlign w:val="bottom"/>
          </w:tcPr>
          <w:p>
            <w:pPr>
              <w:ind w:left="120"/>
              <w:spacing w:after="0"/>
              <w:rPr>
                <w:sz w:val="20"/>
                <w:szCs w:val="20"/>
                <w:color w:val="auto"/>
              </w:rPr>
            </w:pPr>
            <w:r>
              <w:rPr>
                <w:rFonts w:ascii="Arial" w:cs="Arial" w:eastAsia="Arial" w:hAnsi="Arial"/>
                <w:sz w:val="20"/>
                <w:szCs w:val="20"/>
                <w:color w:val="auto"/>
              </w:rPr>
              <w:t>Loan origination fees</w:t>
            </w:r>
          </w:p>
        </w:tc>
        <w:tc>
          <w:tcPr>
            <w:tcW w:w="248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350</w:t>
            </w:r>
          </w:p>
        </w:tc>
        <w:tc>
          <w:tcPr>
            <w:tcW w:w="54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415</w:t>
            </w:r>
          </w:p>
        </w:tc>
      </w:tr>
      <w:tr>
        <w:trPr>
          <w:trHeight w:val="41"/>
        </w:trPr>
        <w:tc>
          <w:tcPr>
            <w:tcW w:w="44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Investment securities</w:t>
            </w:r>
          </w:p>
        </w:tc>
        <w:tc>
          <w:tcPr>
            <w:tcW w:w="24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1,523</w:t>
            </w:r>
          </w:p>
        </w:tc>
        <w:tc>
          <w:tcPr>
            <w:tcW w:w="5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2,671</w:t>
            </w:r>
          </w:p>
        </w:tc>
      </w:tr>
      <w:tr>
        <w:trPr>
          <w:trHeight w:val="274"/>
        </w:trPr>
        <w:tc>
          <w:tcPr>
            <w:tcW w:w="4400" w:type="dxa"/>
            <w:vAlign w:val="bottom"/>
          </w:tcPr>
          <w:p>
            <w:pPr>
              <w:ind w:left="120"/>
              <w:spacing w:after="0"/>
              <w:rPr>
                <w:sz w:val="20"/>
                <w:szCs w:val="20"/>
                <w:color w:val="auto"/>
              </w:rPr>
            </w:pPr>
            <w:r>
              <w:rPr>
                <w:rFonts w:ascii="Arial" w:cs="Arial" w:eastAsia="Arial" w:hAnsi="Arial"/>
                <w:sz w:val="20"/>
                <w:szCs w:val="20"/>
                <w:color w:val="auto"/>
              </w:rPr>
              <w:t>Stock-based compensation</w:t>
            </w:r>
          </w:p>
        </w:tc>
        <w:tc>
          <w:tcPr>
            <w:tcW w:w="248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150</w:t>
            </w:r>
          </w:p>
        </w:tc>
        <w:tc>
          <w:tcPr>
            <w:tcW w:w="54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35</w:t>
            </w:r>
          </w:p>
        </w:tc>
      </w:tr>
      <w:tr>
        <w:trPr>
          <w:trHeight w:val="41"/>
        </w:trPr>
        <w:tc>
          <w:tcPr>
            <w:tcW w:w="44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Lease liabilities</w:t>
            </w:r>
          </w:p>
        </w:tc>
        <w:tc>
          <w:tcPr>
            <w:tcW w:w="24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4,460</w:t>
            </w:r>
          </w:p>
        </w:tc>
        <w:tc>
          <w:tcPr>
            <w:tcW w:w="5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416</w:t>
            </w:r>
          </w:p>
        </w:tc>
      </w:tr>
      <w:tr>
        <w:trPr>
          <w:trHeight w:val="274"/>
        </w:trPr>
        <w:tc>
          <w:tcPr>
            <w:tcW w:w="4400" w:type="dxa"/>
            <w:vAlign w:val="bottom"/>
          </w:tcPr>
          <w:p>
            <w:pPr>
              <w:ind w:left="120"/>
              <w:spacing w:after="0"/>
              <w:rPr>
                <w:sz w:val="20"/>
                <w:szCs w:val="20"/>
                <w:color w:val="auto"/>
              </w:rPr>
            </w:pPr>
            <w:r>
              <w:rPr>
                <w:rFonts w:ascii="Arial" w:cs="Arial" w:eastAsia="Arial" w:hAnsi="Arial"/>
                <w:sz w:val="20"/>
                <w:szCs w:val="20"/>
                <w:color w:val="auto"/>
              </w:rPr>
              <w:t>State net operating loss</w:t>
            </w:r>
          </w:p>
        </w:tc>
        <w:tc>
          <w:tcPr>
            <w:tcW w:w="248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183</w:t>
            </w:r>
          </w:p>
        </w:tc>
        <w:tc>
          <w:tcPr>
            <w:tcW w:w="54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44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304"/>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Other</w:t>
            </w:r>
          </w:p>
        </w:tc>
        <w:tc>
          <w:tcPr>
            <w:tcW w:w="24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723</w:t>
            </w:r>
          </w:p>
        </w:tc>
        <w:tc>
          <w:tcPr>
            <w:tcW w:w="5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871</w:t>
            </w:r>
          </w:p>
        </w:tc>
      </w:tr>
      <w:tr>
        <w:trPr>
          <w:trHeight w:val="274"/>
        </w:trPr>
        <w:tc>
          <w:tcPr>
            <w:tcW w:w="4400" w:type="dxa"/>
            <w:vAlign w:val="bottom"/>
          </w:tcPr>
          <w:p>
            <w:pPr>
              <w:spacing w:after="0"/>
              <w:rPr>
                <w:sz w:val="20"/>
                <w:szCs w:val="20"/>
                <w:color w:val="auto"/>
              </w:rPr>
            </w:pPr>
            <w:r>
              <w:rPr>
                <w:rFonts w:ascii="Arial" w:cs="Arial" w:eastAsia="Arial" w:hAnsi="Arial"/>
                <w:sz w:val="20"/>
                <w:szCs w:val="20"/>
                <w:color w:val="auto"/>
              </w:rPr>
              <w:t>Total deferred tax assets</w:t>
            </w:r>
          </w:p>
        </w:tc>
        <w:tc>
          <w:tcPr>
            <w:tcW w:w="248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16,479</w:t>
            </w:r>
          </w:p>
        </w:tc>
        <w:tc>
          <w:tcPr>
            <w:tcW w:w="54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10,362</w:t>
            </w:r>
          </w:p>
        </w:tc>
      </w:tr>
      <w:tr>
        <w:trPr>
          <w:trHeight w:val="86"/>
        </w:trPr>
        <w:tc>
          <w:tcPr>
            <w:tcW w:w="44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94"/>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Liabilities:</w:t>
            </w:r>
          </w:p>
        </w:tc>
        <w:tc>
          <w:tcPr>
            <w:tcW w:w="24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4400" w:type="dxa"/>
            <w:vAlign w:val="bottom"/>
          </w:tcPr>
          <w:p>
            <w:pPr>
              <w:ind w:left="120"/>
              <w:spacing w:after="0"/>
              <w:rPr>
                <w:sz w:val="20"/>
                <w:szCs w:val="20"/>
                <w:color w:val="auto"/>
              </w:rPr>
            </w:pPr>
            <w:r>
              <w:rPr>
                <w:rFonts w:ascii="Arial" w:cs="Arial" w:eastAsia="Arial" w:hAnsi="Arial"/>
                <w:sz w:val="20"/>
                <w:szCs w:val="20"/>
                <w:color w:val="auto"/>
              </w:rPr>
              <w:t>Prepaid pension</w:t>
            </w:r>
          </w:p>
        </w:tc>
        <w:tc>
          <w:tcPr>
            <w:tcW w:w="2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(2,400)</w:t>
            </w: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-2809875</wp:posOffset>
            </wp:positionV>
            <wp:extent cx="5967730" cy="6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-607695</wp:posOffset>
            </wp:positionV>
            <wp:extent cx="5967730" cy="6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-401320</wp:posOffset>
            </wp:positionV>
            <wp:extent cx="5967730" cy="285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24</w:t>
      </w:r>
    </w:p>
    <w:p>
      <w:pPr>
        <w:sectPr>
          <w:pgSz w:w="11900" w:h="16838" w:orient="portrait"/>
          <w:cols w:equalWidth="0" w:num="1">
            <w:col w:w="9400"/>
          </w:cols>
          <w:pgMar w:left="1260" w:top="1440" w:right="1246" w:bottom="0" w:gutter="0" w:footer="0" w:header="0"/>
          <w:type w:val="continuous"/>
        </w:sectPr>
      </w:pPr>
    </w:p>
    <w:bookmarkStart w:id="225" w:name="page226"/>
    <w:bookmarkEnd w:id="225"/>
    <w:tbl>
      <w:tblPr>
        <w:tblLayout w:type="fixed"/>
        <w:tblInd w:w="0" w:type="dxa"/>
        <w:tblCellMar>
          <w:top w:w="0" w:type="dxa"/>
          <w:left w:w="0" w:type="dxa"/>
          <w:bottom w:w="0" w:type="dxa"/>
          <w:right w:w="0" w:type="dxa"/>
        </w:tblCellMar>
      </w:tblPr>
      <w:tr>
        <w:trPr>
          <w:trHeight w:val="294"/>
        </w:trPr>
        <w:tc>
          <w:tcPr>
            <w:tcW w:w="4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Derivative instruments</w:t>
            </w:r>
          </w:p>
        </w:tc>
        <w:tc>
          <w:tcPr>
            <w:tcW w:w="20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(59)</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(146)</w:t>
            </w:r>
          </w:p>
        </w:tc>
      </w:tr>
      <w:tr>
        <w:trPr>
          <w:trHeight w:val="274"/>
        </w:trPr>
        <w:tc>
          <w:tcPr>
            <w:tcW w:w="4820" w:type="dxa"/>
            <w:vAlign w:val="bottom"/>
          </w:tcPr>
          <w:p>
            <w:pPr>
              <w:ind w:left="120"/>
              <w:spacing w:after="0"/>
              <w:rPr>
                <w:sz w:val="20"/>
                <w:szCs w:val="20"/>
                <w:color w:val="auto"/>
              </w:rPr>
            </w:pPr>
            <w:r>
              <w:rPr>
                <w:rFonts w:ascii="Arial" w:cs="Arial" w:eastAsia="Arial" w:hAnsi="Arial"/>
                <w:sz w:val="20"/>
                <w:szCs w:val="20"/>
                <w:color w:val="auto"/>
              </w:rPr>
              <w:t>Depreciation</w:t>
            </w:r>
          </w:p>
        </w:tc>
        <w:tc>
          <w:tcPr>
            <w:tcW w:w="20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(1,783)</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(1,857)</w:t>
            </w:r>
          </w:p>
        </w:tc>
      </w:tr>
      <w:tr>
        <w:trPr>
          <w:trHeight w:val="41"/>
        </w:trPr>
        <w:tc>
          <w:tcPr>
            <w:tcW w:w="48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Accretion</w:t>
            </w:r>
          </w:p>
        </w:tc>
        <w:tc>
          <w:tcPr>
            <w:tcW w:w="20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(379)</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(420)</w:t>
            </w:r>
          </w:p>
        </w:tc>
      </w:tr>
      <w:tr>
        <w:trPr>
          <w:trHeight w:val="274"/>
        </w:trPr>
        <w:tc>
          <w:tcPr>
            <w:tcW w:w="4820" w:type="dxa"/>
            <w:vAlign w:val="bottom"/>
          </w:tcPr>
          <w:p>
            <w:pPr>
              <w:ind w:left="120"/>
              <w:spacing w:after="0"/>
              <w:rPr>
                <w:sz w:val="20"/>
                <w:szCs w:val="20"/>
                <w:color w:val="auto"/>
              </w:rPr>
            </w:pPr>
            <w:r>
              <w:rPr>
                <w:rFonts w:ascii="Arial" w:cs="Arial" w:eastAsia="Arial" w:hAnsi="Arial"/>
                <w:sz w:val="20"/>
                <w:szCs w:val="20"/>
                <w:color w:val="auto"/>
              </w:rPr>
              <w:t>Intangible assets</w:t>
            </w:r>
          </w:p>
        </w:tc>
        <w:tc>
          <w:tcPr>
            <w:tcW w:w="20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(963)</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(982)</w:t>
            </w:r>
          </w:p>
        </w:tc>
      </w:tr>
      <w:tr>
        <w:trPr>
          <w:trHeight w:val="41"/>
        </w:trPr>
        <w:tc>
          <w:tcPr>
            <w:tcW w:w="48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Mortgage servicing rights</w:t>
            </w:r>
          </w:p>
        </w:tc>
        <w:tc>
          <w:tcPr>
            <w:tcW w:w="20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(77)</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(76)</w:t>
            </w:r>
          </w:p>
        </w:tc>
      </w:tr>
      <w:tr>
        <w:trPr>
          <w:trHeight w:val="274"/>
        </w:trPr>
        <w:tc>
          <w:tcPr>
            <w:tcW w:w="4820" w:type="dxa"/>
            <w:vAlign w:val="bottom"/>
          </w:tcPr>
          <w:p>
            <w:pPr>
              <w:ind w:left="120"/>
              <w:spacing w:after="0"/>
              <w:rPr>
                <w:sz w:val="20"/>
                <w:szCs w:val="20"/>
                <w:color w:val="auto"/>
              </w:rPr>
            </w:pPr>
            <w:r>
              <w:rPr>
                <w:rFonts w:ascii="Arial" w:cs="Arial" w:eastAsia="Arial" w:hAnsi="Arial"/>
                <w:sz w:val="20"/>
                <w:szCs w:val="20"/>
                <w:color w:val="auto"/>
              </w:rPr>
              <w:t>Right-of-use assets</w:t>
            </w:r>
          </w:p>
        </w:tc>
        <w:tc>
          <w:tcPr>
            <w:tcW w:w="20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(4,438)</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(363)</w:t>
            </w:r>
          </w:p>
        </w:tc>
      </w:tr>
      <w:tr>
        <w:trPr>
          <w:trHeight w:val="41"/>
        </w:trPr>
        <w:tc>
          <w:tcPr>
            <w:tcW w:w="48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Prepaid expenses and transaction fees</w:t>
            </w:r>
          </w:p>
        </w:tc>
        <w:tc>
          <w:tcPr>
            <w:tcW w:w="20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(257)</w:t>
            </w:r>
          </w:p>
        </w:tc>
      </w:tr>
      <w:tr>
        <w:trPr>
          <w:trHeight w:val="274"/>
        </w:trPr>
        <w:tc>
          <w:tcPr>
            <w:tcW w:w="4820" w:type="dxa"/>
            <w:vAlign w:val="bottom"/>
          </w:tcPr>
          <w:p>
            <w:pPr>
              <w:spacing w:after="0"/>
              <w:rPr>
                <w:sz w:val="20"/>
                <w:szCs w:val="20"/>
                <w:color w:val="auto"/>
              </w:rPr>
            </w:pPr>
            <w:r>
              <w:rPr>
                <w:rFonts w:ascii="Arial" w:cs="Arial" w:eastAsia="Arial" w:hAnsi="Arial"/>
                <w:sz w:val="20"/>
                <w:szCs w:val="20"/>
                <w:color w:val="auto"/>
              </w:rPr>
              <w:t>Total deferred tax liabilities</w:t>
            </w:r>
          </w:p>
        </w:tc>
        <w:tc>
          <w:tcPr>
            <w:tcW w:w="20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(10,111)</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(6,178)</w:t>
            </w:r>
          </w:p>
        </w:tc>
      </w:tr>
      <w:tr>
        <w:trPr>
          <w:trHeight w:val="51"/>
        </w:trPr>
        <w:tc>
          <w:tcPr>
            <w:tcW w:w="48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4"/>
        </w:trPr>
        <w:tc>
          <w:tcPr>
            <w:tcW w:w="48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Net deferred tax asset</w:t>
            </w:r>
          </w:p>
        </w:tc>
        <w:tc>
          <w:tcPr>
            <w:tcW w:w="202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6,368</w:t>
            </w:r>
          </w:p>
        </w:tc>
        <w:tc>
          <w:tcPr>
            <w:tcW w:w="560" w:type="dxa"/>
            <w:vAlign w:val="bottom"/>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4,184</w:t>
            </w:r>
          </w:p>
        </w:tc>
      </w:tr>
      <w:tr>
        <w:trPr>
          <w:trHeight w:val="86"/>
        </w:trPr>
        <w:tc>
          <w:tcPr>
            <w:tcW w:w="4820" w:type="dxa"/>
            <w:vAlign w:val="bottom"/>
            <w:shd w:val="clear" w:color="auto" w:fill="CFF0FC"/>
          </w:tcPr>
          <w:p>
            <w:pPr>
              <w:spacing w:after="0"/>
              <w:rPr>
                <w:sz w:val="7"/>
                <w:szCs w:val="7"/>
                <w:color w:val="auto"/>
              </w:rPr>
            </w:pPr>
          </w:p>
        </w:tc>
        <w:tc>
          <w:tcPr>
            <w:tcW w:w="202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-440055</wp:posOffset>
            </wp:positionV>
            <wp:extent cx="5967730"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Realization of deferred tax assets is dependent upon the generation of future taxable income or the existence of sufficient taxable income within the statutory carry back period. A valuation allowance is provided when it is more likely than not that some portion, or all of the deferred tax assets, will not be realized. In assessing the need for a valuation allowance, management considers the scheduled reversal of the deferred tax liabilities, the level of historical taxable income and the projected future level of taxable income over the periods 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24</w:t>
      </w:r>
    </w:p>
    <w:p>
      <w:pPr>
        <w:sectPr>
          <w:pgSz w:w="11900" w:h="16838" w:orient="portrait"/>
          <w:cols w:equalWidth="0" w:num="1">
            <w:col w:w="9400"/>
          </w:cols>
          <w:pgMar w:left="1260" w:top="1133" w:right="1246" w:bottom="0" w:gutter="0" w:footer="0" w:header="0"/>
          <w:type w:val="continuous"/>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which</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temporary differences comprising the deferred tax assets will be deductible. Management determined there was no valuation allowance needed as of December 31, 2025 or 2024.</w:t>
      </w:r>
    </w:p>
    <w:p>
      <w:pPr>
        <w:spacing w:after="0" w:line="141"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Deferred income tax assets and liabilities are determined using the liability method. Under this method, the net deferred tax asset or liability is recognized for their future tax consequences. This is attributable to the differences between the financial statement carrying amounts of existing assets and liabilities and their respective tax basis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11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In 2025, the Company’s effective tax rate was a benefit of 52.8%, as compared to an expense of 8.9% in 2024. A reconciliation of the federal statutory income tax rate of 21.0% to the effective income tax rate for the years ended December 31,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2025</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2024</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1"/>
        </w:trPr>
        <w:tc>
          <w:tcPr>
            <w:tcW w:w="5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94"/>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Federal statutory income tax rate</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(860)</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7"/>
              </w:rPr>
              <w:t>21.0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20"/>
                <w:szCs w:val="20"/>
                <w:color w:val="auto"/>
              </w:rPr>
              <w:t>780</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7"/>
              </w:rPr>
              <w:t>21.0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r>
      <w:tr>
        <w:trPr>
          <w:trHeight w:val="314"/>
        </w:trPr>
        <w:tc>
          <w:tcPr>
            <w:tcW w:w="5180" w:type="dxa"/>
            <w:vAlign w:val="bottom"/>
          </w:tcPr>
          <w:p>
            <w:pPr>
              <w:spacing w:after="0"/>
              <w:rPr>
                <w:sz w:val="20"/>
                <w:szCs w:val="20"/>
                <w:color w:val="auto"/>
              </w:rPr>
            </w:pPr>
            <w:r>
              <w:rPr>
                <w:rFonts w:ascii="Arial" w:cs="Arial" w:eastAsia="Arial" w:hAnsi="Arial"/>
                <w:sz w:val="20"/>
                <w:szCs w:val="20"/>
                <w:color w:val="auto"/>
              </w:rPr>
              <w:t xml:space="preserve">State tax, net of federal benefit </w:t>
            </w:r>
            <w:r>
              <w:rPr>
                <w:rFonts w:ascii="Arial" w:cs="Arial" w:eastAsia="Arial" w:hAnsi="Arial"/>
                <w:sz w:val="22"/>
                <w:szCs w:val="22"/>
                <w:color w:val="auto"/>
                <w:vertAlign w:val="superscript"/>
              </w:rPr>
              <w:t>(1)</w:t>
            </w:r>
          </w:p>
        </w:tc>
        <w:tc>
          <w:tcPr>
            <w:tcW w:w="400" w:type="dxa"/>
            <w:vAlign w:val="bottom"/>
          </w:tcPr>
          <w:p>
            <w:pPr>
              <w:spacing w:after="0"/>
              <w:rPr>
                <w:sz w:val="24"/>
                <w:szCs w:val="24"/>
                <w:color w:val="auto"/>
              </w:rPr>
            </w:pPr>
          </w:p>
        </w:tc>
        <w:tc>
          <w:tcPr>
            <w:tcW w:w="1040" w:type="dxa"/>
            <w:vAlign w:val="bottom"/>
          </w:tcPr>
          <w:p>
            <w:pPr>
              <w:jc w:val="right"/>
              <w:ind w:right="320"/>
              <w:spacing w:after="0"/>
              <w:rPr>
                <w:sz w:val="20"/>
                <w:szCs w:val="20"/>
                <w:color w:val="auto"/>
              </w:rPr>
            </w:pPr>
            <w:r>
              <w:rPr>
                <w:rFonts w:ascii="Arial" w:cs="Arial" w:eastAsia="Arial" w:hAnsi="Arial"/>
                <w:sz w:val="20"/>
                <w:szCs w:val="20"/>
                <w:color w:val="auto"/>
              </w:rPr>
              <w:t>(765)</w:t>
            </w:r>
          </w:p>
        </w:tc>
        <w:tc>
          <w:tcPr>
            <w:tcW w:w="460" w:type="dxa"/>
            <w:vAlign w:val="bottom"/>
          </w:tcPr>
          <w:p>
            <w:pPr>
              <w:jc w:val="right"/>
              <w:spacing w:after="0"/>
              <w:rPr>
                <w:sz w:val="20"/>
                <w:szCs w:val="20"/>
                <w:color w:val="auto"/>
              </w:rPr>
            </w:pPr>
            <w:r>
              <w:rPr>
                <w:rFonts w:ascii="Arial" w:cs="Arial" w:eastAsia="Arial" w:hAnsi="Arial"/>
                <w:sz w:val="20"/>
                <w:szCs w:val="20"/>
                <w:color w:val="auto"/>
                <w:w w:val="97"/>
              </w:rPr>
              <w:t>18.7</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420"/>
              <w:spacing w:after="0"/>
              <w:rPr>
                <w:sz w:val="20"/>
                <w:szCs w:val="20"/>
                <w:color w:val="auto"/>
              </w:rPr>
            </w:pPr>
            <w:r>
              <w:rPr>
                <w:rFonts w:ascii="Arial" w:cs="Arial" w:eastAsia="Arial" w:hAnsi="Arial"/>
                <w:sz w:val="20"/>
                <w:szCs w:val="20"/>
                <w:color w:val="auto"/>
              </w:rPr>
              <w:t>143</w:t>
            </w:r>
          </w:p>
        </w:tc>
        <w:tc>
          <w:tcPr>
            <w:tcW w:w="480" w:type="dxa"/>
            <w:vAlign w:val="bottom"/>
          </w:tcPr>
          <w:p>
            <w:pPr>
              <w:jc w:val="right"/>
              <w:spacing w:after="0"/>
              <w:rPr>
                <w:sz w:val="20"/>
                <w:szCs w:val="20"/>
                <w:color w:val="auto"/>
              </w:rPr>
            </w:pPr>
            <w:r>
              <w:rPr>
                <w:rFonts w:ascii="Arial" w:cs="Arial" w:eastAsia="Arial" w:hAnsi="Arial"/>
                <w:sz w:val="20"/>
                <w:szCs w:val="20"/>
                <w:color w:val="auto"/>
              </w:rPr>
              <w:t>3.9</w:t>
            </w:r>
          </w:p>
        </w:tc>
        <w:tc>
          <w:tcPr>
            <w:tcW w:w="220" w:type="dxa"/>
            <w:vAlign w:val="bottom"/>
          </w:tcPr>
          <w:p>
            <w:pPr>
              <w:spacing w:after="0"/>
              <w:rPr>
                <w:sz w:val="24"/>
                <w:szCs w:val="24"/>
                <w:color w:val="auto"/>
              </w:rPr>
            </w:pPr>
          </w:p>
        </w:tc>
      </w:tr>
      <w:tr>
        <w:trPr>
          <w:trHeight w:val="294"/>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Tax-exempt interest income</w:t>
            </w:r>
          </w:p>
        </w:tc>
        <w:tc>
          <w:tcPr>
            <w:tcW w:w="4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(210)</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40"/>
              <w:spacing w:after="0"/>
              <w:rPr>
                <w:sz w:val="20"/>
                <w:szCs w:val="20"/>
                <w:color w:val="auto"/>
              </w:rPr>
            </w:pPr>
            <w:r>
              <w:rPr>
                <w:rFonts w:ascii="Arial" w:cs="Arial" w:eastAsia="Arial" w:hAnsi="Arial"/>
                <w:sz w:val="20"/>
                <w:szCs w:val="20"/>
                <w:color w:val="auto"/>
              </w:rPr>
              <w:t>(146)</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74"/>
        </w:trPr>
        <w:tc>
          <w:tcPr>
            <w:tcW w:w="5180" w:type="dxa"/>
            <w:vAlign w:val="bottom"/>
          </w:tcPr>
          <w:p>
            <w:pPr>
              <w:spacing w:after="0"/>
              <w:rPr>
                <w:sz w:val="20"/>
                <w:szCs w:val="20"/>
                <w:color w:val="auto"/>
              </w:rPr>
            </w:pPr>
            <w:r>
              <w:rPr>
                <w:rFonts w:ascii="Arial" w:cs="Arial" w:eastAsia="Arial" w:hAnsi="Arial"/>
                <w:sz w:val="20"/>
                <w:szCs w:val="20"/>
                <w:color w:val="auto"/>
                <w:w w:val="94"/>
              </w:rPr>
              <w:t>Increase in value of bank owned life insurance less premiums</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0"/>
        </w:trPr>
        <w:tc>
          <w:tcPr>
            <w:tcW w:w="5180" w:type="dxa"/>
            <w:vAlign w:val="bottom"/>
          </w:tcPr>
          <w:p>
            <w:pPr>
              <w:spacing w:after="0"/>
              <w:rPr>
                <w:sz w:val="20"/>
                <w:szCs w:val="20"/>
                <w:color w:val="auto"/>
              </w:rPr>
            </w:pPr>
            <w:r>
              <w:rPr>
                <w:rFonts w:ascii="Arial" w:cs="Arial" w:eastAsia="Arial" w:hAnsi="Arial"/>
                <w:sz w:val="20"/>
                <w:szCs w:val="20"/>
                <w:color w:val="auto"/>
              </w:rPr>
              <w:t>paid</w:t>
            </w:r>
          </w:p>
        </w:tc>
        <w:tc>
          <w:tcPr>
            <w:tcW w:w="400" w:type="dxa"/>
            <w:vAlign w:val="bottom"/>
          </w:tcPr>
          <w:p>
            <w:pPr>
              <w:spacing w:after="0"/>
              <w:rPr>
                <w:sz w:val="24"/>
                <w:szCs w:val="24"/>
                <w:color w:val="auto"/>
              </w:rPr>
            </w:pPr>
          </w:p>
        </w:tc>
        <w:tc>
          <w:tcPr>
            <w:tcW w:w="1040" w:type="dxa"/>
            <w:vAlign w:val="bottom"/>
          </w:tcPr>
          <w:p>
            <w:pPr>
              <w:jc w:val="right"/>
              <w:ind w:right="320"/>
              <w:spacing w:after="0"/>
              <w:rPr>
                <w:sz w:val="20"/>
                <w:szCs w:val="20"/>
                <w:color w:val="auto"/>
              </w:rPr>
            </w:pPr>
            <w:r>
              <w:rPr>
                <w:rFonts w:ascii="Arial" w:cs="Arial" w:eastAsia="Arial" w:hAnsi="Arial"/>
                <w:sz w:val="20"/>
                <w:szCs w:val="20"/>
                <w:color w:val="auto"/>
              </w:rPr>
              <w:t>(132)</w:t>
            </w:r>
          </w:p>
        </w:tc>
        <w:tc>
          <w:tcPr>
            <w:tcW w:w="460" w:type="dxa"/>
            <w:vAlign w:val="bottom"/>
          </w:tcPr>
          <w:p>
            <w:pPr>
              <w:jc w:val="right"/>
              <w:spacing w:after="0"/>
              <w:rPr>
                <w:sz w:val="20"/>
                <w:szCs w:val="20"/>
                <w:color w:val="auto"/>
              </w:rPr>
            </w:pPr>
            <w:r>
              <w:rPr>
                <w:rFonts w:ascii="Arial" w:cs="Arial" w:eastAsia="Arial" w:hAnsi="Arial"/>
                <w:sz w:val="20"/>
                <w:szCs w:val="20"/>
                <w:color w:val="auto"/>
              </w:rPr>
              <w:t>3.2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340"/>
              <w:spacing w:after="0"/>
              <w:rPr>
                <w:sz w:val="20"/>
                <w:szCs w:val="20"/>
                <w:color w:val="auto"/>
              </w:rPr>
            </w:pPr>
            <w:r>
              <w:rPr>
                <w:rFonts w:ascii="Arial" w:cs="Arial" w:eastAsia="Arial" w:hAnsi="Arial"/>
                <w:sz w:val="20"/>
                <w:szCs w:val="20"/>
                <w:color w:val="auto"/>
              </w:rPr>
              <w:t>(13)</w:t>
            </w:r>
          </w:p>
        </w:tc>
        <w:tc>
          <w:tcPr>
            <w:tcW w:w="480" w:type="dxa"/>
            <w:vAlign w:val="bottom"/>
          </w:tcPr>
          <w:p>
            <w:pPr>
              <w:jc w:val="right"/>
              <w:spacing w:after="0"/>
              <w:rPr>
                <w:sz w:val="20"/>
                <w:szCs w:val="20"/>
                <w:color w:val="auto"/>
              </w:rPr>
            </w:pPr>
            <w:r>
              <w:rPr>
                <w:rFonts w:ascii="Arial" w:cs="Arial" w:eastAsia="Arial" w:hAnsi="Arial"/>
                <w:sz w:val="20"/>
                <w:szCs w:val="20"/>
                <w:color w:val="auto"/>
              </w:rPr>
              <w:t>(0.4)</w:t>
            </w:r>
          </w:p>
        </w:tc>
        <w:tc>
          <w:tcPr>
            <w:tcW w:w="220" w:type="dxa"/>
            <w:vAlign w:val="bottom"/>
          </w:tcPr>
          <w:p>
            <w:pPr>
              <w:spacing w:after="0"/>
              <w:rPr>
                <w:sz w:val="24"/>
                <w:szCs w:val="24"/>
                <w:color w:val="auto"/>
              </w:rPr>
            </w:pPr>
          </w:p>
        </w:tc>
      </w:tr>
      <w:tr>
        <w:trPr>
          <w:trHeight w:val="41"/>
        </w:trPr>
        <w:tc>
          <w:tcPr>
            <w:tcW w:w="5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94"/>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Death benefit from bank owned life insurance proceeds</w:t>
            </w:r>
          </w:p>
        </w:tc>
        <w:tc>
          <w:tcPr>
            <w:tcW w:w="4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(39)</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40"/>
              <w:spacing w:after="0"/>
              <w:rPr>
                <w:sz w:val="20"/>
                <w:szCs w:val="20"/>
                <w:color w:val="auto"/>
              </w:rPr>
            </w:pPr>
            <w:r>
              <w:rPr>
                <w:rFonts w:ascii="Arial" w:cs="Arial" w:eastAsia="Arial" w:hAnsi="Arial"/>
                <w:sz w:val="20"/>
                <w:szCs w:val="20"/>
                <w:color w:val="auto"/>
              </w:rPr>
              <w:t>(161)</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74"/>
        </w:trPr>
        <w:tc>
          <w:tcPr>
            <w:tcW w:w="5180" w:type="dxa"/>
            <w:vAlign w:val="bottom"/>
          </w:tcPr>
          <w:p>
            <w:pPr>
              <w:spacing w:after="0"/>
              <w:rPr>
                <w:sz w:val="20"/>
                <w:szCs w:val="20"/>
                <w:color w:val="auto"/>
              </w:rPr>
            </w:pPr>
            <w:r>
              <w:rPr>
                <w:rFonts w:ascii="Arial" w:cs="Arial" w:eastAsia="Arial" w:hAnsi="Arial"/>
                <w:sz w:val="20"/>
                <w:szCs w:val="20"/>
                <w:color w:val="auto"/>
              </w:rPr>
              <w:t>Sale of subsidiary</w:t>
            </w:r>
          </w:p>
        </w:tc>
        <w:tc>
          <w:tcPr>
            <w:tcW w:w="400" w:type="dxa"/>
            <w:vAlign w:val="bottom"/>
          </w:tcPr>
          <w:p>
            <w:pPr>
              <w:spacing w:after="0"/>
              <w:rPr>
                <w:sz w:val="23"/>
                <w:szCs w:val="23"/>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340"/>
              <w:spacing w:after="0"/>
              <w:rPr>
                <w:sz w:val="20"/>
                <w:szCs w:val="20"/>
                <w:color w:val="auto"/>
              </w:rPr>
            </w:pPr>
            <w:r>
              <w:rPr>
                <w:rFonts w:ascii="Arial" w:cs="Arial" w:eastAsia="Arial" w:hAnsi="Arial"/>
                <w:sz w:val="20"/>
                <w:szCs w:val="20"/>
                <w:color w:val="auto"/>
              </w:rPr>
              <w:t>(84)</w:t>
            </w:r>
          </w:p>
        </w:tc>
        <w:tc>
          <w:tcPr>
            <w:tcW w:w="480" w:type="dxa"/>
            <w:vAlign w:val="bottom"/>
          </w:tcPr>
          <w:p>
            <w:pPr>
              <w:jc w:val="right"/>
              <w:spacing w:after="0"/>
              <w:rPr>
                <w:sz w:val="20"/>
                <w:szCs w:val="20"/>
                <w:color w:val="auto"/>
              </w:rPr>
            </w:pPr>
            <w:r>
              <w:rPr>
                <w:rFonts w:ascii="Arial" w:cs="Arial" w:eastAsia="Arial" w:hAnsi="Arial"/>
                <w:sz w:val="20"/>
                <w:szCs w:val="20"/>
                <w:color w:val="auto"/>
              </w:rPr>
              <w:t>(2.3)</w:t>
            </w:r>
          </w:p>
        </w:tc>
        <w:tc>
          <w:tcPr>
            <w:tcW w:w="220" w:type="dxa"/>
            <w:vAlign w:val="bottom"/>
          </w:tcPr>
          <w:p>
            <w:pPr>
              <w:spacing w:after="0"/>
              <w:rPr>
                <w:sz w:val="23"/>
                <w:szCs w:val="23"/>
                <w:color w:val="auto"/>
              </w:rPr>
            </w:pPr>
          </w:p>
        </w:tc>
      </w:tr>
      <w:tr>
        <w:trPr>
          <w:trHeight w:val="41"/>
        </w:trPr>
        <w:tc>
          <w:tcPr>
            <w:tcW w:w="5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94"/>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Federal historic tax credit</w:t>
            </w:r>
          </w:p>
        </w:tc>
        <w:tc>
          <w:tcPr>
            <w:tcW w:w="4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(75)</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40"/>
              <w:spacing w:after="0"/>
              <w:rPr>
                <w:sz w:val="20"/>
                <w:szCs w:val="20"/>
                <w:color w:val="auto"/>
              </w:rPr>
            </w:pPr>
            <w:r>
              <w:rPr>
                <w:rFonts w:ascii="Arial" w:cs="Arial" w:eastAsia="Arial" w:hAnsi="Arial"/>
                <w:sz w:val="20"/>
                <w:szCs w:val="20"/>
                <w:color w:val="auto"/>
              </w:rPr>
              <w:t>(75)</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74"/>
        </w:trPr>
        <w:tc>
          <w:tcPr>
            <w:tcW w:w="5180" w:type="dxa"/>
            <w:vAlign w:val="bottom"/>
          </w:tcPr>
          <w:p>
            <w:pPr>
              <w:spacing w:after="0"/>
              <w:rPr>
                <w:sz w:val="20"/>
                <w:szCs w:val="20"/>
                <w:color w:val="auto"/>
              </w:rPr>
            </w:pPr>
            <w:r>
              <w:rPr>
                <w:rFonts w:ascii="Arial" w:cs="Arial" w:eastAsia="Arial" w:hAnsi="Arial"/>
                <w:sz w:val="20"/>
                <w:szCs w:val="20"/>
                <w:color w:val="auto"/>
              </w:rPr>
              <w:t>Prior year partnership investment adjustment</w:t>
            </w:r>
          </w:p>
        </w:tc>
        <w:tc>
          <w:tcPr>
            <w:tcW w:w="400" w:type="dxa"/>
            <w:vAlign w:val="bottom"/>
          </w:tcPr>
          <w:p>
            <w:pPr>
              <w:spacing w:after="0"/>
              <w:rPr>
                <w:sz w:val="23"/>
                <w:szCs w:val="23"/>
                <w:color w:val="auto"/>
              </w:rPr>
            </w:pPr>
          </w:p>
        </w:tc>
        <w:tc>
          <w:tcPr>
            <w:tcW w:w="1040" w:type="dxa"/>
            <w:vAlign w:val="bottom"/>
          </w:tcPr>
          <w:p>
            <w:pPr>
              <w:jc w:val="right"/>
              <w:ind w:right="320"/>
              <w:spacing w:after="0"/>
              <w:rPr>
                <w:sz w:val="20"/>
                <w:szCs w:val="20"/>
                <w:color w:val="auto"/>
              </w:rPr>
            </w:pPr>
            <w:r>
              <w:rPr>
                <w:rFonts w:ascii="Arial" w:cs="Arial" w:eastAsia="Arial" w:hAnsi="Arial"/>
                <w:sz w:val="20"/>
                <w:szCs w:val="20"/>
                <w:color w:val="auto"/>
              </w:rPr>
              <w:t>(55)</w:t>
            </w:r>
          </w:p>
        </w:tc>
        <w:tc>
          <w:tcPr>
            <w:tcW w:w="460" w:type="dxa"/>
            <w:vAlign w:val="bottom"/>
          </w:tcPr>
          <w:p>
            <w:pPr>
              <w:jc w:val="right"/>
              <w:spacing w:after="0"/>
              <w:rPr>
                <w:sz w:val="20"/>
                <w:szCs w:val="20"/>
                <w:color w:val="auto"/>
              </w:rPr>
            </w:pPr>
            <w:r>
              <w:rPr>
                <w:rFonts w:ascii="Arial" w:cs="Arial" w:eastAsia="Arial" w:hAnsi="Arial"/>
                <w:sz w:val="20"/>
                <w:szCs w:val="20"/>
                <w:color w:val="auto"/>
              </w:rPr>
              <w:t>1.4</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340"/>
              <w:spacing w:after="0"/>
              <w:rPr>
                <w:sz w:val="20"/>
                <w:szCs w:val="20"/>
                <w:color w:val="auto"/>
              </w:rPr>
            </w:pPr>
            <w:r>
              <w:rPr>
                <w:rFonts w:ascii="Arial" w:cs="Arial" w:eastAsia="Arial" w:hAnsi="Arial"/>
                <w:sz w:val="20"/>
                <w:szCs w:val="20"/>
                <w:color w:val="auto"/>
              </w:rPr>
              <w:t>(38)</w:t>
            </w:r>
          </w:p>
        </w:tc>
        <w:tc>
          <w:tcPr>
            <w:tcW w:w="480" w:type="dxa"/>
            <w:vAlign w:val="bottom"/>
          </w:tcPr>
          <w:p>
            <w:pPr>
              <w:jc w:val="right"/>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3"/>
                <w:szCs w:val="23"/>
                <w:color w:val="auto"/>
              </w:rPr>
            </w:pPr>
          </w:p>
        </w:tc>
      </w:tr>
      <w:tr>
        <w:trPr>
          <w:trHeight w:val="41"/>
        </w:trPr>
        <w:tc>
          <w:tcPr>
            <w:tcW w:w="5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304"/>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4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(24)</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40"/>
              <w:spacing w:after="0"/>
              <w:rPr>
                <w:sz w:val="20"/>
                <w:szCs w:val="20"/>
                <w:color w:val="auto"/>
              </w:rPr>
            </w:pPr>
            <w:r>
              <w:rPr>
                <w:rFonts w:ascii="Arial" w:cs="Arial" w:eastAsia="Arial" w:hAnsi="Arial"/>
                <w:sz w:val="20"/>
                <w:szCs w:val="20"/>
                <w:color w:val="auto"/>
              </w:rPr>
              <w:t>(74)</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74"/>
        </w:trPr>
        <w:tc>
          <w:tcPr>
            <w:tcW w:w="5180" w:type="dxa"/>
            <w:vAlign w:val="bottom"/>
          </w:tcPr>
          <w:p>
            <w:pPr>
              <w:spacing w:after="0"/>
              <w:rPr>
                <w:sz w:val="20"/>
                <w:szCs w:val="20"/>
                <w:color w:val="auto"/>
              </w:rPr>
            </w:pPr>
            <w:r>
              <w:rPr>
                <w:rFonts w:ascii="Arial" w:cs="Arial" w:eastAsia="Arial" w:hAnsi="Arial"/>
                <w:sz w:val="20"/>
                <w:szCs w:val="20"/>
                <w:color w:val="auto"/>
              </w:rPr>
              <w:t>Effective income tax rate</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320"/>
              <w:spacing w:after="0"/>
              <w:rPr>
                <w:sz w:val="20"/>
                <w:szCs w:val="20"/>
                <w:color w:val="auto"/>
              </w:rPr>
            </w:pPr>
            <w:r>
              <w:rPr>
                <w:rFonts w:ascii="Arial" w:cs="Arial" w:eastAsia="Arial" w:hAnsi="Arial"/>
                <w:sz w:val="20"/>
                <w:szCs w:val="20"/>
                <w:color w:val="auto"/>
                <w:w w:val="94"/>
              </w:rPr>
              <w:t>(2,160)</w:t>
            </w:r>
          </w:p>
        </w:tc>
        <w:tc>
          <w:tcPr>
            <w:tcW w:w="460" w:type="dxa"/>
            <w:vAlign w:val="bottom"/>
          </w:tcPr>
          <w:p>
            <w:pPr>
              <w:jc w:val="right"/>
              <w:spacing w:after="0"/>
              <w:rPr>
                <w:sz w:val="20"/>
                <w:szCs w:val="20"/>
                <w:color w:val="auto"/>
              </w:rPr>
            </w:pPr>
            <w:r>
              <w:rPr>
                <w:rFonts w:ascii="Arial" w:cs="Arial" w:eastAsia="Arial" w:hAnsi="Arial"/>
                <w:sz w:val="20"/>
                <w:szCs w:val="20"/>
                <w:color w:val="auto"/>
                <w:w w:val="97"/>
              </w:rPr>
              <w:t>52.8</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20"/>
              <w:spacing w:after="0"/>
              <w:rPr>
                <w:sz w:val="20"/>
                <w:szCs w:val="20"/>
                <w:color w:val="auto"/>
              </w:rPr>
            </w:pPr>
            <w:r>
              <w:rPr>
                <w:rFonts w:ascii="Arial" w:cs="Arial" w:eastAsia="Arial" w:hAnsi="Arial"/>
                <w:sz w:val="20"/>
                <w:szCs w:val="20"/>
                <w:color w:val="auto"/>
              </w:rPr>
              <w:t>332</w:t>
            </w:r>
          </w:p>
        </w:tc>
        <w:tc>
          <w:tcPr>
            <w:tcW w:w="480" w:type="dxa"/>
            <w:vAlign w:val="bottom"/>
          </w:tcPr>
          <w:p>
            <w:pPr>
              <w:jc w:val="right"/>
              <w:spacing w:after="0"/>
              <w:rPr>
                <w:sz w:val="20"/>
                <w:szCs w:val="20"/>
                <w:color w:val="auto"/>
              </w:rPr>
            </w:pPr>
            <w:r>
              <w:rPr>
                <w:rFonts w:ascii="Arial" w:cs="Arial" w:eastAsia="Arial" w:hAnsi="Arial"/>
                <w:sz w:val="20"/>
                <w:szCs w:val="20"/>
                <w:color w:val="auto"/>
              </w:rPr>
              <w:t>8.9</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-2172970</wp:posOffset>
            </wp:positionV>
            <wp:extent cx="5967730"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8"/>
          <w:szCs w:val="8"/>
          <w:color w:val="auto"/>
        </w:rPr>
        <w:t>(1)</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State and local income taxes for New York State comprised greater than 50 percent of the amounts in this category.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Cash outflows for income taxes were as follows for the years ended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9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2024</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Federal</w:t>
            </w:r>
          </w:p>
        </w:tc>
        <w:tc>
          <w:tcPr>
            <w:tcW w:w="2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600</w:t>
            </w:r>
          </w:p>
        </w:tc>
      </w:tr>
      <w:tr>
        <w:trPr>
          <w:trHeight w:val="36"/>
        </w:trPr>
        <w:tc>
          <w:tcPr>
            <w:tcW w:w="40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4"/>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and local:</w:t>
            </w:r>
          </w:p>
        </w:tc>
        <w:tc>
          <w:tcPr>
            <w:tcW w:w="29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4020" w:type="dxa"/>
            <w:vAlign w:val="bottom"/>
          </w:tcPr>
          <w:p>
            <w:pPr>
              <w:ind w:left="120"/>
              <w:spacing w:after="0"/>
              <w:rPr>
                <w:sz w:val="20"/>
                <w:szCs w:val="20"/>
                <w:color w:val="auto"/>
              </w:rPr>
            </w:pPr>
            <w:r>
              <w:rPr>
                <w:rFonts w:ascii="Arial" w:cs="Arial" w:eastAsia="Arial" w:hAnsi="Arial"/>
                <w:sz w:val="18"/>
                <w:szCs w:val="18"/>
                <w:color w:val="auto"/>
              </w:rPr>
              <w:t>New York State</w:t>
            </w:r>
          </w:p>
        </w:tc>
        <w:tc>
          <w:tcPr>
            <w:tcW w:w="296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6"/>
        </w:trPr>
        <w:tc>
          <w:tcPr>
            <w:tcW w:w="40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4"/>
        </w:trPr>
        <w:tc>
          <w:tcPr>
            <w:tcW w:w="4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Maryland</w:t>
            </w:r>
          </w:p>
        </w:tc>
        <w:tc>
          <w:tcPr>
            <w:tcW w:w="29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4020" w:type="dxa"/>
            <w:vAlign w:val="bottom"/>
          </w:tcPr>
          <w:p>
            <w:pPr>
              <w:ind w:left="120"/>
              <w:spacing w:after="0"/>
              <w:rPr>
                <w:sz w:val="20"/>
                <w:szCs w:val="20"/>
                <w:color w:val="auto"/>
              </w:rPr>
            </w:pPr>
            <w:r>
              <w:rPr>
                <w:rFonts w:ascii="Arial" w:cs="Arial" w:eastAsia="Arial" w:hAnsi="Arial"/>
                <w:sz w:val="18"/>
                <w:szCs w:val="18"/>
                <w:color w:val="auto"/>
              </w:rPr>
              <w:t>Ohio</w:t>
            </w:r>
          </w:p>
        </w:tc>
        <w:tc>
          <w:tcPr>
            <w:tcW w:w="296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6"/>
        </w:trPr>
        <w:tc>
          <w:tcPr>
            <w:tcW w:w="40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8"/>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cash taxes paid</w:t>
            </w:r>
          </w:p>
        </w:tc>
        <w:tc>
          <w:tcPr>
            <w:tcW w:w="29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600</w:t>
            </w:r>
          </w:p>
        </w:tc>
      </w:tr>
      <w:tr>
        <w:trPr>
          <w:trHeight w:val="81"/>
        </w:trPr>
        <w:tc>
          <w:tcPr>
            <w:tcW w:w="4020" w:type="dxa"/>
            <w:vAlign w:val="bottom"/>
            <w:shd w:val="clear" w:color="auto" w:fill="CFF0FC"/>
          </w:tcPr>
          <w:p>
            <w:pPr>
              <w:spacing w:after="0"/>
              <w:rPr>
                <w:sz w:val="7"/>
                <w:szCs w:val="7"/>
                <w:color w:val="auto"/>
              </w:rPr>
            </w:pPr>
          </w:p>
        </w:tc>
        <w:tc>
          <w:tcPr>
            <w:tcW w:w="296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-1238250</wp:posOffset>
            </wp:positionV>
            <wp:extent cx="5967730"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24</w:t>
      </w:r>
    </w:p>
    <w:p>
      <w:pPr>
        <w:sectPr>
          <w:pgSz w:w="11900" w:h="16838" w:orient="portrait"/>
          <w:cols w:equalWidth="0" w:num="1">
            <w:col w:w="9400"/>
          </w:cols>
          <w:pgMar w:left="1260" w:top="1440" w:right="1246" w:bottom="0" w:gutter="0" w:footer="0" w:header="0"/>
          <w:type w:val="continuous"/>
        </w:sectPr>
      </w:pPr>
    </w:p>
    <w:bookmarkStart w:id="227" w:name="page228"/>
    <w:bookmarkEnd w:id="227"/>
    <w:p>
      <w:pPr>
        <w:spacing w:after="0" w:line="1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24</w:t>
      </w:r>
    </w:p>
    <w:p>
      <w:pPr>
        <w:sectPr>
          <w:pgSz w:w="11900" w:h="16838" w:orient="portrait"/>
          <w:cols w:equalWidth="0" w:num="1">
            <w:col w:w="9026"/>
          </w:cols>
          <w:pgMar w:left="1440" w:top="1440" w:right="1440" w:bottom="0" w:gutter="0" w:footer="0" w:header="0"/>
          <w:type w:val="continuous"/>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COMMITMENTS AND CONTINGENCIES</w:t>
      </w:r>
    </w:p>
    <w:p>
      <w:pPr>
        <w:spacing w:after="0" w:line="200"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These financial instruments include commitments to extend credit and standby letters of credit. Such commitments involve, to varying degrees, elements of credit risk in excess of the amount recognized in the Consolidated Statements of Condition. The contractual amount of those commitments to extend credit reflects the extent of involvement the Company has in this particular class of financial instrument. The Company’s exposure to credit loss in the event of nonperformance by the other party to the financial instrument for commitments to extend credit is represented by the contractual amount of the instrument. The Company uses the same credit policies in making commitments as it does for on-balance sheet instruments.</w:t>
      </w:r>
    </w:p>
    <w:p>
      <w:pPr>
        <w:spacing w:after="0" w:line="105"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At December 31, 2025 and 2024, the following financial instruments were outstanding whose contract amounts represent credit risk:</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Contract Amount</w:t>
            </w:r>
          </w:p>
        </w:tc>
        <w:tc>
          <w:tcPr>
            <w:tcW w:w="800" w:type="dxa"/>
            <w:vAlign w:val="bottom"/>
          </w:tcPr>
          <w:p>
            <w:pPr>
              <w:spacing w:after="0"/>
              <w:rPr>
                <w:sz w:val="19"/>
                <w:szCs w:val="19"/>
                <w:color w:val="auto"/>
              </w:rPr>
            </w:pPr>
          </w:p>
        </w:tc>
      </w:tr>
      <w:tr>
        <w:trPr>
          <w:trHeight w:val="310"/>
        </w:trPr>
        <w:tc>
          <w:tcPr>
            <w:tcW w:w="580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00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Arial" w:cs="Arial" w:eastAsia="Arial" w:hAnsi="Arial"/>
                <w:sz w:val="20"/>
                <w:szCs w:val="20"/>
                <w:color w:val="auto"/>
              </w:rPr>
              <w:t>2025</w:t>
            </w:r>
          </w:p>
        </w:tc>
        <w:tc>
          <w:tcPr>
            <w:tcW w:w="7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2024</w:t>
            </w:r>
          </w:p>
        </w:tc>
      </w:tr>
      <w:tr>
        <w:trPr>
          <w:trHeight w:val="51"/>
        </w:trPr>
        <w:tc>
          <w:tcPr>
            <w:tcW w:w="5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80"/>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Commitments to grant loans</w:t>
            </w:r>
          </w:p>
        </w:tc>
        <w:tc>
          <w:tcPr>
            <w:tcW w:w="100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38,295</w:t>
            </w:r>
          </w:p>
        </w:tc>
        <w:tc>
          <w:tcPr>
            <w:tcW w:w="74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41,283</w:t>
            </w:r>
          </w:p>
        </w:tc>
      </w:tr>
      <w:tr>
        <w:trPr>
          <w:trHeight w:val="259"/>
        </w:trPr>
        <w:tc>
          <w:tcPr>
            <w:tcW w:w="5800" w:type="dxa"/>
            <w:vAlign w:val="bottom"/>
          </w:tcPr>
          <w:p>
            <w:pPr>
              <w:spacing w:after="0"/>
              <w:rPr>
                <w:sz w:val="20"/>
                <w:szCs w:val="20"/>
                <w:color w:val="auto"/>
              </w:rPr>
            </w:pPr>
            <w:r>
              <w:rPr>
                <w:rFonts w:ascii="Arial" w:cs="Arial" w:eastAsia="Arial" w:hAnsi="Arial"/>
                <w:sz w:val="20"/>
                <w:szCs w:val="20"/>
                <w:color w:val="auto"/>
              </w:rPr>
              <w:t>Unfunded commitments under lines of credit</w:t>
            </w:r>
          </w:p>
        </w:tc>
        <w:tc>
          <w:tcPr>
            <w:tcW w:w="10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20"/>
                <w:szCs w:val="20"/>
                <w:color w:val="auto"/>
              </w:rPr>
              <w:t>142,204</w:t>
            </w:r>
          </w:p>
        </w:tc>
        <w:tc>
          <w:tcPr>
            <w:tcW w:w="7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4"/>
              </w:rPr>
              <w:t>187,681</w:t>
            </w:r>
          </w:p>
        </w:tc>
      </w:tr>
      <w:tr>
        <w:trPr>
          <w:trHeight w:val="41"/>
        </w:trPr>
        <w:tc>
          <w:tcPr>
            <w:tcW w:w="5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0"/>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Unfunded commitments related to construction loans in progress</w:t>
            </w:r>
          </w:p>
        </w:tc>
        <w:tc>
          <w:tcPr>
            <w:tcW w:w="10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2,406</w:t>
            </w:r>
          </w:p>
        </w:tc>
        <w:tc>
          <w:tcPr>
            <w:tcW w:w="7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1,668</w:t>
            </w:r>
          </w:p>
        </w:tc>
      </w:tr>
      <w:tr>
        <w:trPr>
          <w:trHeight w:val="259"/>
        </w:trPr>
        <w:tc>
          <w:tcPr>
            <w:tcW w:w="5800" w:type="dxa"/>
            <w:vAlign w:val="bottom"/>
          </w:tcPr>
          <w:p>
            <w:pPr>
              <w:spacing w:after="0"/>
              <w:rPr>
                <w:sz w:val="20"/>
                <w:szCs w:val="20"/>
                <w:color w:val="auto"/>
              </w:rPr>
            </w:pPr>
            <w:r>
              <w:rPr>
                <w:rFonts w:ascii="Arial" w:cs="Arial" w:eastAsia="Arial" w:hAnsi="Arial"/>
                <w:sz w:val="20"/>
                <w:szCs w:val="20"/>
                <w:color w:val="auto"/>
              </w:rPr>
              <w:t>Standby letters of credit</w:t>
            </w:r>
          </w:p>
        </w:tc>
        <w:tc>
          <w:tcPr>
            <w:tcW w:w="10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20"/>
                <w:szCs w:val="20"/>
                <w:color w:val="auto"/>
              </w:rPr>
              <w:t>3,357</w:t>
            </w:r>
          </w:p>
        </w:tc>
        <w:tc>
          <w:tcPr>
            <w:tcW w:w="7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-938530</wp:posOffset>
            </wp:positionV>
            <wp:extent cx="5967730"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-741680</wp:posOffset>
            </wp:positionV>
            <wp:extent cx="5967730"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10" w:lineRule="exact"/>
        <w:rPr>
          <w:sz w:val="20"/>
          <w:szCs w:val="20"/>
          <w:color w:val="auto"/>
        </w:rPr>
      </w:pPr>
    </w:p>
    <w:p>
      <w:pPr>
        <w:jc w:val="both"/>
        <w:ind w:right="60"/>
        <w:spacing w:after="0" w:line="352"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some of the commitment amounts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counter party. Collateral held varies but may include residential real estate and income-producing commercial properties. Loan commitments outstanding at December 31, 2025 with variable interest rates and fixed interest rates were approximately $135.6 million and $50.7 million, respectively. These outstanding loan commitments carry current market rates.</w:t>
      </w:r>
    </w:p>
    <w:p>
      <w:pPr>
        <w:spacing w:after="0" w:line="118" w:lineRule="exact"/>
        <w:rPr>
          <w:sz w:val="20"/>
          <w:szCs w:val="20"/>
          <w:color w:val="auto"/>
        </w:rPr>
      </w:pPr>
    </w:p>
    <w:p>
      <w:pPr>
        <w:jc w:val="both"/>
        <w:ind w:right="80"/>
        <w:spacing w:after="0" w:line="330" w:lineRule="auto"/>
        <w:rPr>
          <w:sz w:val="20"/>
          <w:szCs w:val="20"/>
          <w:color w:val="auto"/>
        </w:rPr>
      </w:pPr>
      <w:r>
        <w:rPr>
          <w:rFonts w:ascii="Arial" w:cs="Arial" w:eastAsia="Arial" w:hAnsi="Arial"/>
          <w:sz w:val="19"/>
          <w:szCs w:val="19"/>
          <w:color w:val="auto"/>
        </w:rPr>
        <w:t>Unfunded commitments under revolving credit lines and overdraft protection agreements are commitments for possible future extensions of credit to existing customers. These lines of credit usually do not contain a specified maturity date and may not be drawn upon to the total extent to which the Company is committed.</w:t>
      </w:r>
    </w:p>
    <w:p>
      <w:pPr>
        <w:spacing w:after="0" w:line="119"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Letters of credit written are conditional commitments issued by the Company to guarantee the performance of a customer to a third party. Generally, all letters of credit when issued have expiration dates within one year. The credit risk involved in issuing letters of credit is essentially the same as those that are involved in extending loan facilities to customers. The Company generally holds collateral and/or personal guarantees supporting these commitments. Management believes that the proceeds obtained through a liquidation of collateral and the enforcement of guarantees would be sufficient to cover the potential amount of future payments required under the corresponding guarantees.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DIVIDENDS AND RESTRICTIONS</w:t>
      </w:r>
    </w:p>
    <w:p>
      <w:pPr>
        <w:spacing w:after="0" w:line="200" w:lineRule="exact"/>
        <w:rPr>
          <w:sz w:val="20"/>
          <w:szCs w:val="20"/>
          <w:color w:val="auto"/>
        </w:rPr>
      </w:pPr>
    </w:p>
    <w:p>
      <w:pPr>
        <w:jc w:val="both"/>
        <w:ind w:right="60"/>
        <w:spacing w:after="0" w:line="355" w:lineRule="auto"/>
        <w:rPr>
          <w:sz w:val="20"/>
          <w:szCs w:val="20"/>
          <w:color w:val="auto"/>
        </w:rPr>
      </w:pPr>
      <w:r>
        <w:rPr>
          <w:rFonts w:ascii="Arial" w:cs="Arial" w:eastAsia="Arial" w:hAnsi="Arial"/>
          <w:sz w:val="18"/>
          <w:szCs w:val="18"/>
          <w:color w:val="auto"/>
        </w:rPr>
        <w:t>The Company's ability to pay dividends to its shareholders is largely dependent on the Bank's ability to pay dividends to the Company. In addition to state law requirements and the capital requirements discussed in Note 20, regulatory matters, regulations and policies limit the circumstances under which the Bank may pay dividends. The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24</w:t>
      </w:r>
    </w:p>
    <w:p>
      <w:pPr>
        <w:sectPr>
          <w:pgSz w:w="11900" w:h="16838" w:orient="portrait"/>
          <w:cols w:equalWidth="0" w:num="1">
            <w:col w:w="9400"/>
          </w:cols>
          <w:pgMar w:left="1260" w:top="1440" w:right="1246" w:bottom="0" w:gutter="0" w:footer="0" w:header="0"/>
          <w:type w:val="continuous"/>
        </w:sectPr>
      </w:pPr>
    </w:p>
    <w:bookmarkStart w:id="229" w:name="page230"/>
    <w:bookmarkEnd w:id="229"/>
    <w:p>
      <w:pPr>
        <w:jc w:val="both"/>
        <w:ind w:right="40"/>
        <w:spacing w:after="0" w:line="330" w:lineRule="auto"/>
        <w:rPr>
          <w:sz w:val="20"/>
          <w:szCs w:val="20"/>
          <w:color w:val="auto"/>
        </w:rPr>
      </w:pPr>
      <w:r>
        <w:rPr>
          <w:rFonts w:ascii="Arial" w:cs="Arial" w:eastAsia="Arial" w:hAnsi="Arial"/>
          <w:sz w:val="19"/>
          <w:szCs w:val="19"/>
          <w:color w:val="auto"/>
        </w:rPr>
        <w:t>amount of retained earnings legally available under these regulations approximated $9.8 million as of December 31, 2025. Dividends paid by the Bank to the Company would be prohibited if the effect thereof would cause the Bank’s capital to be reduced below applicable minimum capital requirements or below the Liquidation Account established following the Conversion in 2025. The Bank made dividend payments to the Company of $4.4 million and $3.2 million in the years ended December 31, 2025 and 2024, respectively.</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December 31, 2025, the Bank met the regulatory definition of a “well-capitalized” institution, i.e. a total risk-based capital ratio exceeding 10%, a Tier 1 risk-based capital ratio exceeding 8%, a CET1 risk-based capital ratio exceeding 6.5%, and a leverage ratio exceeding 5%.</w:t>
      </w:r>
    </w:p>
    <w:p>
      <w:pPr>
        <w:spacing w:after="0" w:line="134"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In addition to establishing the minimum regulatory capital requirements, the regulations limit capital distributions and certain discretionary bonus payments to management if the institution does not hold a “capital conservation buffer” consisting of 2.5% of CET1 capital to risk-weighted assets above the amount necessary to meet its minimum risk-based capital requirements. The buffer is separate from the capital ratios required under the Prompt Corrective Action (“PCA”) standards. In order to avoid these restrictions, the capital conservation buffer effectively increases the minimum levels of the following capital to risk-weighted assets ratios: (1) Total Capital,</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24</w:t>
      </w:r>
    </w:p>
    <w:p>
      <w:pPr>
        <w:sectPr>
          <w:pgSz w:w="11900" w:h="16838" w:orient="portrait"/>
          <w:cols w:equalWidth="0" w:num="1">
            <w:col w:w="9380"/>
          </w:cols>
          <w:pgMar w:left="1260" w:top="1173" w:right="1266" w:bottom="0" w:gutter="0" w:footer="0" w:header="0"/>
          <w:type w:val="continuous"/>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 w:right="60" w:hanging="6"/>
        <w:spacing w:after="0" w:line="307" w:lineRule="auto"/>
        <w:tabs>
          <w:tab w:leader="none" w:pos="298" w:val="left"/>
        </w:tabs>
        <w:numPr>
          <w:ilvl w:val="0"/>
          <w:numId w:val="29"/>
        </w:numPr>
        <w:rPr>
          <w:rFonts w:ascii="Arial" w:cs="Arial" w:eastAsia="Arial" w:hAnsi="Arial"/>
          <w:sz w:val="20"/>
          <w:szCs w:val="20"/>
          <w:color w:val="auto"/>
        </w:rPr>
      </w:pPr>
      <w:r>
        <w:rPr>
          <w:rFonts w:ascii="Arial" w:cs="Arial" w:eastAsia="Arial" w:hAnsi="Arial"/>
          <w:sz w:val="20"/>
          <w:szCs w:val="20"/>
          <w:color w:val="auto"/>
        </w:rPr>
        <w:t>Tier 1 Capital, and (3) CET1. The capital conservation buffer requirement is now fully implemented at 2.5% of risk-weighted assets. At December 31, 2025, the Bank exceeded all regulatory required minimum capital ratios, including the capital buffer requirements.</w:t>
      </w:r>
    </w:p>
    <w:p>
      <w:pPr>
        <w:spacing w:after="0" w:line="24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20: REGULATORY MATTERS</w:t>
      </w:r>
    </w:p>
    <w:p>
      <w:pPr>
        <w:spacing w:after="0" w:line="200" w:lineRule="exact"/>
        <w:rPr>
          <w:sz w:val="20"/>
          <w:szCs w:val="20"/>
          <w:color w:val="auto"/>
        </w:rPr>
      </w:pPr>
    </w:p>
    <w:p>
      <w:pPr>
        <w:ind w:left="6"/>
        <w:spacing w:after="0" w:line="350"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07" w:lineRule="exact"/>
        <w:rPr>
          <w:sz w:val="20"/>
          <w:szCs w:val="20"/>
          <w:color w:val="auto"/>
        </w:rPr>
      </w:pPr>
    </w:p>
    <w:p>
      <w:pPr>
        <w:jc w:val="both"/>
        <w:ind w:left="6" w:right="80"/>
        <w:spacing w:after="0" w:line="307" w:lineRule="auto"/>
        <w:rPr>
          <w:sz w:val="20"/>
          <w:szCs w:val="20"/>
          <w:color w:val="auto"/>
        </w:rPr>
      </w:pPr>
      <w:r>
        <w:rPr>
          <w:rFonts w:ascii="Arial" w:cs="Arial" w:eastAsia="Arial" w:hAnsi="Arial"/>
          <w:sz w:val="20"/>
          <w:szCs w:val="20"/>
          <w:color w:val="auto"/>
        </w:rPr>
        <w:t>Quantitative measures established by regulation to ensure capital adequacy require the Bank to maintain amounts and ratios (set forth in the table below) of Total and Tier 1 capital (as defined in the regulations) to risk-weighted assets (as defined), and of Tier 1 capital (as defined) to average assets (as defined).</w:t>
      </w:r>
    </w:p>
    <w:p>
      <w:pPr>
        <w:spacing w:after="0" w:line="137" w:lineRule="exact"/>
        <w:rPr>
          <w:sz w:val="20"/>
          <w:szCs w:val="20"/>
          <w:color w:val="auto"/>
        </w:rPr>
      </w:pPr>
    </w:p>
    <w:p>
      <w:pPr>
        <w:jc w:val="both"/>
        <w:ind w:left="6"/>
        <w:spacing w:after="0" w:line="310" w:lineRule="auto"/>
        <w:rPr>
          <w:sz w:val="20"/>
          <w:szCs w:val="20"/>
          <w:color w:val="auto"/>
        </w:rPr>
      </w:pPr>
      <w:r>
        <w:rPr>
          <w:rFonts w:ascii="Arial" w:cs="Arial" w:eastAsia="Arial" w:hAnsi="Arial"/>
          <w:sz w:val="20"/>
          <w:szCs w:val="20"/>
          <w:color w:val="auto"/>
        </w:rPr>
        <w:t>As of December 31, 2025, the Bank’s most recent notification from the FDIC categorized the Bank as “well-capitalized”, under the regulatory framework for prompt corrective action. To be categorized as “well-capitalized”, the Bank must maintain total risk-based, Tier 1 risk-based and Tier 1 leverage ratios as set forth in the tables below. There are no conditions or events since that notification that management believes have changed the Bank’s category.</w:t>
      </w:r>
    </w:p>
    <w:p>
      <w:pPr>
        <w:spacing w:after="0" w:line="135" w:lineRule="exact"/>
        <w:rPr>
          <w:sz w:val="20"/>
          <w:szCs w:val="20"/>
          <w:color w:val="auto"/>
        </w:rPr>
      </w:pPr>
    </w:p>
    <w:p>
      <w:pPr>
        <w:jc w:val="both"/>
        <w:ind w:left="6"/>
        <w:spacing w:after="0" w:line="329" w:lineRule="auto"/>
        <w:rPr>
          <w:sz w:val="20"/>
          <w:szCs w:val="20"/>
          <w:color w:val="auto"/>
        </w:rPr>
      </w:pPr>
      <w:r>
        <w:rPr>
          <w:rFonts w:ascii="Arial" w:cs="Arial" w:eastAsia="Arial" w:hAnsi="Arial"/>
          <w:sz w:val="19"/>
          <w:szCs w:val="19"/>
          <w:color w:val="auto"/>
        </w:rPr>
        <w:t>As noted above, the regulations also impose a “capital conservation buffer” consisting of 2.5% of CET1 capital to risk-weighted assets above the amount necessary to meet its minimum risk-based capital requirements. The buffer is separate from the capital ratios required under the Prompt Corrective Action (“PCA”) standards and imposes restrictions on dividend distributions and discretionary bonuses if the buffer is not met. In order to avoid these restrictions, the capital conservation buffer effectively increases the minimum levels of the following capital to risk-weighted assets ratios: (1) Total Capital, (2) Tier 1 Capital, and (3) CET1. At December 31, 2025, the Bank exceeded all regulatory required minimum capital ratios, including the capital buffer requirements.</w:t>
      </w:r>
    </w:p>
    <w:p>
      <w:pPr>
        <w:spacing w:after="0" w:line="123"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Bank’s actual capital amounts and ratios as of December 31, 2025 and 2024 are presented in the following table.</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821180"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821180" cy="6350"/>
                    </a:xfrm>
                    <a:prstGeom prst="rect">
                      <a:avLst/>
                    </a:prstGeom>
                    <a:noFill/>
                  </pic:spPr>
                </pic:pic>
              </a:graphicData>
            </a:graphic>
          </wp:anchor>
        </w:drawing>
      </w:r>
    </w:p>
    <w:p>
      <w:pPr>
        <w:spacing w:after="0" w:line="60"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As of December 31, 2025:</w:t>
      </w:r>
    </w:p>
    <w:p>
      <w:pPr>
        <w:spacing w:after="0" w:line="138" w:lineRule="exact"/>
        <w:rPr>
          <w:sz w:val="20"/>
          <w:szCs w:val="20"/>
          <w:color w:val="auto"/>
        </w:rPr>
      </w:pPr>
    </w:p>
    <w:p>
      <w:pPr>
        <w:ind w:left="26"/>
        <w:spacing w:after="0"/>
        <w:rPr>
          <w:sz w:val="20"/>
          <w:szCs w:val="20"/>
          <w:color w:val="auto"/>
        </w:rPr>
      </w:pPr>
      <w:r>
        <w:rPr>
          <w:rFonts w:ascii="Arial" w:cs="Arial" w:eastAsia="Arial" w:hAnsi="Arial"/>
          <w:sz w:val="15"/>
          <w:szCs w:val="15"/>
          <w:color w:val="auto"/>
        </w:rPr>
        <w:t>Total Capital (to risk-weighted assets)</w:t>
      </w:r>
    </w:p>
    <w:p>
      <w:pPr>
        <w:spacing w:after="0" w:line="142" w:lineRule="exact"/>
        <w:rPr>
          <w:sz w:val="20"/>
          <w:szCs w:val="20"/>
          <w:color w:val="auto"/>
        </w:rPr>
      </w:pPr>
    </w:p>
    <w:p>
      <w:pPr>
        <w:ind w:left="26"/>
        <w:spacing w:after="0" w:line="317" w:lineRule="auto"/>
        <w:rPr>
          <w:sz w:val="20"/>
          <w:szCs w:val="20"/>
          <w:color w:val="auto"/>
        </w:rPr>
      </w:pPr>
      <w:r>
        <w:rPr>
          <w:rFonts w:ascii="Arial" w:cs="Arial" w:eastAsia="Arial" w:hAnsi="Arial"/>
          <w:sz w:val="16"/>
          <w:szCs w:val="16"/>
          <w:color w:val="auto"/>
        </w:rPr>
        <w:t>Tier 1 Capital (to risk-weighted assets) Common Equity Tier 1 (to risk-weighted assets)</w:t>
      </w:r>
    </w:p>
    <w:p>
      <w:pPr>
        <w:spacing w:after="0" w:line="72" w:lineRule="exact"/>
        <w:rPr>
          <w:sz w:val="20"/>
          <w:szCs w:val="20"/>
          <w:color w:val="auto"/>
        </w:rPr>
      </w:pPr>
    </w:p>
    <w:p>
      <w:pPr>
        <w:ind w:left="26"/>
        <w:spacing w:after="0"/>
        <w:rPr>
          <w:sz w:val="20"/>
          <w:szCs w:val="20"/>
          <w:color w:val="auto"/>
        </w:rPr>
      </w:pPr>
      <w:r>
        <w:rPr>
          <w:rFonts w:ascii="Arial" w:cs="Arial" w:eastAsia="Arial" w:hAnsi="Arial"/>
          <w:sz w:val="16"/>
          <w:szCs w:val="16"/>
          <w:color w:val="auto"/>
        </w:rPr>
        <w:t>Tier 1 Capital (to average assets)</w:t>
      </w:r>
    </w:p>
    <w:p>
      <w:pPr>
        <w:spacing w:after="0" w:line="80"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As of December 31, 2024</w:t>
      </w:r>
    </w:p>
    <w:p>
      <w:pPr>
        <w:spacing w:after="0" w:line="138" w:lineRule="exact"/>
        <w:rPr>
          <w:sz w:val="20"/>
          <w:szCs w:val="20"/>
          <w:color w:val="auto"/>
        </w:rPr>
      </w:pPr>
    </w:p>
    <w:p>
      <w:pPr>
        <w:ind w:left="26"/>
        <w:spacing w:after="0"/>
        <w:rPr>
          <w:sz w:val="20"/>
          <w:szCs w:val="20"/>
          <w:color w:val="auto"/>
        </w:rPr>
      </w:pPr>
      <w:r>
        <w:rPr>
          <w:rFonts w:ascii="Arial" w:cs="Arial" w:eastAsia="Arial" w:hAnsi="Arial"/>
          <w:sz w:val="15"/>
          <w:szCs w:val="15"/>
          <w:color w:val="auto"/>
        </w:rPr>
        <w:t>Total Capital (to risk-weighted assets)</w:t>
      </w:r>
    </w:p>
    <w:p>
      <w:pPr>
        <w:spacing w:after="0" w:line="142" w:lineRule="exact"/>
        <w:rPr>
          <w:sz w:val="20"/>
          <w:szCs w:val="20"/>
          <w:color w:val="auto"/>
        </w:rPr>
      </w:pPr>
    </w:p>
    <w:p>
      <w:pPr>
        <w:ind w:left="26"/>
        <w:spacing w:after="0"/>
        <w:rPr>
          <w:sz w:val="20"/>
          <w:szCs w:val="20"/>
          <w:color w:val="auto"/>
        </w:rPr>
      </w:pPr>
      <w:r>
        <w:rPr>
          <w:rFonts w:ascii="Arial" w:cs="Arial" w:eastAsia="Arial" w:hAnsi="Arial"/>
          <w:sz w:val="15"/>
          <w:szCs w:val="15"/>
          <w:color w:val="auto"/>
        </w:rPr>
        <w:t>Tier 1 Capital (to risk-weighted assets)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Minimum To Be</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0"/>
        </w:trPr>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"Well-Capitalized"</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0"/>
        </w:trPr>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Minimum For</w:t>
            </w:r>
          </w:p>
        </w:tc>
        <w:tc>
          <w:tcPr>
            <w:tcW w:w="14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Under Prompt</w:t>
            </w:r>
          </w:p>
        </w:tc>
        <w:tc>
          <w:tcPr>
            <w:tcW w:w="14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Minimum For</w:t>
            </w:r>
          </w:p>
        </w:tc>
      </w:tr>
      <w:tr>
        <w:trPr>
          <w:trHeight w:val="240"/>
        </w:trPr>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Capital Adequacy</w:t>
            </w: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Corrective</w:t>
            </w:r>
          </w:p>
        </w:tc>
        <w:tc>
          <w:tcPr>
            <w:tcW w:w="14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Capital Adequacy</w:t>
            </w:r>
          </w:p>
        </w:tc>
      </w:tr>
      <w:tr>
        <w:trPr>
          <w:trHeight w:val="240"/>
        </w:trPr>
        <w:tc>
          <w:tcPr>
            <w:tcW w:w="920" w:type="dxa"/>
            <w:vAlign w:val="bottom"/>
          </w:tcPr>
          <w:p>
            <w:pPr>
              <w:ind w:left="480"/>
              <w:spacing w:after="0"/>
              <w:rPr>
                <w:sz w:val="20"/>
                <w:szCs w:val="20"/>
                <w:color w:val="auto"/>
              </w:rPr>
            </w:pPr>
            <w:r>
              <w:rPr>
                <w:rFonts w:ascii="Arial" w:cs="Arial" w:eastAsia="Arial" w:hAnsi="Arial"/>
                <w:sz w:val="16"/>
                <w:szCs w:val="16"/>
                <w:color w:val="auto"/>
                <w:w w:val="94"/>
              </w:rPr>
              <w:t>Actual</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Purposes</w:t>
            </w:r>
          </w:p>
        </w:tc>
        <w:tc>
          <w:tcPr>
            <w:tcW w:w="14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Provisions</w:t>
            </w:r>
          </w:p>
        </w:tc>
        <w:tc>
          <w:tcPr>
            <w:tcW w:w="14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color w:val="auto"/>
              </w:rPr>
              <w:t>with Buffer</w:t>
            </w:r>
          </w:p>
        </w:tc>
      </w:tr>
      <w:tr>
        <w:trPr>
          <w:trHeight w:val="264"/>
        </w:trPr>
        <w:tc>
          <w:tcPr>
            <w:tcW w:w="920" w:type="dxa"/>
            <w:vAlign w:val="bottom"/>
          </w:tcPr>
          <w:p>
            <w:pPr>
              <w:jc w:val="center"/>
              <w:ind w:right="200"/>
              <w:spacing w:after="0"/>
              <w:rPr>
                <w:sz w:val="20"/>
                <w:szCs w:val="20"/>
                <w:color w:val="auto"/>
              </w:rPr>
            </w:pPr>
            <w:r>
              <w:rPr>
                <w:rFonts w:ascii="Arial" w:cs="Arial" w:eastAsia="Arial" w:hAnsi="Arial"/>
                <w:sz w:val="16"/>
                <w:szCs w:val="16"/>
                <w:color w:val="auto"/>
                <w:w w:val="94"/>
              </w:rPr>
              <w:t>Amount</w:t>
            </w:r>
          </w:p>
        </w:tc>
        <w:tc>
          <w:tcPr>
            <w:tcW w:w="660" w:type="dxa"/>
            <w:vAlign w:val="bottom"/>
          </w:tcPr>
          <w:p>
            <w:pPr>
              <w:jc w:val="right"/>
              <w:ind w:right="220"/>
              <w:spacing w:after="0"/>
              <w:rPr>
                <w:sz w:val="20"/>
                <w:szCs w:val="20"/>
                <w:color w:val="auto"/>
              </w:rPr>
            </w:pPr>
            <w:r>
              <w:rPr>
                <w:rFonts w:ascii="Arial" w:cs="Arial" w:eastAsia="Arial" w:hAnsi="Arial"/>
                <w:sz w:val="16"/>
                <w:szCs w:val="16"/>
                <w:color w:val="auto"/>
                <w:w w:val="90"/>
              </w:rPr>
              <w:t>Ratio</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Amount</w:t>
            </w:r>
          </w:p>
        </w:tc>
        <w:tc>
          <w:tcPr>
            <w:tcW w:w="780" w:type="dxa"/>
            <w:vAlign w:val="bottom"/>
          </w:tcPr>
          <w:p>
            <w:pPr>
              <w:jc w:val="right"/>
              <w:ind w:right="220"/>
              <w:spacing w:after="0"/>
              <w:rPr>
                <w:sz w:val="20"/>
                <w:szCs w:val="20"/>
                <w:color w:val="auto"/>
              </w:rPr>
            </w:pPr>
            <w:r>
              <w:rPr>
                <w:rFonts w:ascii="Arial" w:cs="Arial" w:eastAsia="Arial" w:hAnsi="Arial"/>
                <w:sz w:val="16"/>
                <w:szCs w:val="16"/>
                <w:color w:val="auto"/>
              </w:rPr>
              <w:t>Ratio</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Amount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Ratio</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Amount</w:t>
            </w:r>
          </w:p>
        </w:tc>
        <w:tc>
          <w:tcPr>
            <w:tcW w:w="740" w:type="dxa"/>
            <w:vAlign w:val="bottom"/>
          </w:tcPr>
          <w:p>
            <w:pPr>
              <w:jc w:val="right"/>
              <w:ind w:right="160"/>
              <w:spacing w:after="0"/>
              <w:rPr>
                <w:sz w:val="20"/>
                <w:szCs w:val="20"/>
                <w:color w:val="auto"/>
              </w:rPr>
            </w:pPr>
            <w:r>
              <w:rPr>
                <w:rFonts w:ascii="Arial" w:cs="Arial" w:eastAsia="Arial" w:hAnsi="Arial"/>
                <w:sz w:val="16"/>
                <w:szCs w:val="16"/>
                <w:color w:val="auto"/>
              </w:rPr>
              <w:t>Ratio</w:t>
            </w:r>
          </w:p>
        </w:tc>
      </w:tr>
      <w:tr>
        <w:trPr>
          <w:trHeight w:val="579"/>
        </w:trPr>
        <w:tc>
          <w:tcPr>
            <w:tcW w:w="920" w:type="dxa"/>
            <w:vAlign w:val="bottom"/>
          </w:tcPr>
          <w:p>
            <w:pPr>
              <w:jc w:val="center"/>
              <w:ind w:right="200"/>
              <w:spacing w:after="0"/>
              <w:rPr>
                <w:sz w:val="20"/>
                <w:szCs w:val="20"/>
                <w:color w:val="auto"/>
              </w:rPr>
            </w:pPr>
            <w:r>
              <w:rPr>
                <w:rFonts w:ascii="Arial" w:cs="Arial" w:eastAsia="Arial" w:hAnsi="Arial"/>
                <w:sz w:val="16"/>
                <w:szCs w:val="16"/>
                <w:color w:val="auto"/>
                <w:w w:val="89"/>
              </w:rPr>
              <w:t>$ 146,559</w:t>
            </w:r>
          </w:p>
        </w:tc>
        <w:tc>
          <w:tcPr>
            <w:tcW w:w="660" w:type="dxa"/>
            <w:vAlign w:val="bottom"/>
          </w:tcPr>
          <w:p>
            <w:pPr>
              <w:jc w:val="right"/>
              <w:spacing w:after="0"/>
              <w:rPr>
                <w:sz w:val="20"/>
                <w:szCs w:val="20"/>
                <w:color w:val="auto"/>
              </w:rPr>
            </w:pPr>
            <w:r>
              <w:rPr>
                <w:rFonts w:ascii="Arial" w:cs="Arial" w:eastAsia="Arial" w:hAnsi="Arial"/>
                <w:sz w:val="16"/>
                <w:szCs w:val="16"/>
                <w:color w:val="auto"/>
              </w:rPr>
              <w:t>14.72%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79,646</w:t>
            </w:r>
          </w:p>
        </w:tc>
        <w:tc>
          <w:tcPr>
            <w:tcW w:w="780" w:type="dxa"/>
            <w:vAlign w:val="bottom"/>
          </w:tcPr>
          <w:p>
            <w:pPr>
              <w:jc w:val="right"/>
              <w:spacing w:after="0"/>
              <w:rPr>
                <w:sz w:val="20"/>
                <w:szCs w:val="20"/>
                <w:color w:val="auto"/>
              </w:rPr>
            </w:pPr>
            <w:r>
              <w:rPr>
                <w:rFonts w:ascii="Arial" w:cs="Arial" w:eastAsia="Arial" w:hAnsi="Arial"/>
                <w:sz w:val="16"/>
                <w:szCs w:val="16"/>
                <w:color w:val="auto"/>
              </w:rPr>
              <w:t>8.00%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99,558</w:t>
            </w: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w w:val="93"/>
              </w:rPr>
              <w:t>104,535</w:t>
            </w:r>
          </w:p>
        </w:tc>
        <w:tc>
          <w:tcPr>
            <w:tcW w:w="74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314"/>
        </w:trPr>
        <w:tc>
          <w:tcPr>
            <w:tcW w:w="920" w:type="dxa"/>
            <w:vAlign w:val="bottom"/>
          </w:tcPr>
          <w:p>
            <w:pPr>
              <w:jc w:val="center"/>
              <w:ind w:right="200"/>
              <w:spacing w:after="0"/>
              <w:rPr>
                <w:sz w:val="20"/>
                <w:szCs w:val="20"/>
                <w:color w:val="auto"/>
              </w:rPr>
            </w:pPr>
            <w:r>
              <w:rPr>
                <w:rFonts w:ascii="Arial" w:cs="Arial" w:eastAsia="Arial" w:hAnsi="Arial"/>
                <w:sz w:val="16"/>
                <w:szCs w:val="16"/>
                <w:color w:val="auto"/>
                <w:w w:val="89"/>
              </w:rPr>
              <w:t>$ 133,896</w:t>
            </w:r>
          </w:p>
        </w:tc>
        <w:tc>
          <w:tcPr>
            <w:tcW w:w="660" w:type="dxa"/>
            <w:vAlign w:val="bottom"/>
          </w:tcPr>
          <w:p>
            <w:pPr>
              <w:jc w:val="right"/>
              <w:spacing w:after="0"/>
              <w:rPr>
                <w:sz w:val="20"/>
                <w:szCs w:val="20"/>
                <w:color w:val="auto"/>
              </w:rPr>
            </w:pPr>
            <w:r>
              <w:rPr>
                <w:rFonts w:ascii="Arial" w:cs="Arial" w:eastAsia="Arial" w:hAnsi="Arial"/>
                <w:sz w:val="16"/>
                <w:szCs w:val="16"/>
                <w:color w:val="auto"/>
              </w:rPr>
              <w:t>13.45%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59,735</w:t>
            </w:r>
          </w:p>
        </w:tc>
        <w:tc>
          <w:tcPr>
            <w:tcW w:w="780" w:type="dxa"/>
            <w:vAlign w:val="bottom"/>
          </w:tcPr>
          <w:p>
            <w:pPr>
              <w:jc w:val="right"/>
              <w:spacing w:after="0"/>
              <w:rPr>
                <w:sz w:val="20"/>
                <w:szCs w:val="20"/>
                <w:color w:val="auto"/>
              </w:rPr>
            </w:pPr>
            <w:r>
              <w:rPr>
                <w:rFonts w:ascii="Arial" w:cs="Arial" w:eastAsia="Arial" w:hAnsi="Arial"/>
                <w:sz w:val="16"/>
                <w:szCs w:val="16"/>
                <w:color w:val="auto"/>
              </w:rPr>
              <w:t>6.00%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79,646</w:t>
            </w:r>
          </w:p>
        </w:tc>
        <w:tc>
          <w:tcPr>
            <w:tcW w:w="800" w:type="dxa"/>
            <w:vAlign w:val="bottom"/>
          </w:tcPr>
          <w:p>
            <w:pPr>
              <w:jc w:val="right"/>
              <w:spacing w:after="0"/>
              <w:rPr>
                <w:sz w:val="20"/>
                <w:szCs w:val="20"/>
                <w:color w:val="auto"/>
              </w:rPr>
            </w:pPr>
            <w:r>
              <w:rPr>
                <w:rFonts w:ascii="Arial" w:cs="Arial" w:eastAsia="Arial" w:hAnsi="Arial"/>
                <w:sz w:val="16"/>
                <w:szCs w:val="16"/>
                <w:color w:val="auto"/>
              </w:rPr>
              <w:t>8.00%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84,624</w:t>
            </w:r>
          </w:p>
        </w:tc>
        <w:tc>
          <w:tcPr>
            <w:tcW w:w="74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494"/>
        </w:trPr>
        <w:tc>
          <w:tcPr>
            <w:tcW w:w="920" w:type="dxa"/>
            <w:vAlign w:val="bottom"/>
          </w:tcPr>
          <w:p>
            <w:pPr>
              <w:jc w:val="center"/>
              <w:ind w:right="200"/>
              <w:spacing w:after="0"/>
              <w:rPr>
                <w:sz w:val="20"/>
                <w:szCs w:val="20"/>
                <w:color w:val="auto"/>
              </w:rPr>
            </w:pPr>
            <w:r>
              <w:rPr>
                <w:rFonts w:ascii="Arial" w:cs="Arial" w:eastAsia="Arial" w:hAnsi="Arial"/>
                <w:sz w:val="16"/>
                <w:szCs w:val="16"/>
                <w:color w:val="auto"/>
                <w:w w:val="89"/>
              </w:rPr>
              <w:t>$ 133,896</w:t>
            </w:r>
          </w:p>
        </w:tc>
        <w:tc>
          <w:tcPr>
            <w:tcW w:w="660" w:type="dxa"/>
            <w:vAlign w:val="bottom"/>
          </w:tcPr>
          <w:p>
            <w:pPr>
              <w:jc w:val="right"/>
              <w:spacing w:after="0"/>
              <w:rPr>
                <w:sz w:val="20"/>
                <w:szCs w:val="20"/>
                <w:color w:val="auto"/>
              </w:rPr>
            </w:pPr>
            <w:r>
              <w:rPr>
                <w:rFonts w:ascii="Arial" w:cs="Arial" w:eastAsia="Arial" w:hAnsi="Arial"/>
                <w:sz w:val="16"/>
                <w:szCs w:val="16"/>
                <w:color w:val="auto"/>
              </w:rPr>
              <w:t>13.45%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44,801</w:t>
            </w:r>
          </w:p>
        </w:tc>
        <w:tc>
          <w:tcPr>
            <w:tcW w:w="780" w:type="dxa"/>
            <w:vAlign w:val="bottom"/>
          </w:tcPr>
          <w:p>
            <w:pPr>
              <w:jc w:val="right"/>
              <w:spacing w:after="0"/>
              <w:rPr>
                <w:sz w:val="20"/>
                <w:szCs w:val="20"/>
                <w:color w:val="auto"/>
              </w:rPr>
            </w:pPr>
            <w:r>
              <w:rPr>
                <w:rFonts w:ascii="Arial" w:cs="Arial" w:eastAsia="Arial" w:hAnsi="Arial"/>
                <w:sz w:val="16"/>
                <w:szCs w:val="16"/>
                <w:color w:val="auto"/>
              </w:rPr>
              <w:t>4.50%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64,712</w:t>
            </w:r>
          </w:p>
        </w:tc>
        <w:tc>
          <w:tcPr>
            <w:tcW w:w="800" w:type="dxa"/>
            <w:vAlign w:val="bottom"/>
          </w:tcPr>
          <w:p>
            <w:pPr>
              <w:jc w:val="right"/>
              <w:spacing w:after="0"/>
              <w:rPr>
                <w:sz w:val="20"/>
                <w:szCs w:val="20"/>
                <w:color w:val="auto"/>
              </w:rPr>
            </w:pPr>
            <w:r>
              <w:rPr>
                <w:rFonts w:ascii="Arial" w:cs="Arial" w:eastAsia="Arial" w:hAnsi="Arial"/>
                <w:sz w:val="16"/>
                <w:szCs w:val="16"/>
                <w:color w:val="auto"/>
              </w:rPr>
              <w:t>6.50%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69,690</w:t>
            </w:r>
          </w:p>
        </w:tc>
        <w:tc>
          <w:tcPr>
            <w:tcW w:w="7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314"/>
        </w:trPr>
        <w:tc>
          <w:tcPr>
            <w:tcW w:w="920" w:type="dxa"/>
            <w:vAlign w:val="bottom"/>
          </w:tcPr>
          <w:p>
            <w:pPr>
              <w:jc w:val="center"/>
              <w:ind w:right="200"/>
              <w:spacing w:after="0"/>
              <w:rPr>
                <w:sz w:val="20"/>
                <w:szCs w:val="20"/>
                <w:color w:val="auto"/>
              </w:rPr>
            </w:pPr>
            <w:r>
              <w:rPr>
                <w:rFonts w:ascii="Arial" w:cs="Arial" w:eastAsia="Arial" w:hAnsi="Arial"/>
                <w:sz w:val="16"/>
                <w:szCs w:val="16"/>
                <w:color w:val="auto"/>
                <w:w w:val="89"/>
              </w:rPr>
              <w:t>$ 133,896</w:t>
            </w:r>
          </w:p>
        </w:tc>
        <w:tc>
          <w:tcPr>
            <w:tcW w:w="660" w:type="dxa"/>
            <w:vAlign w:val="bottom"/>
          </w:tcPr>
          <w:p>
            <w:pPr>
              <w:jc w:val="right"/>
              <w:spacing w:after="0"/>
              <w:rPr>
                <w:sz w:val="20"/>
                <w:szCs w:val="20"/>
                <w:color w:val="auto"/>
              </w:rPr>
            </w:pPr>
            <w:r>
              <w:rPr>
                <w:rFonts w:ascii="Arial" w:cs="Arial" w:eastAsia="Arial" w:hAnsi="Arial"/>
                <w:sz w:val="16"/>
                <w:szCs w:val="16"/>
                <w:color w:val="auto"/>
              </w:rPr>
              <w:t>9.41%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56,927</w:t>
            </w:r>
          </w:p>
        </w:tc>
        <w:tc>
          <w:tcPr>
            <w:tcW w:w="780" w:type="dxa"/>
            <w:vAlign w:val="bottom"/>
          </w:tcPr>
          <w:p>
            <w:pPr>
              <w:jc w:val="right"/>
              <w:spacing w:after="0"/>
              <w:rPr>
                <w:sz w:val="20"/>
                <w:szCs w:val="20"/>
                <w:color w:val="auto"/>
              </w:rPr>
            </w:pPr>
            <w:r>
              <w:rPr>
                <w:rFonts w:ascii="Arial" w:cs="Arial" w:eastAsia="Arial" w:hAnsi="Arial"/>
                <w:sz w:val="16"/>
                <w:szCs w:val="16"/>
                <w:color w:val="auto"/>
              </w:rPr>
              <w:t>4.00%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71,159</w:t>
            </w:r>
          </w:p>
        </w:tc>
        <w:tc>
          <w:tcPr>
            <w:tcW w:w="800" w:type="dxa"/>
            <w:vAlign w:val="bottom"/>
          </w:tcPr>
          <w:p>
            <w:pPr>
              <w:jc w:val="right"/>
              <w:spacing w:after="0"/>
              <w:rPr>
                <w:sz w:val="20"/>
                <w:szCs w:val="20"/>
                <w:color w:val="auto"/>
              </w:rPr>
            </w:pPr>
            <w:r>
              <w:rPr>
                <w:rFonts w:ascii="Arial" w:cs="Arial" w:eastAsia="Arial" w:hAnsi="Arial"/>
                <w:sz w:val="16"/>
                <w:szCs w:val="16"/>
                <w:color w:val="auto"/>
              </w:rPr>
              <w:t>5.00%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71,159</w:t>
            </w:r>
          </w:p>
        </w:tc>
        <w:tc>
          <w:tcPr>
            <w:tcW w:w="7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579"/>
        </w:trPr>
        <w:tc>
          <w:tcPr>
            <w:tcW w:w="920" w:type="dxa"/>
            <w:vAlign w:val="bottom"/>
          </w:tcPr>
          <w:p>
            <w:pPr>
              <w:jc w:val="center"/>
              <w:ind w:right="200"/>
              <w:spacing w:after="0"/>
              <w:rPr>
                <w:sz w:val="20"/>
                <w:szCs w:val="20"/>
                <w:color w:val="auto"/>
              </w:rPr>
            </w:pPr>
            <w:r>
              <w:rPr>
                <w:rFonts w:ascii="Arial" w:cs="Arial" w:eastAsia="Arial" w:hAnsi="Arial"/>
                <w:sz w:val="16"/>
                <w:szCs w:val="16"/>
                <w:color w:val="auto"/>
                <w:w w:val="89"/>
              </w:rPr>
              <w:t>$ 151,747</w:t>
            </w:r>
          </w:p>
        </w:tc>
        <w:tc>
          <w:tcPr>
            <w:tcW w:w="660" w:type="dxa"/>
            <w:vAlign w:val="bottom"/>
          </w:tcPr>
          <w:p>
            <w:pPr>
              <w:jc w:val="right"/>
              <w:spacing w:after="0"/>
              <w:rPr>
                <w:sz w:val="20"/>
                <w:szCs w:val="20"/>
                <w:color w:val="auto"/>
              </w:rPr>
            </w:pPr>
            <w:r>
              <w:rPr>
                <w:rFonts w:ascii="Arial" w:cs="Arial" w:eastAsia="Arial" w:hAnsi="Arial"/>
                <w:sz w:val="16"/>
                <w:szCs w:val="16"/>
                <w:color w:val="auto"/>
              </w:rPr>
              <w:t>14.65%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82,845</w:t>
            </w:r>
          </w:p>
        </w:tc>
        <w:tc>
          <w:tcPr>
            <w:tcW w:w="780" w:type="dxa"/>
            <w:vAlign w:val="bottom"/>
          </w:tcPr>
          <w:p>
            <w:pPr>
              <w:jc w:val="right"/>
              <w:spacing w:after="0"/>
              <w:rPr>
                <w:sz w:val="20"/>
                <w:szCs w:val="20"/>
                <w:color w:val="auto"/>
              </w:rPr>
            </w:pPr>
            <w:r>
              <w:rPr>
                <w:rFonts w:ascii="Arial" w:cs="Arial" w:eastAsia="Arial" w:hAnsi="Arial"/>
                <w:sz w:val="16"/>
                <w:szCs w:val="16"/>
                <w:color w:val="auto"/>
              </w:rPr>
              <w:t>8.00%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w w:val="93"/>
              </w:rPr>
              <w:t>103,556</w:t>
            </w: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w w:val="93"/>
              </w:rPr>
              <w:t>108,733</w:t>
            </w:r>
          </w:p>
        </w:tc>
        <w:tc>
          <w:tcPr>
            <w:tcW w:w="74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314"/>
        </w:trPr>
        <w:tc>
          <w:tcPr>
            <w:tcW w:w="920" w:type="dxa"/>
            <w:vAlign w:val="bottom"/>
          </w:tcPr>
          <w:p>
            <w:pPr>
              <w:jc w:val="center"/>
              <w:ind w:right="200"/>
              <w:spacing w:after="0"/>
              <w:rPr>
                <w:sz w:val="20"/>
                <w:szCs w:val="20"/>
                <w:color w:val="auto"/>
              </w:rPr>
            </w:pPr>
            <w:r>
              <w:rPr>
                <w:rFonts w:ascii="Arial" w:cs="Arial" w:eastAsia="Arial" w:hAnsi="Arial"/>
                <w:sz w:val="16"/>
                <w:szCs w:val="16"/>
                <w:color w:val="auto"/>
                <w:w w:val="89"/>
              </w:rPr>
              <w:t>$ 138,740</w:t>
            </w:r>
          </w:p>
        </w:tc>
        <w:tc>
          <w:tcPr>
            <w:tcW w:w="660" w:type="dxa"/>
            <w:vAlign w:val="bottom"/>
          </w:tcPr>
          <w:p>
            <w:pPr>
              <w:jc w:val="right"/>
              <w:spacing w:after="0"/>
              <w:rPr>
                <w:sz w:val="20"/>
                <w:szCs w:val="20"/>
                <w:color w:val="auto"/>
              </w:rPr>
            </w:pPr>
            <w:r>
              <w:rPr>
                <w:rFonts w:ascii="Arial" w:cs="Arial" w:eastAsia="Arial" w:hAnsi="Arial"/>
                <w:sz w:val="16"/>
                <w:szCs w:val="16"/>
                <w:color w:val="auto"/>
              </w:rPr>
              <w:t>13.40%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62,133</w:t>
            </w:r>
          </w:p>
        </w:tc>
        <w:tc>
          <w:tcPr>
            <w:tcW w:w="780" w:type="dxa"/>
            <w:vAlign w:val="bottom"/>
          </w:tcPr>
          <w:p>
            <w:pPr>
              <w:jc w:val="right"/>
              <w:spacing w:after="0"/>
              <w:rPr>
                <w:sz w:val="20"/>
                <w:szCs w:val="20"/>
                <w:color w:val="auto"/>
              </w:rPr>
            </w:pPr>
            <w:r>
              <w:rPr>
                <w:rFonts w:ascii="Arial" w:cs="Arial" w:eastAsia="Arial" w:hAnsi="Arial"/>
                <w:sz w:val="16"/>
                <w:szCs w:val="16"/>
                <w:color w:val="auto"/>
              </w:rPr>
              <w:t>6.00%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82,845</w:t>
            </w:r>
          </w:p>
        </w:tc>
        <w:tc>
          <w:tcPr>
            <w:tcW w:w="800" w:type="dxa"/>
            <w:vAlign w:val="bottom"/>
          </w:tcPr>
          <w:p>
            <w:pPr>
              <w:jc w:val="right"/>
              <w:spacing w:after="0"/>
              <w:rPr>
                <w:sz w:val="20"/>
                <w:szCs w:val="20"/>
                <w:color w:val="auto"/>
              </w:rPr>
            </w:pPr>
            <w:r>
              <w:rPr>
                <w:rFonts w:ascii="Arial" w:cs="Arial" w:eastAsia="Arial" w:hAnsi="Arial"/>
                <w:sz w:val="16"/>
                <w:szCs w:val="16"/>
                <w:color w:val="auto"/>
              </w:rPr>
              <w:t>8.00%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88,022</w:t>
            </w:r>
          </w:p>
        </w:tc>
        <w:tc>
          <w:tcPr>
            <w:tcW w:w="740" w:type="dxa"/>
            <w:vAlign w:val="bottom"/>
          </w:tcPr>
          <w:p>
            <w:pPr>
              <w:jc w:val="right"/>
              <w:spacing w:after="0"/>
              <w:rPr>
                <w:sz w:val="20"/>
                <w:szCs w:val="20"/>
                <w:color w:val="auto"/>
              </w:rPr>
            </w:pPr>
            <w:r>
              <w:rPr>
                <w:rFonts w:ascii="Arial" w:cs="Arial" w:eastAsia="Arial" w:hAnsi="Arial"/>
                <w:sz w:val="16"/>
                <w:szCs w:val="16"/>
                <w:color w:val="auto"/>
              </w:rPr>
              <w:t>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-1795145</wp:posOffset>
            </wp:positionV>
            <wp:extent cx="5967730" cy="161607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967730" cy="161607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-1795145</wp:posOffset>
            </wp:positionV>
            <wp:extent cx="5967730" cy="161607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967730" cy="1616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6" w:space="320"/>
            <w:col w:w="6440"/>
          </w:cols>
          <w:pgMar w:left="1254" w:top="1440" w:right="1246" w:bottom="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13 / 24</w:t>
      </w:r>
    </w:p>
    <w:p>
      <w:pPr>
        <w:sectPr>
          <w:pgSz w:w="11900" w:h="16838" w:orient="portrait"/>
          <w:cols w:equalWidth="0" w:num="1">
            <w:col w:w="9406"/>
          </w:cols>
          <w:pgMar w:left="1254" w:top="1440" w:right="1246" w:bottom="0" w:gutter="0" w:footer="0" w:header="0"/>
          <w:type w:val="continuous"/>
        </w:sectPr>
      </w:pPr>
    </w:p>
    <w:bookmarkStart w:id="231" w:name="page232"/>
    <w:bookmarkEnd w:id="231"/>
    <w:tbl>
      <w:tblPr>
        <w:tblLayout w:type="fixed"/>
        <w:tblInd w:w="0" w:type="dxa"/>
        <w:tblCellMar>
          <w:top w:w="0" w:type="dxa"/>
          <w:left w:w="0" w:type="dxa"/>
          <w:bottom w:w="0" w:type="dxa"/>
          <w:right w:w="0" w:type="dxa"/>
        </w:tblCellMar>
      </w:tblPr>
      <w:tr>
        <w:trPr>
          <w:trHeight w:val="222"/>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Common Equity Tier 1 (to risk-weighted</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52"/>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$ 138,740</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13.40%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98"/>
              </w:rPr>
              <w:t>46,600</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w w:val="98"/>
              </w:rPr>
              <w:t>67,311</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6.50%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rPr>
              <w:t>72,489</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7.00%</w:t>
            </w:r>
          </w:p>
        </w:tc>
      </w:tr>
      <w:tr>
        <w:trPr>
          <w:trHeight w:val="282"/>
        </w:trPr>
        <w:tc>
          <w:tcPr>
            <w:tcW w:w="2800" w:type="dxa"/>
            <w:vAlign w:val="bottom"/>
          </w:tcPr>
          <w:p>
            <w:pPr>
              <w:ind w:left="20"/>
              <w:spacing w:after="0"/>
              <w:rPr>
                <w:sz w:val="20"/>
                <w:szCs w:val="20"/>
                <w:color w:val="auto"/>
              </w:rPr>
            </w:pPr>
            <w:r>
              <w:rPr>
                <w:rFonts w:ascii="Arial" w:cs="Arial" w:eastAsia="Arial" w:hAnsi="Arial"/>
                <w:sz w:val="16"/>
                <w:szCs w:val="16"/>
                <w:color w:val="auto"/>
              </w:rPr>
              <w:t>Tier 1 Capital (to average assets)</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$ 138,740</w:t>
            </w:r>
          </w:p>
        </w:tc>
        <w:tc>
          <w:tcPr>
            <w:tcW w:w="760" w:type="dxa"/>
            <w:vAlign w:val="bottom"/>
          </w:tcPr>
          <w:p>
            <w:pPr>
              <w:jc w:val="right"/>
              <w:spacing w:after="0"/>
              <w:rPr>
                <w:sz w:val="20"/>
                <w:szCs w:val="20"/>
                <w:color w:val="auto"/>
              </w:rPr>
            </w:pPr>
            <w:r>
              <w:rPr>
                <w:rFonts w:ascii="Arial" w:cs="Arial" w:eastAsia="Arial" w:hAnsi="Arial"/>
                <w:sz w:val="16"/>
                <w:szCs w:val="16"/>
                <w:color w:val="auto"/>
              </w:rPr>
              <w:t>9.64%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60"/>
              <w:spacing w:after="0"/>
              <w:rPr>
                <w:sz w:val="20"/>
                <w:szCs w:val="20"/>
                <w:color w:val="auto"/>
              </w:rPr>
            </w:pPr>
            <w:r>
              <w:rPr>
                <w:rFonts w:ascii="Arial" w:cs="Arial" w:eastAsia="Arial" w:hAnsi="Arial"/>
                <w:sz w:val="16"/>
                <w:szCs w:val="16"/>
                <w:color w:val="auto"/>
                <w:w w:val="98"/>
              </w:rPr>
              <w:t>41,422</w:t>
            </w:r>
          </w:p>
        </w:tc>
        <w:tc>
          <w:tcPr>
            <w:tcW w:w="700" w:type="dxa"/>
            <w:vAlign w:val="bottom"/>
          </w:tcPr>
          <w:p>
            <w:pPr>
              <w:jc w:val="right"/>
              <w:spacing w:after="0"/>
              <w:rPr>
                <w:sz w:val="20"/>
                <w:szCs w:val="20"/>
                <w:color w:val="auto"/>
              </w:rPr>
            </w:pPr>
            <w:r>
              <w:rPr>
                <w:rFonts w:ascii="Arial" w:cs="Arial" w:eastAsia="Arial" w:hAnsi="Arial"/>
                <w:sz w:val="16"/>
                <w:szCs w:val="16"/>
                <w:color w:val="auto"/>
              </w:rPr>
              <w:t>4.00%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w w:val="98"/>
              </w:rPr>
              <w:t>51,778</w:t>
            </w:r>
          </w:p>
        </w:tc>
        <w:tc>
          <w:tcPr>
            <w:tcW w:w="720" w:type="dxa"/>
            <w:vAlign w:val="bottom"/>
          </w:tcPr>
          <w:p>
            <w:pPr>
              <w:jc w:val="right"/>
              <w:spacing w:after="0"/>
              <w:rPr>
                <w:sz w:val="20"/>
                <w:szCs w:val="20"/>
                <w:color w:val="auto"/>
              </w:rPr>
            </w:pPr>
            <w:r>
              <w:rPr>
                <w:rFonts w:ascii="Arial" w:cs="Arial" w:eastAsia="Arial" w:hAnsi="Arial"/>
                <w:sz w:val="16"/>
                <w:szCs w:val="16"/>
                <w:color w:val="auto"/>
              </w:rPr>
              <w:t>5.00%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71,960</w:t>
            </w:r>
          </w:p>
        </w:tc>
        <w:tc>
          <w:tcPr>
            <w:tcW w:w="680" w:type="dxa"/>
            <w:vAlign w:val="bottom"/>
          </w:tcPr>
          <w:p>
            <w:pPr>
              <w:jc w:val="right"/>
              <w:spacing w:after="0"/>
              <w:rPr>
                <w:sz w:val="20"/>
                <w:szCs w:val="20"/>
                <w:color w:val="auto"/>
              </w:rPr>
            </w:pPr>
            <w:r>
              <w:rPr>
                <w:rFonts w:ascii="Arial" w:cs="Arial" w:eastAsia="Arial" w:hAnsi="Arial"/>
                <w:sz w:val="16"/>
                <w:szCs w:val="16"/>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01" w:lineRule="exact"/>
        <w:rPr>
          <w:sz w:val="20"/>
          <w:szCs w:val="20"/>
          <w:color w:val="auto"/>
        </w:rPr>
      </w:pPr>
    </w:p>
    <w:p>
      <w:pPr>
        <w:jc w:val="both"/>
        <w:ind w:right="60"/>
        <w:spacing w:after="0" w:line="351" w:lineRule="auto"/>
        <w:rPr>
          <w:sz w:val="20"/>
          <w:szCs w:val="20"/>
          <w:color w:val="auto"/>
        </w:rPr>
      </w:pPr>
      <w:r>
        <w:rPr>
          <w:rFonts w:ascii="Arial" w:cs="Arial" w:eastAsia="Arial" w:hAnsi="Arial"/>
          <w:sz w:val="18"/>
          <w:szCs w:val="18"/>
          <w:color w:val="auto"/>
        </w:rPr>
        <w:t>The Company’s goal is to maintain a strong capital position, consistent with the risk profile of its subsidiary bank that supports growth and expansion activities while at the same time exceeding regulatory standards. At December 31, 2025, the Bank exceeded all regulatory required minimum capital ratios and met the regulatory definition of a “well-capitalized” institution, i.e. a total risk-based capital ratio exceeding 10%, a Tier 1 risk-based capital ratio exceeding 8%, CET1 risk-based capital ratio exceeding 6.5%, and a leverage ratio exceeding 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24</w:t>
      </w:r>
    </w:p>
    <w:p>
      <w:pPr>
        <w:sectPr>
          <w:pgSz w:w="11900" w:h="16838" w:orient="portrait"/>
          <w:cols w:equalWidth="0" w:num="1">
            <w:col w:w="9400"/>
          </w:cols>
          <w:pgMar w:left="1260" w:top="1133" w:right="1246" w:bottom="0" w:gutter="0" w:footer="0" w:header="0"/>
          <w:type w:val="continuous"/>
        </w:sectPr>
      </w:pPr>
    </w:p>
    <w:bookmarkStart w:id="232" w:name="page233"/>
    <w:bookmarkEnd w:id="2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INTEREST RATE DERIVATIVES</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generally entered into with counterparties that meet established credit standards and the agreements contain master netting, collateral and/or settlement and escrow provisions protecting the at-risk party. Based on adherence to the Company’s credit standards and the presence of the netting, collateral or settlement provisions, the Company believes that the credit risk inherent in these contracts was not material at December 31, 2025. Interest rate hedging agreements are recorded at fair value as other assets or liabilities on the accompanying Consolidated Statements of Condition. The Company had no material derivative contracts not designated as hedging agreements at December 31, 2025 or 2024.</w:t>
      </w:r>
    </w:p>
    <w:p>
      <w:pPr>
        <w:spacing w:after="0" w:line="126"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As a result of interest rate fluctuations, fixed-rate assets and liabilities will appreciate or depreciate in fair value. When effectively hedged, this appreciation or depreciation will generally be offset by changes in the fair value of derivative instruments that are linked to the hedged assets and liabilities. This strategy is referred to as a fair value hedge. In a fair value hedge, the fair value of the derivative (the interest rate hedging agreement) and changes in the fair value of the hedged item are recorded in the Company’s Consolidated Statements of Condition with the corresponding gain or loss recognized in current earnings. The difference between changes in the fair value of the interest rate hedging agreements and the hedged items represents hedge ineffectiveness and is recorded as an adjustment to the interest income or interest expense of the respective hedged item in the current period.</w:t>
      </w:r>
    </w:p>
    <w:p>
      <w:pPr>
        <w:spacing w:after="0" w:line="105"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a cash flow hedge.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recorded as an adjustment to the interest income or interest expense of the respective hedged item in the current period.</w:t>
      </w:r>
    </w:p>
    <w:p>
      <w:pPr>
        <w:spacing w:after="0" w:line="107"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strategies. Interest rate swaps involve the receipt of variable (or fixed) amounts from a counterparty in exchange for the Company making fixed (or variable)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rise in interest rates above the strike price.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24</w:t>
      </w:r>
    </w:p>
    <w:p>
      <w:pPr>
        <w:sectPr>
          <w:pgSz w:w="11900" w:h="16838" w:orient="portrait"/>
          <w:cols w:equalWidth="0" w:num="1">
            <w:col w:w="9380"/>
          </w:cols>
          <w:pgMar w:left="1260" w:top="1440" w:right="1266" w:bottom="0" w:gutter="0" w:footer="0" w:header="0"/>
          <w:type w:val="continuous"/>
        </w:sectPr>
      </w:pPr>
    </w:p>
    <w:bookmarkStart w:id="233" w:name="page234"/>
    <w:bookmarkEnd w:id="233"/>
    <w:p>
      <w:pPr>
        <w:ind w:right="80"/>
        <w:spacing w:after="0" w:line="347" w:lineRule="auto"/>
        <w:rPr>
          <w:sz w:val="20"/>
          <w:szCs w:val="20"/>
          <w:color w:val="auto"/>
        </w:rPr>
      </w:pPr>
      <w:r>
        <w:rPr>
          <w:rFonts w:ascii="Arial" w:cs="Arial" w:eastAsia="Arial" w:hAnsi="Arial"/>
          <w:sz w:val="18"/>
          <w:szCs w:val="18"/>
          <w:color w:val="auto"/>
        </w:rPr>
        <w:t>The Company records various hedges in the Consolidated Statements of Condition at fair value. The Company’s accounting treatment for these derivative instruments is based on the instruments' hedge designation determined at</w:t>
      </w:r>
    </w:p>
    <w:p>
      <w:pPr>
        <w:spacing w:after="0"/>
        <w:tabs>
          <w:tab w:leader="none" w:pos="820" w:val="left"/>
          <w:tab w:leader="none" w:pos="2160" w:val="left"/>
          <w:tab w:leader="none" w:pos="2920" w:val="left"/>
          <w:tab w:leader="none" w:pos="3900" w:val="left"/>
          <w:tab w:leader="none" w:pos="5300" w:val="left"/>
          <w:tab w:leader="none" w:pos="6860" w:val="left"/>
          <w:tab w:leader="none" w:pos="8360" w:val="left"/>
        </w:tabs>
        <w:rPr>
          <w:sz w:val="20"/>
          <w:szCs w:val="20"/>
          <w:color w:val="auto"/>
        </w:rPr>
      </w:pP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inception</w:t>
      </w:r>
      <w:r>
        <w:rPr>
          <w:sz w:val="20"/>
          <w:szCs w:val="20"/>
          <w:color w:val="auto"/>
        </w:rPr>
        <w:tab/>
      </w: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each</w:t>
      </w:r>
      <w:r>
        <w:rPr>
          <w:sz w:val="20"/>
          <w:szCs w:val="20"/>
          <w:color w:val="auto"/>
        </w:rPr>
        <w:tab/>
      </w:r>
      <w:r>
        <w:rPr>
          <w:rFonts w:ascii="Arial" w:cs="Arial" w:eastAsia="Arial" w:hAnsi="Arial"/>
          <w:sz w:val="20"/>
          <w:szCs w:val="20"/>
          <w:color w:val="auto"/>
        </w:rPr>
        <w:t>derivative</w:t>
      </w:r>
      <w:r>
        <w:rPr>
          <w:sz w:val="20"/>
          <w:szCs w:val="20"/>
          <w:color w:val="auto"/>
        </w:rPr>
        <w:tab/>
      </w:r>
      <w:r>
        <w:rPr>
          <w:rFonts w:ascii="Arial" w:cs="Arial" w:eastAsia="Arial" w:hAnsi="Arial"/>
          <w:sz w:val="20"/>
          <w:szCs w:val="20"/>
          <w:color w:val="auto"/>
        </w:rPr>
        <w:t>instrument's</w:t>
      </w:r>
      <w:r>
        <w:rPr>
          <w:sz w:val="20"/>
          <w:szCs w:val="20"/>
          <w:color w:val="auto"/>
        </w:rPr>
        <w:tab/>
      </w:r>
      <w:r>
        <w:rPr>
          <w:rFonts w:ascii="Arial" w:cs="Arial" w:eastAsia="Arial" w:hAnsi="Arial"/>
          <w:sz w:val="20"/>
          <w:szCs w:val="20"/>
          <w:color w:val="auto"/>
        </w:rPr>
        <w:t>contractual</w:t>
      </w:r>
      <w:r>
        <w:rPr>
          <w:sz w:val="20"/>
          <w:szCs w:val="20"/>
          <w:color w:val="auto"/>
        </w:rPr>
        <w:tab/>
      </w:r>
      <w:r>
        <w:rPr>
          <w:rFonts w:ascii="Arial" w:cs="Arial" w:eastAsia="Arial" w:hAnsi="Arial"/>
          <w:sz w:val="18"/>
          <w:szCs w:val="18"/>
          <w:color w:val="auto"/>
        </w:rPr>
        <w:t>term.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show the Company’s outstanding fair value hedges at December 31, 2025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center"/>
              <w:ind w:right="180"/>
              <w:spacing w:after="0"/>
              <w:rPr>
                <w:sz w:val="20"/>
                <w:szCs w:val="20"/>
                <w:color w:val="auto"/>
              </w:rPr>
            </w:pPr>
            <w:r>
              <w:rPr>
                <w:rFonts w:ascii="Arial" w:cs="Arial" w:eastAsia="Arial" w:hAnsi="Arial"/>
                <w:sz w:val="20"/>
                <w:szCs w:val="20"/>
                <w:color w:val="auto"/>
                <w:w w:val="91"/>
              </w:rPr>
              <w:t>Cumulative</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color w:val="auto"/>
                <w:w w:val="91"/>
              </w:rPr>
              <w:t>Cumulative</w:t>
            </w:r>
          </w:p>
        </w:tc>
      </w:tr>
      <w:tr>
        <w:trPr>
          <w:trHeight w:val="300"/>
        </w:trPr>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center"/>
              <w:ind w:right="180"/>
              <w:spacing w:after="0"/>
              <w:rPr>
                <w:sz w:val="20"/>
                <w:szCs w:val="20"/>
                <w:color w:val="auto"/>
              </w:rPr>
            </w:pPr>
            <w:r>
              <w:rPr>
                <w:rFonts w:ascii="Arial" w:cs="Arial" w:eastAsia="Arial" w:hAnsi="Arial"/>
                <w:sz w:val="20"/>
                <w:szCs w:val="20"/>
                <w:color w:val="auto"/>
                <w:w w:val="94"/>
              </w:rPr>
              <w:t>Amount of Fair</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color w:val="auto"/>
                <w:w w:val="94"/>
              </w:rPr>
              <w:t>Amount of Fair</w:t>
            </w:r>
          </w:p>
        </w:tc>
      </w:tr>
      <w:tr>
        <w:trPr>
          <w:trHeight w:val="300"/>
        </w:trPr>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center"/>
              <w:ind w:right="200"/>
              <w:spacing w:after="0"/>
              <w:rPr>
                <w:sz w:val="20"/>
                <w:szCs w:val="20"/>
                <w:color w:val="auto"/>
              </w:rPr>
            </w:pPr>
            <w:r>
              <w:rPr>
                <w:rFonts w:ascii="Arial" w:cs="Arial" w:eastAsia="Arial" w:hAnsi="Arial"/>
                <w:sz w:val="20"/>
                <w:szCs w:val="20"/>
                <w:color w:val="auto"/>
                <w:w w:val="92"/>
              </w:rPr>
              <w:t>Value Hedging</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color w:val="auto"/>
                <w:w w:val="91"/>
              </w:rPr>
              <w:t>Value Hedging</w:t>
            </w:r>
          </w:p>
        </w:tc>
      </w:tr>
      <w:tr>
        <w:trPr>
          <w:trHeight w:val="300"/>
        </w:trPr>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center"/>
              <w:ind w:right="140"/>
              <w:spacing w:after="0"/>
              <w:rPr>
                <w:sz w:val="20"/>
                <w:szCs w:val="20"/>
                <w:color w:val="auto"/>
              </w:rPr>
            </w:pPr>
            <w:r>
              <w:rPr>
                <w:rFonts w:ascii="Arial" w:cs="Arial" w:eastAsia="Arial" w:hAnsi="Arial"/>
                <w:sz w:val="20"/>
                <w:szCs w:val="20"/>
                <w:color w:val="auto"/>
                <w:w w:val="90"/>
              </w:rPr>
              <w:t>Hedge-Adjusted</w:t>
            </w:r>
          </w:p>
        </w:tc>
        <w:tc>
          <w:tcPr>
            <w:tcW w:w="240" w:type="dxa"/>
            <w:vAlign w:val="bottom"/>
          </w:tcPr>
          <w:p>
            <w:pPr>
              <w:spacing w:after="0"/>
              <w:rPr>
                <w:sz w:val="24"/>
                <w:szCs w:val="24"/>
                <w:color w:val="auto"/>
              </w:rPr>
            </w:pPr>
          </w:p>
        </w:tc>
        <w:tc>
          <w:tcPr>
            <w:tcW w:w="1560" w:type="dxa"/>
            <w:vAlign w:val="bottom"/>
          </w:tcPr>
          <w:p>
            <w:pPr>
              <w:jc w:val="center"/>
              <w:ind w:right="180"/>
              <w:spacing w:after="0"/>
              <w:rPr>
                <w:sz w:val="20"/>
                <w:szCs w:val="20"/>
                <w:color w:val="auto"/>
              </w:rPr>
            </w:pPr>
            <w:r>
              <w:rPr>
                <w:rFonts w:ascii="Arial" w:cs="Arial" w:eastAsia="Arial" w:hAnsi="Arial"/>
                <w:sz w:val="20"/>
                <w:szCs w:val="20"/>
                <w:color w:val="auto"/>
                <w:w w:val="91"/>
              </w:rPr>
              <w:t>Adjustment</w:t>
            </w:r>
          </w:p>
        </w:tc>
        <w:tc>
          <w:tcPr>
            <w:tcW w:w="220" w:type="dxa"/>
            <w:vAlign w:val="bottom"/>
          </w:tcPr>
          <w:p>
            <w:pPr>
              <w:spacing w:after="0"/>
              <w:rPr>
                <w:sz w:val="24"/>
                <w:szCs w:val="24"/>
                <w:color w:val="auto"/>
              </w:rPr>
            </w:pPr>
          </w:p>
        </w:tc>
        <w:tc>
          <w:tcPr>
            <w:tcW w:w="1560" w:type="dxa"/>
            <w:vAlign w:val="bottom"/>
          </w:tcPr>
          <w:p>
            <w:pPr>
              <w:jc w:val="center"/>
              <w:ind w:right="160"/>
              <w:spacing w:after="0"/>
              <w:rPr>
                <w:sz w:val="20"/>
                <w:szCs w:val="20"/>
                <w:color w:val="auto"/>
              </w:rPr>
            </w:pPr>
            <w:r>
              <w:rPr>
                <w:rFonts w:ascii="Arial" w:cs="Arial" w:eastAsia="Arial" w:hAnsi="Arial"/>
                <w:sz w:val="20"/>
                <w:szCs w:val="20"/>
                <w:color w:val="auto"/>
                <w:w w:val="90"/>
              </w:rPr>
              <w:t>Hedge-Adjusted</w:t>
            </w:r>
          </w:p>
        </w:tc>
        <w:tc>
          <w:tcPr>
            <w:tcW w:w="22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color w:val="auto"/>
                <w:w w:val="91"/>
              </w:rPr>
              <w:t>Adjustment</w:t>
            </w:r>
          </w:p>
        </w:tc>
      </w:tr>
      <w:tr>
        <w:trPr>
          <w:trHeight w:val="300"/>
        </w:trPr>
        <w:tc>
          <w:tcPr>
            <w:tcW w:w="1960" w:type="dxa"/>
            <w:vAlign w:val="bottom"/>
          </w:tcPr>
          <w:p>
            <w:pPr>
              <w:spacing w:after="0"/>
              <w:rPr>
                <w:sz w:val="24"/>
                <w:szCs w:val="24"/>
                <w:color w:val="auto"/>
              </w:rPr>
            </w:pPr>
          </w:p>
        </w:tc>
        <w:tc>
          <w:tcPr>
            <w:tcW w:w="2060" w:type="dxa"/>
            <w:vAlign w:val="bottom"/>
            <w:gridSpan w:val="2"/>
          </w:tcPr>
          <w:p>
            <w:pPr>
              <w:jc w:val="center"/>
              <w:ind w:left="140"/>
              <w:spacing w:after="0"/>
              <w:rPr>
                <w:sz w:val="20"/>
                <w:szCs w:val="20"/>
                <w:color w:val="auto"/>
              </w:rPr>
            </w:pPr>
            <w:r>
              <w:rPr>
                <w:rFonts w:ascii="Arial" w:cs="Arial" w:eastAsia="Arial" w:hAnsi="Arial"/>
                <w:sz w:val="20"/>
                <w:szCs w:val="20"/>
                <w:color w:val="auto"/>
                <w:w w:val="94"/>
              </w:rPr>
              <w:t>Carrying Amount</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9"/>
              </w:rPr>
              <w:t>Subtracted/(Added)</w:t>
            </w:r>
          </w:p>
        </w:tc>
        <w:tc>
          <w:tcPr>
            <w:tcW w:w="1780" w:type="dxa"/>
            <w:vAlign w:val="bottom"/>
            <w:gridSpan w:val="2"/>
          </w:tcPr>
          <w:p>
            <w:pPr>
              <w:jc w:val="center"/>
              <w:spacing w:after="0"/>
              <w:rPr>
                <w:sz w:val="20"/>
                <w:szCs w:val="20"/>
                <w:color w:val="auto"/>
              </w:rPr>
            </w:pPr>
            <w:r>
              <w:rPr>
                <w:rFonts w:ascii="Arial" w:cs="Arial" w:eastAsia="Arial" w:hAnsi="Arial"/>
                <w:sz w:val="20"/>
                <w:szCs w:val="20"/>
                <w:color w:val="auto"/>
                <w:w w:val="94"/>
              </w:rPr>
              <w:t>Carrying Amount</w:t>
            </w:r>
          </w:p>
        </w:tc>
        <w:tc>
          <w:tcPr>
            <w:tcW w:w="22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color w:val="auto"/>
                <w:w w:val="89"/>
              </w:rPr>
              <w:t>Subtracted from</w:t>
            </w:r>
          </w:p>
        </w:tc>
      </w:tr>
      <w:tr>
        <w:trPr>
          <w:trHeight w:val="300"/>
        </w:trPr>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center"/>
              <w:ind w:right="140"/>
              <w:spacing w:after="0"/>
              <w:rPr>
                <w:sz w:val="20"/>
                <w:szCs w:val="20"/>
                <w:color w:val="auto"/>
              </w:rPr>
            </w:pPr>
            <w:r>
              <w:rPr>
                <w:rFonts w:ascii="Arial" w:cs="Arial" w:eastAsia="Arial" w:hAnsi="Arial"/>
                <w:sz w:val="20"/>
                <w:szCs w:val="20"/>
                <w:color w:val="auto"/>
                <w:w w:val="90"/>
              </w:rPr>
              <w:t>of the Hedged</w:t>
            </w:r>
          </w:p>
        </w:tc>
        <w:tc>
          <w:tcPr>
            <w:tcW w:w="240" w:type="dxa"/>
            <w:vAlign w:val="bottom"/>
          </w:tcPr>
          <w:p>
            <w:pPr>
              <w:spacing w:after="0"/>
              <w:rPr>
                <w:sz w:val="24"/>
                <w:szCs w:val="24"/>
                <w:color w:val="auto"/>
              </w:rPr>
            </w:pPr>
          </w:p>
        </w:tc>
        <w:tc>
          <w:tcPr>
            <w:tcW w:w="1560" w:type="dxa"/>
            <w:vAlign w:val="bottom"/>
          </w:tcPr>
          <w:p>
            <w:pPr>
              <w:jc w:val="center"/>
              <w:ind w:right="180"/>
              <w:spacing w:after="0"/>
              <w:rPr>
                <w:sz w:val="20"/>
                <w:szCs w:val="20"/>
                <w:color w:val="auto"/>
              </w:rPr>
            </w:pPr>
            <w:r>
              <w:rPr>
                <w:rFonts w:ascii="Arial" w:cs="Arial" w:eastAsia="Arial" w:hAnsi="Arial"/>
                <w:sz w:val="20"/>
                <w:szCs w:val="20"/>
                <w:color w:val="auto"/>
                <w:w w:val="95"/>
              </w:rPr>
              <w:t>from Carrying</w:t>
            </w:r>
          </w:p>
        </w:tc>
        <w:tc>
          <w:tcPr>
            <w:tcW w:w="220" w:type="dxa"/>
            <w:vAlign w:val="bottom"/>
          </w:tcPr>
          <w:p>
            <w:pPr>
              <w:spacing w:after="0"/>
              <w:rPr>
                <w:sz w:val="24"/>
                <w:szCs w:val="24"/>
                <w:color w:val="auto"/>
              </w:rPr>
            </w:pPr>
          </w:p>
        </w:tc>
        <w:tc>
          <w:tcPr>
            <w:tcW w:w="1560" w:type="dxa"/>
            <w:vAlign w:val="bottom"/>
          </w:tcPr>
          <w:p>
            <w:pPr>
              <w:jc w:val="center"/>
              <w:ind w:right="160"/>
              <w:spacing w:after="0"/>
              <w:rPr>
                <w:sz w:val="20"/>
                <w:szCs w:val="20"/>
                <w:color w:val="auto"/>
              </w:rPr>
            </w:pPr>
            <w:r>
              <w:rPr>
                <w:rFonts w:ascii="Arial" w:cs="Arial" w:eastAsia="Arial" w:hAnsi="Arial"/>
                <w:sz w:val="20"/>
                <w:szCs w:val="20"/>
                <w:color w:val="auto"/>
                <w:w w:val="90"/>
              </w:rPr>
              <w:t>of the Hedged</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93"/>
              </w:rPr>
              <w:t>Carrying Amount</w:t>
            </w:r>
          </w:p>
        </w:tc>
      </w:tr>
      <w:tr>
        <w:trPr>
          <w:trHeight w:val="300"/>
        </w:trPr>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color w:val="auto"/>
                <w:w w:val="87"/>
              </w:rPr>
              <w:t>Assets at</w:t>
            </w:r>
          </w:p>
        </w:tc>
        <w:tc>
          <w:tcPr>
            <w:tcW w:w="240" w:type="dxa"/>
            <w:vAlign w:val="bottom"/>
          </w:tcPr>
          <w:p>
            <w:pPr>
              <w:spacing w:after="0"/>
              <w:rPr>
                <w:sz w:val="24"/>
                <w:szCs w:val="24"/>
                <w:color w:val="auto"/>
              </w:rPr>
            </w:pPr>
          </w:p>
        </w:tc>
        <w:tc>
          <w:tcPr>
            <w:tcW w:w="1560" w:type="dxa"/>
            <w:vAlign w:val="bottom"/>
          </w:tcPr>
          <w:p>
            <w:pPr>
              <w:jc w:val="center"/>
              <w:ind w:right="180"/>
              <w:spacing w:after="0"/>
              <w:rPr>
                <w:sz w:val="20"/>
                <w:szCs w:val="20"/>
                <w:color w:val="auto"/>
              </w:rPr>
            </w:pPr>
            <w:r>
              <w:rPr>
                <w:rFonts w:ascii="Arial" w:cs="Arial" w:eastAsia="Arial" w:hAnsi="Arial"/>
                <w:sz w:val="20"/>
                <w:szCs w:val="20"/>
                <w:color w:val="auto"/>
                <w:w w:val="93"/>
              </w:rPr>
              <w:t>Amount of the</w:t>
            </w:r>
          </w:p>
        </w:tc>
        <w:tc>
          <w:tcPr>
            <w:tcW w:w="220" w:type="dxa"/>
            <w:vAlign w:val="bottom"/>
          </w:tcPr>
          <w:p>
            <w:pPr>
              <w:spacing w:after="0"/>
              <w:rPr>
                <w:sz w:val="24"/>
                <w:szCs w:val="24"/>
                <w:color w:val="auto"/>
              </w:rPr>
            </w:pPr>
          </w:p>
        </w:tc>
        <w:tc>
          <w:tcPr>
            <w:tcW w:w="1560" w:type="dxa"/>
            <w:vAlign w:val="bottom"/>
          </w:tcPr>
          <w:p>
            <w:pPr>
              <w:jc w:val="center"/>
              <w:ind w:right="160"/>
              <w:spacing w:after="0"/>
              <w:rPr>
                <w:sz w:val="20"/>
                <w:szCs w:val="20"/>
                <w:color w:val="auto"/>
              </w:rPr>
            </w:pPr>
            <w:r>
              <w:rPr>
                <w:rFonts w:ascii="Arial" w:cs="Arial" w:eastAsia="Arial" w:hAnsi="Arial"/>
                <w:sz w:val="20"/>
                <w:szCs w:val="20"/>
                <w:color w:val="auto"/>
                <w:w w:val="85"/>
              </w:rPr>
              <w:t>Assets at</w:t>
            </w:r>
          </w:p>
        </w:tc>
        <w:tc>
          <w:tcPr>
            <w:tcW w:w="22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color w:val="auto"/>
                <w:w w:val="89"/>
              </w:rPr>
              <w:t>of the Hedged</w:t>
            </w:r>
          </w:p>
        </w:tc>
      </w:tr>
      <w:tr>
        <w:trPr>
          <w:trHeight w:val="300"/>
        </w:trPr>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color w:val="auto"/>
                <w:w w:val="89"/>
              </w:rPr>
              <w:t>December 31,</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8"/>
              </w:rPr>
              <w:t>Hedged Assets at</w:t>
            </w:r>
          </w:p>
        </w:tc>
        <w:tc>
          <w:tcPr>
            <w:tcW w:w="220" w:type="dxa"/>
            <w:vAlign w:val="bottom"/>
          </w:tcPr>
          <w:p>
            <w:pPr>
              <w:spacing w:after="0"/>
              <w:rPr>
                <w:sz w:val="24"/>
                <w:szCs w:val="24"/>
                <w:color w:val="auto"/>
              </w:rPr>
            </w:pPr>
          </w:p>
        </w:tc>
        <w:tc>
          <w:tcPr>
            <w:tcW w:w="1560" w:type="dxa"/>
            <w:vAlign w:val="bottom"/>
          </w:tcPr>
          <w:p>
            <w:pPr>
              <w:jc w:val="center"/>
              <w:ind w:right="160"/>
              <w:spacing w:after="0"/>
              <w:rPr>
                <w:sz w:val="20"/>
                <w:szCs w:val="20"/>
                <w:color w:val="auto"/>
              </w:rPr>
            </w:pPr>
            <w:r>
              <w:rPr>
                <w:rFonts w:ascii="Arial" w:cs="Arial" w:eastAsia="Arial" w:hAnsi="Arial"/>
                <w:sz w:val="20"/>
                <w:szCs w:val="20"/>
                <w:color w:val="auto"/>
                <w:w w:val="90"/>
              </w:rPr>
              <w:t>December 31,</w:t>
            </w:r>
          </w:p>
        </w:tc>
        <w:tc>
          <w:tcPr>
            <w:tcW w:w="22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color w:val="auto"/>
                <w:w w:val="87"/>
              </w:rPr>
              <w:t>Assets at</w:t>
            </w:r>
          </w:p>
        </w:tc>
      </w:tr>
      <w:tr>
        <w:trPr>
          <w:trHeight w:val="300"/>
        </w:trPr>
        <w:tc>
          <w:tcPr>
            <w:tcW w:w="196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480" w:type="dxa"/>
            <w:vAlign w:val="bottom"/>
          </w:tcPr>
          <w:p>
            <w:pPr>
              <w:spacing w:after="0"/>
              <w:rPr>
                <w:sz w:val="24"/>
                <w:szCs w:val="24"/>
                <w:color w:val="auto"/>
              </w:rPr>
            </w:pPr>
          </w:p>
        </w:tc>
        <w:tc>
          <w:tcPr>
            <w:tcW w:w="1580" w:type="dxa"/>
            <w:vAlign w:val="bottom"/>
          </w:tcPr>
          <w:p>
            <w:pPr>
              <w:jc w:val="center"/>
              <w:ind w:right="80"/>
              <w:spacing w:after="0"/>
              <w:rPr>
                <w:sz w:val="20"/>
                <w:szCs w:val="20"/>
                <w:color w:val="auto"/>
              </w:rPr>
            </w:pPr>
            <w:r>
              <w:rPr>
                <w:rFonts w:ascii="Arial" w:cs="Arial" w:eastAsia="Arial" w:hAnsi="Arial"/>
                <w:sz w:val="20"/>
                <w:szCs w:val="20"/>
                <w:color w:val="auto"/>
                <w:w w:val="89"/>
              </w:rPr>
              <w:t>2025</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8"/>
              </w:rPr>
              <w:t>December 31, 2025</w:t>
            </w:r>
          </w:p>
        </w:tc>
        <w:tc>
          <w:tcPr>
            <w:tcW w:w="220" w:type="dxa"/>
            <w:vAlign w:val="bottom"/>
          </w:tcPr>
          <w:p>
            <w:pPr>
              <w:spacing w:after="0"/>
              <w:rPr>
                <w:sz w:val="24"/>
                <w:szCs w:val="24"/>
                <w:color w:val="auto"/>
              </w:rPr>
            </w:pPr>
          </w:p>
        </w:tc>
        <w:tc>
          <w:tcPr>
            <w:tcW w:w="1560" w:type="dxa"/>
            <w:vAlign w:val="bottom"/>
          </w:tcPr>
          <w:p>
            <w:pPr>
              <w:jc w:val="center"/>
              <w:ind w:right="100"/>
              <w:spacing w:after="0"/>
              <w:rPr>
                <w:sz w:val="20"/>
                <w:szCs w:val="20"/>
                <w:color w:val="auto"/>
              </w:rPr>
            </w:pPr>
            <w:r>
              <w:rPr>
                <w:rFonts w:ascii="Arial" w:cs="Arial" w:eastAsia="Arial" w:hAnsi="Arial"/>
                <w:sz w:val="20"/>
                <w:szCs w:val="20"/>
                <w:color w:val="auto"/>
                <w:w w:val="89"/>
              </w:rPr>
              <w:t>2024</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9"/>
              </w:rPr>
              <w:t>December 31, 2024</w:t>
            </w:r>
          </w:p>
        </w:tc>
      </w:tr>
      <w:tr>
        <w:trPr>
          <w:trHeight w:val="312"/>
        </w:trPr>
        <w:tc>
          <w:tcPr>
            <w:tcW w:w="5820" w:type="dxa"/>
            <w:vAlign w:val="bottom"/>
            <w:gridSpan w:val="5"/>
          </w:tcPr>
          <w:p>
            <w:pPr>
              <w:spacing w:after="0"/>
              <w:rPr>
                <w:sz w:val="20"/>
                <w:szCs w:val="20"/>
                <w:color w:val="auto"/>
              </w:rPr>
            </w:pPr>
            <w:r>
              <w:rPr>
                <w:rFonts w:ascii="Arial" w:cs="Arial" w:eastAsia="Arial" w:hAnsi="Arial"/>
                <w:sz w:val="20"/>
                <w:szCs w:val="20"/>
                <w:i w:val="1"/>
                <w:iCs w:val="1"/>
                <w:color w:val="auto"/>
                <w:w w:val="95"/>
              </w:rPr>
              <w:t>Line item on the balance sheet in which the hedged item is included:</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1"/>
        </w:trPr>
        <w:tc>
          <w:tcPr>
            <w:tcW w:w="1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9"/>
        </w:trPr>
        <w:tc>
          <w:tcPr>
            <w:tcW w:w="1960" w:type="dxa"/>
            <w:vAlign w:val="bottom"/>
            <w:shd w:val="clear" w:color="auto" w:fill="CFF0FC"/>
          </w:tcPr>
          <w:p>
            <w:pPr>
              <w:spacing w:after="0"/>
              <w:rPr>
                <w:sz w:val="20"/>
                <w:szCs w:val="20"/>
                <w:color w:val="auto"/>
              </w:rPr>
            </w:pPr>
            <w:r>
              <w:rPr>
                <w:rFonts w:ascii="Arial" w:cs="Arial" w:eastAsia="Arial" w:hAnsi="Arial"/>
                <w:sz w:val="20"/>
                <w:szCs w:val="20"/>
                <w:color w:val="auto"/>
              </w:rPr>
              <w:t>Available-for-sale</w:t>
            </w:r>
          </w:p>
        </w:tc>
        <w:tc>
          <w:tcPr>
            <w:tcW w:w="48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r>
      <w:tr>
        <w:trPr>
          <w:trHeight w:val="341"/>
        </w:trPr>
        <w:tc>
          <w:tcPr>
            <w:tcW w:w="196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securities </w:t>
            </w:r>
            <w:r>
              <w:rPr>
                <w:rFonts w:ascii="Arial" w:cs="Arial" w:eastAsia="Arial" w:hAnsi="Arial"/>
                <w:sz w:val="26"/>
                <w:szCs w:val="26"/>
                <w:color w:val="auto"/>
                <w:vertAlign w:val="superscript"/>
              </w:rPr>
              <w:t>(1)</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68,917</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1,214</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76,303</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3,199</w:t>
            </w:r>
          </w:p>
        </w:tc>
      </w:tr>
      <w:tr>
        <w:trPr>
          <w:trHeight w:val="331"/>
        </w:trPr>
        <w:tc>
          <w:tcPr>
            <w:tcW w:w="1960" w:type="dxa"/>
            <w:vAlign w:val="bottom"/>
          </w:tcPr>
          <w:p>
            <w:pPr>
              <w:spacing w:after="0"/>
              <w:rPr>
                <w:sz w:val="20"/>
                <w:szCs w:val="20"/>
                <w:color w:val="auto"/>
              </w:rPr>
            </w:pPr>
            <w:r>
              <w:rPr>
                <w:rFonts w:ascii="Arial" w:cs="Arial" w:eastAsia="Arial" w:hAnsi="Arial"/>
                <w:sz w:val="20"/>
                <w:szCs w:val="20"/>
                <w:color w:val="auto"/>
              </w:rPr>
              <w:t xml:space="preserve">Loans receivable </w:t>
            </w:r>
            <w:r>
              <w:rPr>
                <w:rFonts w:ascii="Arial" w:cs="Arial" w:eastAsia="Arial" w:hAnsi="Arial"/>
                <w:sz w:val="26"/>
                <w:szCs w:val="26"/>
                <w:color w:val="auto"/>
                <w:vertAlign w:val="superscript"/>
              </w:rPr>
              <w:t>(2)</w:t>
            </w: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120,574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292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133,765</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2,887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-788670</wp:posOffset>
            </wp:positionV>
            <wp:extent cx="5967730" cy="6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wp:posOffset>
            </wp:positionV>
            <wp:extent cx="5967730"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91" w:lineRule="exact"/>
        <w:rPr>
          <w:sz w:val="20"/>
          <w:szCs w:val="20"/>
          <w:color w:val="auto"/>
        </w:rPr>
      </w:pPr>
    </w:p>
    <w:p>
      <w:pPr>
        <w:ind w:left="300"/>
        <w:spacing w:after="0"/>
        <w:rPr>
          <w:sz w:val="20"/>
          <w:szCs w:val="20"/>
          <w:color w:val="auto"/>
        </w:rPr>
      </w:pPr>
      <w:r>
        <w:rPr>
          <w:rFonts w:ascii="Arial" w:cs="Arial" w:eastAsia="Arial" w:hAnsi="Arial"/>
          <w:sz w:val="8"/>
          <w:szCs w:val="8"/>
          <w:color w:val="auto"/>
        </w:rPr>
        <w:t>(1)</w:t>
      </w:r>
    </w:p>
    <w:p>
      <w:pPr>
        <w:ind w:left="620"/>
        <w:spacing w:after="0" w:line="233" w:lineRule="auto"/>
        <w:rPr>
          <w:sz w:val="20"/>
          <w:szCs w:val="20"/>
          <w:color w:val="auto"/>
        </w:rPr>
      </w:pPr>
      <w:r>
        <w:rPr>
          <w:rFonts w:ascii="Arial" w:cs="Arial" w:eastAsia="Arial" w:hAnsi="Arial"/>
          <w:sz w:val="20"/>
          <w:szCs w:val="20"/>
          <w:color w:val="auto"/>
        </w:rPr>
        <w:t>The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$68.9 million net carrying amount of hedged assets represents the hedge-adjusted amortized cost basis of</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specifically-identified municipal, Private label and GSE-backed securities designated as the underlying assets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the hedging relationships. The notional amount of the designated hedges were $69.8 million and $73.9</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million at December 31, 2025 and 2024, respectively. The fair value of the derivatives (an unrealized gain,</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receivable from derivative counterparties) recorded in other assets resulted in a net asset position of $1.3</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million and $3.2 million at December 31, 2025 and 2024, respectively. The Company's participation in fair</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value hedging transactions increased investment security interest income by $1.1 million and $2.1 million in</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twelve month periods ended December 31, 2025 and 2024,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24</w:t>
      </w:r>
    </w:p>
    <w:p>
      <w:pPr>
        <w:sectPr>
          <w:pgSz w:w="11900" w:h="16838" w:orient="portrait"/>
          <w:cols w:equalWidth="0" w:num="1">
            <w:col w:w="9400"/>
          </w:cols>
          <w:pgMar w:left="1260" w:top="1173" w:right="1246" w:bottom="0" w:gutter="0" w:footer="0" w:header="0"/>
          <w:type w:val="continuous"/>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8"/>
          <w:szCs w:val="8"/>
          <w:color w:val="auto"/>
        </w:rPr>
        <w:t>(2)</w:t>
      </w:r>
    </w:p>
    <w:p>
      <w:pPr>
        <w:spacing w:after="0" w:line="4" w:lineRule="exact"/>
        <w:rPr>
          <w:sz w:val="20"/>
          <w:szCs w:val="20"/>
          <w:color w:val="auto"/>
        </w:rPr>
      </w:pPr>
    </w:p>
    <w:p>
      <w:pPr>
        <w:jc w:val="both"/>
        <w:ind w:left="620" w:right="20"/>
        <w:spacing w:after="0" w:line="349" w:lineRule="auto"/>
        <w:rPr>
          <w:sz w:val="20"/>
          <w:szCs w:val="20"/>
          <w:color w:val="auto"/>
        </w:rPr>
      </w:pPr>
      <w:r>
        <w:rPr>
          <w:rFonts w:ascii="Arial" w:cs="Arial" w:eastAsia="Arial" w:hAnsi="Arial"/>
          <w:sz w:val="18"/>
          <w:szCs w:val="18"/>
          <w:color w:val="auto"/>
        </w:rPr>
        <w:t>The $120.6 million net carrying amount of hedged assets represents the hedge-adjusted amortized cost of a designated pool of residential mortgages and the aggregate hedge-adjusted amortized cost of four specified purchased consumer loan pools. These pools of loans were 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$113.1 million and $128.9 million at December 31, 2025 and 2024, respectively. At December 31, 2025, the fair value of the derivatives recorded in other assets (an unrealized gain, receivable from derivative counterparties) resulted in a net asset position of $337,000, recorded by the Company as a component of other assets. At December 31, 2024, the fair value of the derivatives recorded in other assets (an unrealized loss, payable to derivative counterparties) resulted in a net asset position of $2.9 million, recorded by the Company as a component of other assets. The Company’s participation in fair value hedging transactions increased interest income by $978,000 and $2.3 million, for the twelve month period ended December 31, 2025 and 2024, respectively. Details of the two loan hedging strategies, in place at December 31, 2025 are presented below:</w:t>
      </w:r>
    </w:p>
    <w:p>
      <w:pPr>
        <w:spacing w:after="0" w:line="38" w:lineRule="exact"/>
        <w:rPr>
          <w:sz w:val="20"/>
          <w:szCs w:val="20"/>
          <w:color w:val="auto"/>
        </w:rPr>
      </w:pPr>
    </w:p>
    <w:p>
      <w:pPr>
        <w:jc w:val="both"/>
        <w:ind w:left="1240" w:hanging="306"/>
        <w:spacing w:after="0" w:line="350"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8"/>
          <w:szCs w:val="18"/>
          <w:color w:val="auto"/>
        </w:rPr>
        <w:t>On April 7, 2023 the Bank entered into an amortizing swap transaction with an initial notional amount of $100.0 million whereby the Bank will receive the 3-month SOFR rate monthly, based on the notional amount of the swap contract at the beginning of each month until the swap transaction expires in 2035. The notional amount of the swap declines monthly according to a predetermined amortization schedule and was $68.1 million at December 31, 2025. The Bank will pay a fixed rate of 3.208% to the contract's counterparty throughout the life of the contract based on each month's beginning notional balance. The fair value of this swap contract was $967,000 at December 31, 2025.</w:t>
      </w:r>
    </w:p>
    <w:p>
      <w:pPr>
        <w:spacing w:after="0" w:line="107" w:lineRule="exact"/>
        <w:rPr>
          <w:rFonts w:ascii="Arial" w:cs="Arial" w:eastAsia="Arial" w:hAnsi="Arial"/>
          <w:sz w:val="16"/>
          <w:szCs w:val="16"/>
          <w:color w:val="auto"/>
        </w:rPr>
      </w:pPr>
    </w:p>
    <w:p>
      <w:pPr>
        <w:ind w:left="1240" w:right="40" w:hanging="306"/>
        <w:spacing w:after="0" w:line="350"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8"/>
          <w:szCs w:val="18"/>
          <w:color w:val="auto"/>
        </w:rPr>
        <w:t>On December 7, 2023, the Bank entered into five fixed-pay interest rate swap contracts with a total notional amount of $50.0 million, whereby the Bank will receive the 3-month rate SOFR monthly until the respective maturity dates of the contracts. The contracts expire in annual increments on December 1 of 2025 ($5.0 million, fixed rate of 4.463%), 2026 ($5.0 million, fixed rate of 4.136%), 2027 ($10.0 million, fixed rate of 3.973%), 2028 ($15.0 million, fixed rate of 3.887%), and 2029 ($15.0 million, fixed rate of 3.845%). The fair value of the four remaining swap contracts in aggregate was negative $630,000 (a payable to the swap counterparty) at December 31, 2025.</w:t>
      </w:r>
    </w:p>
    <w:p>
      <w:pPr>
        <w:spacing w:after="0" w:line="107"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The hedging contracts noted above, accounted for as fair value hedges, increased the yield on investments and loans by 0.24% and 0.11%, respectively, in the twelve months ended December 31, 2025. The hedging contracts noted above, accounted for as fair value hedges, increased the yield on investments and loans by 0.47% and 0.26%, respectively, in the twelve months ended December 31, 2024.</w:t>
      </w:r>
    </w:p>
    <w:p>
      <w:pPr>
        <w:spacing w:after="0" w:line="118"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The hedge transactions increased the net income effects of the Bank's fair value and cash flow hedges for the twelve months ended December 31, 2025 and 2024, respectively, along with the net fair value position of the hedges at December 31, 2025 and 2024,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 / 24</w:t>
      </w:r>
    </w:p>
    <w:p>
      <w:pPr>
        <w:sectPr>
          <w:pgSz w:w="11900" w:h="16838" w:orient="portrait"/>
          <w:cols w:equalWidth="0" w:num="1">
            <w:col w:w="9380"/>
          </w:cols>
          <w:pgMar w:left="1260" w:top="1440" w:right="1266" w:bottom="0" w:gutter="0" w:footer="0" w:header="0"/>
          <w:type w:val="continuous"/>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Fair Value Hedges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20" w:type="dxa"/>
            <w:vAlign w:val="bottom"/>
          </w:tcPr>
          <w:p>
            <w:pPr>
              <w:spacing w:after="0"/>
              <w:rPr>
                <w:sz w:val="17"/>
                <w:szCs w:val="17"/>
                <w:color w:val="auto"/>
              </w:rPr>
            </w:pPr>
          </w:p>
        </w:tc>
        <w:tc>
          <w:tcPr>
            <w:tcW w:w="502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 31, 2025</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94"/>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2"/>
              </w:rPr>
              <w:t>Net Cash Received</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0"/>
        </w:trPr>
        <w:tc>
          <w:tcPr>
            <w:tcW w:w="1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Period Ending</w:t>
            </w:r>
          </w:p>
        </w:tc>
        <w:tc>
          <w:tcPr>
            <w:tcW w:w="18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w w:val="91"/>
              </w:rPr>
              <w:t>Recorded In Net</w:t>
            </w:r>
          </w:p>
        </w:tc>
        <w:tc>
          <w:tcPr>
            <w:tcW w:w="20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w w:val="97"/>
              </w:rPr>
              <w:t>Fair Value Receivable/</w:t>
            </w:r>
          </w:p>
        </w:tc>
      </w:tr>
      <w:tr>
        <w:trPr>
          <w:trHeight w:val="270"/>
        </w:trPr>
        <w:tc>
          <w:tcPr>
            <w:tcW w:w="1660" w:type="dxa"/>
            <w:vAlign w:val="bottom"/>
          </w:tcPr>
          <w:p>
            <w:pPr>
              <w:spacing w:after="0"/>
              <w:rPr>
                <w:sz w:val="20"/>
                <w:szCs w:val="20"/>
                <w:color w:val="auto"/>
              </w:rPr>
            </w:pPr>
            <w:r>
              <w:rPr>
                <w:rFonts w:ascii="Arial" w:cs="Arial" w:eastAsia="Arial" w:hAnsi="Arial"/>
                <w:sz w:val="18"/>
                <w:szCs w:val="18"/>
                <w:color w:val="auto"/>
              </w:rPr>
              <w:t>Hedge Category</w:t>
            </w:r>
          </w:p>
        </w:tc>
        <w:tc>
          <w:tcPr>
            <w:tcW w:w="6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w w:val="92"/>
              </w:rPr>
              <w:t>Average Notional Balance</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2"/>
              </w:rPr>
              <w:t>Notional Balance</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Income (Loss)</w:t>
            </w:r>
          </w:p>
        </w:tc>
        <w:tc>
          <w:tcPr>
            <w:tcW w:w="20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w w:val="92"/>
              </w:rPr>
              <w:t>(Payable) at Period End</w:t>
            </w:r>
          </w:p>
        </w:tc>
      </w:tr>
      <w:tr>
        <w:trPr>
          <w:trHeight w:val="46"/>
        </w:trPr>
        <w:tc>
          <w:tcPr>
            <w:tcW w:w="1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94"/>
        </w:trPr>
        <w:tc>
          <w:tcPr>
            <w:tcW w:w="1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75,534</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69,833</w:t>
            </w:r>
          </w:p>
        </w:tc>
        <w:tc>
          <w:tcPr>
            <w:tcW w:w="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1,255</w:t>
            </w:r>
          </w:p>
        </w:tc>
      </w:tr>
      <w:tr>
        <w:trPr>
          <w:trHeight w:val="278"/>
        </w:trPr>
        <w:tc>
          <w:tcPr>
            <w:tcW w:w="1660" w:type="dxa"/>
            <w:vAlign w:val="bottom"/>
          </w:tcPr>
          <w:p>
            <w:pPr>
              <w:ind w:left="40"/>
              <w:spacing w:after="0"/>
              <w:rPr>
                <w:sz w:val="20"/>
                <w:szCs w:val="20"/>
                <w:color w:val="auto"/>
              </w:rPr>
            </w:pPr>
            <w:r>
              <w:rPr>
                <w:rFonts w:ascii="Arial" w:cs="Arial" w:eastAsia="Arial" w:hAnsi="Arial"/>
                <w:sz w:val="18"/>
                <w:szCs w:val="18"/>
                <w:color w:val="auto"/>
              </w:rPr>
              <w:t>Loans</w:t>
            </w:r>
          </w:p>
        </w:tc>
        <w:tc>
          <w:tcPr>
            <w:tcW w:w="6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122,504</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113,094</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978</w:t>
            </w:r>
          </w:p>
        </w:tc>
        <w:tc>
          <w:tcPr>
            <w:tcW w:w="200" w:type="dxa"/>
            <w:vAlign w:val="bottom"/>
          </w:tcPr>
          <w:p>
            <w:pPr>
              <w:spacing w:after="0"/>
              <w:rPr>
                <w:sz w:val="24"/>
                <w:szCs w:val="24"/>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337</w:t>
            </w:r>
          </w:p>
        </w:tc>
      </w:tr>
      <w:tr>
        <w:trPr>
          <w:trHeight w:val="46"/>
        </w:trPr>
        <w:tc>
          <w:tcPr>
            <w:tcW w:w="1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78"/>
        </w:trPr>
        <w:tc>
          <w:tcPr>
            <w:tcW w:w="1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198,038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182,927</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1,592</w:t>
            </w:r>
          </w:p>
        </w:tc>
      </w:tr>
      <w:tr>
        <w:trPr>
          <w:trHeight w:val="81"/>
        </w:trPr>
        <w:tc>
          <w:tcPr>
            <w:tcW w:w="16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5020" w:type="dxa"/>
            <w:vAlign w:val="bottom"/>
            <w:gridSpan w:val="5"/>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900" w:type="dxa"/>
            <w:vAlign w:val="bottom"/>
            <w:shd w:val="clear" w:color="auto" w:fill="CFF0FC"/>
          </w:tcPr>
          <w:p>
            <w:pPr>
              <w:spacing w:after="0"/>
              <w:rPr>
                <w:sz w:val="7"/>
                <w:szCs w:val="7"/>
                <w:color w:val="auto"/>
              </w:rPr>
            </w:pPr>
          </w:p>
        </w:tc>
      </w:tr>
      <w:tr>
        <w:trPr>
          <w:trHeight w:val="533"/>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2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 31, 2024</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4"/>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Net Cash</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0"/>
        </w:trPr>
        <w:tc>
          <w:tcPr>
            <w:tcW w:w="1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Received</w:t>
            </w:r>
          </w:p>
        </w:tc>
        <w:tc>
          <w:tcPr>
            <w:tcW w:w="2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w w:val="95"/>
              </w:rPr>
              <w:t>Ending Notional</w:t>
            </w:r>
          </w:p>
        </w:tc>
        <w:tc>
          <w:tcPr>
            <w:tcW w:w="18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w w:val="91"/>
              </w:rPr>
              <w:t>Recorded In Net</w:t>
            </w:r>
          </w:p>
        </w:tc>
        <w:tc>
          <w:tcPr>
            <w:tcW w:w="20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w w:val="97"/>
              </w:rPr>
              <w:t>Fair Value Receivable/</w:t>
            </w:r>
          </w:p>
        </w:tc>
      </w:tr>
      <w:tr>
        <w:trPr>
          <w:trHeight w:val="270"/>
        </w:trPr>
        <w:tc>
          <w:tcPr>
            <w:tcW w:w="1660" w:type="dxa"/>
            <w:vAlign w:val="bottom"/>
          </w:tcPr>
          <w:p>
            <w:pPr>
              <w:spacing w:after="0"/>
              <w:rPr>
                <w:sz w:val="20"/>
                <w:szCs w:val="20"/>
                <w:color w:val="auto"/>
              </w:rPr>
            </w:pPr>
            <w:r>
              <w:rPr>
                <w:rFonts w:ascii="Arial" w:cs="Arial" w:eastAsia="Arial" w:hAnsi="Arial"/>
                <w:sz w:val="18"/>
                <w:szCs w:val="18"/>
                <w:color w:val="auto"/>
              </w:rPr>
              <w:t>Hedge Category</w:t>
            </w:r>
          </w:p>
        </w:tc>
        <w:tc>
          <w:tcPr>
            <w:tcW w:w="6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w w:val="92"/>
              </w:rPr>
              <w:t>Average Notional Balance</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Income (Loss)</w:t>
            </w:r>
          </w:p>
        </w:tc>
        <w:tc>
          <w:tcPr>
            <w:tcW w:w="20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w w:val="92"/>
              </w:rPr>
              <w:t>(Payable) at Period End</w:t>
            </w:r>
          </w:p>
        </w:tc>
      </w:tr>
      <w:tr>
        <w:trPr>
          <w:trHeight w:val="46"/>
        </w:trPr>
        <w:tc>
          <w:tcPr>
            <w:tcW w:w="1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94"/>
        </w:trPr>
        <w:tc>
          <w:tcPr>
            <w:tcW w:w="1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79,150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73,866</w:t>
            </w:r>
          </w:p>
        </w:tc>
        <w:tc>
          <w:tcPr>
            <w:tcW w:w="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3,221</w:t>
            </w:r>
          </w:p>
        </w:tc>
      </w:tr>
      <w:tr>
        <w:trPr>
          <w:trHeight w:val="278"/>
        </w:trPr>
        <w:tc>
          <w:tcPr>
            <w:tcW w:w="1660" w:type="dxa"/>
            <w:vAlign w:val="bottom"/>
          </w:tcPr>
          <w:p>
            <w:pPr>
              <w:ind w:left="40"/>
              <w:spacing w:after="0"/>
              <w:rPr>
                <w:sz w:val="20"/>
                <w:szCs w:val="20"/>
                <w:color w:val="auto"/>
              </w:rPr>
            </w:pPr>
            <w:r>
              <w:rPr>
                <w:rFonts w:ascii="Arial" w:cs="Arial" w:eastAsia="Arial" w:hAnsi="Arial"/>
                <w:sz w:val="18"/>
                <w:szCs w:val="18"/>
                <w:color w:val="auto"/>
              </w:rPr>
              <w:t>Loans</w:t>
            </w:r>
          </w:p>
        </w:tc>
        <w:tc>
          <w:tcPr>
            <w:tcW w:w="6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134,319</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128,864</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Pr>
          <w:p>
            <w:pPr>
              <w:spacing w:after="0"/>
              <w:rPr>
                <w:sz w:val="24"/>
                <w:szCs w:val="24"/>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2,893</w:t>
            </w:r>
          </w:p>
        </w:tc>
      </w:tr>
      <w:tr>
        <w:trPr>
          <w:trHeight w:val="46"/>
        </w:trPr>
        <w:tc>
          <w:tcPr>
            <w:tcW w:w="1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78"/>
        </w:trPr>
        <w:tc>
          <w:tcPr>
            <w:tcW w:w="1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213,469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202,730</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6,114</w:t>
            </w:r>
          </w:p>
        </w:tc>
      </w:tr>
      <w:tr>
        <w:trPr>
          <w:trHeight w:val="81"/>
        </w:trPr>
        <w:tc>
          <w:tcPr>
            <w:tcW w:w="16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0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9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-2872105</wp:posOffset>
            </wp:positionV>
            <wp:extent cx="5967730"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-2342515</wp:posOffset>
            </wp:positionV>
            <wp:extent cx="5967730"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-1936750</wp:posOffset>
            </wp:positionV>
            <wp:extent cx="5967730"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-1730375</wp:posOffset>
            </wp:positionV>
            <wp:extent cx="5967730" cy="285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-1341120</wp:posOffset>
            </wp:positionV>
            <wp:extent cx="5967730" cy="6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-639445</wp:posOffset>
            </wp:positionV>
            <wp:extent cx="5967730"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00" w:type="dxa"/>
            <w:vAlign w:val="bottom"/>
          </w:tcPr>
          <w:p>
            <w:pPr>
              <w:spacing w:after="0"/>
              <w:rPr>
                <w:sz w:val="18"/>
                <w:szCs w:val="18"/>
                <w:color w:val="auto"/>
              </w:rPr>
            </w:pP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Twelve Months Ended December 31, 2025</w:t>
            </w: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94"/>
        </w:trPr>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Net Cash</w:t>
            </w: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70"/>
        </w:trPr>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Received</w:t>
            </w:r>
          </w:p>
        </w:tc>
        <w:tc>
          <w:tcPr>
            <w:tcW w:w="1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w w:val="95"/>
              </w:rPr>
              <w:t>Ending Notional</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w w:val="91"/>
              </w:rPr>
              <w:t>Recorded In Net</w:t>
            </w:r>
          </w:p>
        </w:tc>
        <w:tc>
          <w:tcPr>
            <w:tcW w:w="140" w:type="dxa"/>
            <w:vAlign w:val="bottom"/>
          </w:tcPr>
          <w:p>
            <w:pPr>
              <w:spacing w:after="0"/>
              <w:rPr>
                <w:sz w:val="23"/>
                <w:szCs w:val="23"/>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w w:val="90"/>
              </w:rPr>
              <w:t>Fair Value Receivable at</w:t>
            </w:r>
          </w:p>
        </w:tc>
      </w:tr>
      <w:tr>
        <w:trPr>
          <w:trHeight w:val="270"/>
        </w:trPr>
        <w:tc>
          <w:tcPr>
            <w:tcW w:w="1660" w:type="dxa"/>
            <w:vAlign w:val="bottom"/>
          </w:tcPr>
          <w:p>
            <w:pPr>
              <w:spacing w:after="0"/>
              <w:rPr>
                <w:sz w:val="20"/>
                <w:szCs w:val="20"/>
                <w:color w:val="auto"/>
              </w:rPr>
            </w:pPr>
            <w:r>
              <w:rPr>
                <w:rFonts w:ascii="Arial" w:cs="Arial" w:eastAsia="Arial" w:hAnsi="Arial"/>
                <w:sz w:val="18"/>
                <w:szCs w:val="18"/>
                <w:color w:val="auto"/>
              </w:rPr>
              <w:t>Hedge Category</w:t>
            </w:r>
          </w:p>
        </w:tc>
        <w:tc>
          <w:tcPr>
            <w:tcW w:w="600" w:type="dxa"/>
            <w:vAlign w:val="bottom"/>
          </w:tcPr>
          <w:p>
            <w:pPr>
              <w:spacing w:after="0"/>
              <w:rPr>
                <w:sz w:val="23"/>
                <w:szCs w:val="23"/>
                <w:color w:val="auto"/>
              </w:rPr>
            </w:pPr>
          </w:p>
        </w:tc>
        <w:tc>
          <w:tcPr>
            <w:tcW w:w="2180" w:type="dxa"/>
            <w:vAlign w:val="bottom"/>
          </w:tcPr>
          <w:p>
            <w:pPr>
              <w:jc w:val="right"/>
              <w:ind w:right="170"/>
              <w:spacing w:after="0"/>
              <w:rPr>
                <w:sz w:val="20"/>
                <w:szCs w:val="20"/>
                <w:color w:val="auto"/>
              </w:rPr>
            </w:pPr>
            <w:r>
              <w:rPr>
                <w:rFonts w:ascii="Arial" w:cs="Arial" w:eastAsia="Arial" w:hAnsi="Arial"/>
                <w:sz w:val="18"/>
                <w:szCs w:val="18"/>
                <w:color w:val="auto"/>
                <w:w w:val="91"/>
              </w:rPr>
              <w:t>Average Notional Balance</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Balance</w:t>
            </w:r>
          </w:p>
        </w:tc>
        <w:tc>
          <w:tcPr>
            <w:tcW w:w="1340" w:type="dxa"/>
            <w:vAlign w:val="bottom"/>
          </w:tcPr>
          <w:p>
            <w:pPr>
              <w:jc w:val="right"/>
              <w:spacing w:after="0"/>
              <w:rPr>
                <w:sz w:val="20"/>
                <w:szCs w:val="20"/>
                <w:color w:val="auto"/>
              </w:rPr>
            </w:pPr>
            <w:r>
              <w:rPr>
                <w:rFonts w:ascii="Arial" w:cs="Arial" w:eastAsia="Arial" w:hAnsi="Arial"/>
                <w:sz w:val="18"/>
                <w:szCs w:val="18"/>
                <w:color w:val="auto"/>
              </w:rPr>
              <w:t>Income (Loss)</w:t>
            </w:r>
          </w:p>
        </w:tc>
        <w:tc>
          <w:tcPr>
            <w:tcW w:w="14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Period End</w:t>
            </w:r>
          </w:p>
        </w:tc>
      </w:tr>
      <w:tr>
        <w:trPr>
          <w:trHeight w:val="46"/>
        </w:trPr>
        <w:tc>
          <w:tcPr>
            <w:tcW w:w="1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78"/>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Borrowed Funds</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81"/>
        </w:trPr>
        <w:tc>
          <w:tcPr>
            <w:tcW w:w="166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2180" w:type="dxa"/>
            <w:vAlign w:val="bottom"/>
            <w:shd w:val="clear" w:color="auto" w:fill="CFF0FC"/>
          </w:tcPr>
          <w:p>
            <w:pPr>
              <w:spacing w:after="0"/>
              <w:rPr>
                <w:sz w:val="7"/>
                <w:szCs w:val="7"/>
                <w:color w:val="auto"/>
              </w:rPr>
            </w:pPr>
          </w:p>
        </w:tc>
        <w:tc>
          <w:tcPr>
            <w:tcW w:w="152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9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-935355</wp:posOffset>
            </wp:positionV>
            <wp:extent cx="5967730"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Twelve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6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Net Cash</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Received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w w:val="95"/>
              </w:rPr>
              <w:t>Ending Notional</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w w:val="91"/>
              </w:rPr>
              <w:t>Recorded In Net</w:t>
            </w:r>
          </w:p>
        </w:tc>
        <w:tc>
          <w:tcPr>
            <w:tcW w:w="28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w w:val="96"/>
              </w:rPr>
              <w:t>Fair Value Payable at</w:t>
            </w:r>
          </w:p>
        </w:tc>
      </w:tr>
      <w:tr>
        <w:trPr>
          <w:trHeight w:val="270"/>
        </w:trPr>
        <w:tc>
          <w:tcPr>
            <w:tcW w:w="1660" w:type="dxa"/>
            <w:vAlign w:val="bottom"/>
          </w:tcPr>
          <w:p>
            <w:pPr>
              <w:spacing w:after="0"/>
              <w:rPr>
                <w:sz w:val="20"/>
                <w:szCs w:val="20"/>
                <w:color w:val="auto"/>
              </w:rPr>
            </w:pPr>
            <w:r>
              <w:rPr>
                <w:rFonts w:ascii="Arial" w:cs="Arial" w:eastAsia="Arial" w:hAnsi="Arial"/>
                <w:sz w:val="18"/>
                <w:szCs w:val="18"/>
                <w:color w:val="auto"/>
              </w:rPr>
              <w:t>Hedge Category</w:t>
            </w:r>
          </w:p>
        </w:tc>
        <w:tc>
          <w:tcPr>
            <w:tcW w:w="6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w w:val="91"/>
              </w:rPr>
              <w:t>Average Notional Balance</w:t>
            </w:r>
          </w:p>
        </w:tc>
        <w:tc>
          <w:tcPr>
            <w:tcW w:w="200" w:type="dxa"/>
            <w:vAlign w:val="bottom"/>
          </w:tcPr>
          <w:p>
            <w:pPr>
              <w:spacing w:after="0"/>
              <w:rPr>
                <w:sz w:val="23"/>
                <w:szCs w:val="23"/>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Balance</w:t>
            </w:r>
          </w:p>
        </w:tc>
        <w:tc>
          <w:tcPr>
            <w:tcW w:w="1320" w:type="dxa"/>
            <w:vAlign w:val="bottom"/>
          </w:tcPr>
          <w:p>
            <w:pPr>
              <w:jc w:val="right"/>
              <w:spacing w:after="0"/>
              <w:rPr>
                <w:sz w:val="20"/>
                <w:szCs w:val="20"/>
                <w:color w:val="auto"/>
              </w:rPr>
            </w:pPr>
            <w:r>
              <w:rPr>
                <w:rFonts w:ascii="Arial" w:cs="Arial" w:eastAsia="Arial" w:hAnsi="Arial"/>
                <w:sz w:val="18"/>
                <w:szCs w:val="18"/>
                <w:color w:val="auto"/>
              </w:rPr>
              <w:t>Income (Loss)</w:t>
            </w:r>
          </w:p>
        </w:tc>
        <w:tc>
          <w:tcPr>
            <w:tcW w:w="28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Period End</w:t>
            </w:r>
          </w:p>
        </w:tc>
      </w:tr>
      <w:tr>
        <w:trPr>
          <w:trHeight w:val="46"/>
        </w:trPr>
        <w:tc>
          <w:tcPr>
            <w:tcW w:w="1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40" w:type="dxa"/>
            <w:vAlign w:val="bottom"/>
          </w:tcPr>
          <w:p>
            <w:pPr>
              <w:spacing w:after="0"/>
              <w:rPr>
                <w:sz w:val="4"/>
                <w:szCs w:val="4"/>
                <w:color w:val="auto"/>
              </w:rPr>
            </w:pPr>
          </w:p>
        </w:tc>
      </w:tr>
      <w:tr>
        <w:trPr>
          <w:trHeight w:val="278"/>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Borrowed Funds</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81"/>
        </w:trPr>
        <w:tc>
          <w:tcPr>
            <w:tcW w:w="166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9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52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8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color w:val="auto"/>
        </w:rPr>
        <w:t>On April 17, 2024 the Bank elected to settle its previously established cash flow hedges designated against $40.0 million of floating-rate liabilities. This election was made in response to planned reductions in the Bank’s future levels of floating rate brokered certificates of deposit. Due to increases in interest rates since the inception dates of the cash flow hedges, the Bank recorded a deferred gain of $766,000 as a component of other assets on the accompanying Consolidated Statements of Condition. $458,000 of this gain will be recognized, as a reduction of interest expense, in substantially equal monthly installments through April 30, 2026 and $308,000 of this gain will be recognized as a reduction in interest expense, in substantially equal monthly installments through April 30, 2027, which were the respective original maturity dates of the settled hedging contracts.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24</w:t>
      </w:r>
    </w:p>
    <w:p>
      <w:pPr>
        <w:sectPr>
          <w:pgSz w:w="11900" w:h="16838" w:orient="portrait"/>
          <w:cols w:equalWidth="0" w:num="1">
            <w:col w:w="9400"/>
          </w:cols>
          <w:pgMar w:left="1260" w:top="1440" w:right="1246" w:bottom="0" w:gutter="0" w:footer="0" w:header="0"/>
          <w:type w:val="continuous"/>
        </w:sectPr>
      </w:pPr>
    </w:p>
    <w:bookmarkStart w:id="236" w:name="page237"/>
    <w:bookmarkEnd w:id="236"/>
    <w:p>
      <w:pPr>
        <w:jc w:val="both"/>
        <w:spacing w:after="0" w:line="329" w:lineRule="auto"/>
        <w:rPr>
          <w:sz w:val="20"/>
          <w:szCs w:val="20"/>
          <w:color w:val="auto"/>
        </w:rPr>
      </w:pPr>
      <w:r>
        <w:rPr>
          <w:rFonts w:ascii="Arial" w:cs="Arial" w:eastAsia="Arial" w:hAnsi="Arial"/>
          <w:sz w:val="19"/>
          <w:szCs w:val="19"/>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December 31, 2025.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24</w:t>
      </w:r>
    </w:p>
    <w:p>
      <w:pPr>
        <w:sectPr>
          <w:pgSz w:w="11900" w:h="16838" w:orient="portrait"/>
          <w:cols w:equalWidth="0" w:num="1">
            <w:col w:w="9380"/>
          </w:cols>
          <w:pgMar w:left="1260" w:top="1173" w:right="1266" w:bottom="0" w:gutter="0" w:footer="0" w:header="0"/>
          <w:type w:val="continuous"/>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22: FAIR VALUE MEASUREMENTS</w:t>
      </w:r>
    </w:p>
    <w:p>
      <w:pPr>
        <w:spacing w:after="0" w:line="200"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 xml:space="preserve">ASC 820, </w:t>
      </w:r>
      <w:r>
        <w:rPr>
          <w:rFonts w:ascii="Arial" w:cs="Arial" w:eastAsia="Arial" w:hAnsi="Arial"/>
          <w:sz w:val="20"/>
          <w:szCs w:val="20"/>
          <w:i w:val="1"/>
          <w:iCs w:val="1"/>
          <w:color w:val="auto"/>
        </w:rPr>
        <w:t>Fair Value Measurements,</w:t>
      </w:r>
      <w:r>
        <w:rPr>
          <w:rFonts w:ascii="Arial" w:cs="Arial" w:eastAsia="Arial" w:hAnsi="Arial"/>
          <w:sz w:val="20"/>
          <w:szCs w:val="20"/>
          <w:color w:val="auto"/>
        </w:rPr>
        <w:t xml:space="preserve">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36"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Level 1 – Quoted prices (unadjusted) for identical assets or liabilities in active markets that the entity has the ability to access as of the measurement date.</w:t>
      </w:r>
    </w:p>
    <w:p>
      <w:pPr>
        <w:spacing w:after="0" w:line="141"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37"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Level 3 – Model-derived valuations in which one or more significant inputs or significant value drivers are unobservable.</w:t>
      </w:r>
    </w:p>
    <w:p>
      <w:pPr>
        <w:spacing w:after="0" w:line="141"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An asset’s or liability’s level within the fair value hierarchy is based on the lowest level of input that is significant to the fair value measurement.</w:t>
      </w:r>
    </w:p>
    <w:p>
      <w:pPr>
        <w:spacing w:after="0" w:line="141"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The Company used the following methods and significant assumptions to estimate fair value:</w:t>
      </w:r>
    </w:p>
    <w:p>
      <w:pPr>
        <w:spacing w:after="0" w:line="20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Investment securities: The fair values of AFS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1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Within the AFS portfolio, the Bank holds two corporate investment securities with an aggregate amortized historical cost of $4.0 million and an aggregate fair market value of $4.2 million as of December 31, 2025 and 2024, respectively. The securities had a valuation that is determined using published net asset values (NAV) derived by an analysis of the security’s underlying assets. The securities are comprised primarily of broadly-diversified real estate loans and are traded in secondary markets on an infrequent basis. While these securities are redeemable through tender offers made by their respective issuers, the liquidation value of the securities may be below their stated NAVs and also subject to restrictions as to the amount of securities that can be redeemed at any single scheduled redemption. The Company anticipates that these securities will be redeemed by their respective issuers on indeterminate future dates as a consequence of the ultimate liquidation strategies employed by the management of these investments.</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 / 24</w:t>
      </w:r>
    </w:p>
    <w:p>
      <w:pPr>
        <w:sectPr>
          <w:pgSz w:w="11900" w:h="16838" w:orient="portrait"/>
          <w:cols w:equalWidth="0" w:num="1">
            <w:col w:w="9340"/>
          </w:cols>
          <w:pgMar w:left="1260" w:top="1440" w:right="1306" w:bottom="0" w:gutter="0" w:footer="0" w:header="0"/>
          <w:type w:val="continuous"/>
        </w:sectPr>
      </w:pPr>
    </w:p>
    <w:bookmarkStart w:id="238" w:name="page239"/>
    <w:bookmarkEnd w:id="238"/>
    <w:p>
      <w:pPr>
        <w:jc w:val="both"/>
        <w:ind w:right="40"/>
        <w:spacing w:after="0" w:line="329" w:lineRule="auto"/>
        <w:rPr>
          <w:sz w:val="20"/>
          <w:szCs w:val="20"/>
          <w:color w:val="auto"/>
        </w:rPr>
      </w:pPr>
      <w:r>
        <w:rPr>
          <w:rFonts w:ascii="Arial" w:cs="Arial" w:eastAsia="Arial" w:hAnsi="Arial"/>
          <w:sz w:val="19"/>
          <w:szCs w:val="19"/>
          <w:color w:val="auto"/>
        </w:rPr>
        <w:t>The Company also holds two limited partnership investments managed by an unrelated third party with an aggregate fair market value of $6.0 million and $4.1 million as of December 31, 2025 and 2024, respectively. The investments are funds comprised of marketable equity securities, primarily focused on community banks and financial technology companies. These investments are recorded at fair value at the end of each reporting period using Level 1 valuation techniques. Unrealized changes in the fair value of these investments are recorded as components of periodic net income in the period in which the changes occur.</w:t>
      </w:r>
    </w:p>
    <w:p>
      <w:pPr>
        <w:spacing w:after="0" w:line="123"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135"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Individually evaluated loans: Individually evaluated loans are those loans in which the Company has measured potential credit losses based on the fair value of the loan’s collateral or the discounted value of expected future cash flows. Fair value is generally determined based upon market value evaluations by third parties of the properties and/ 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Individually evaluated loans are subject to nonrecurring fair value adjustments upon initial recognition or subsequent impairment. A portion of the allowance for credit losses is allocated to individually evaluated loans if the value of such loans is deemed to be less than the unpaid balance.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24</w:t>
      </w:r>
    </w:p>
    <w:p>
      <w:pPr>
        <w:sectPr>
          <w:pgSz w:w="11900" w:h="16838" w:orient="portrait"/>
          <w:cols w:equalWidth="0" w:num="1">
            <w:col w:w="9400"/>
          </w:cols>
          <w:pgMar w:left="1260" w:top="1173" w:right="1246" w:bottom="0" w:gutter="0" w:footer="0" w:header="0"/>
          <w:type w:val="continuous"/>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following tables summarize assets measured at fair value on a recurring basis as of December 31, segregated by the level of valuation inputs within the hierarchy utilized to measure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3"/>
          </w:tcPr>
          <w:p>
            <w:pPr>
              <w:jc w:val="right"/>
              <w:ind w:right="340"/>
              <w:spacing w:after="0"/>
              <w:rPr>
                <w:sz w:val="20"/>
                <w:szCs w:val="20"/>
                <w:color w:val="auto"/>
              </w:rPr>
            </w:pPr>
            <w:r>
              <w:rPr>
                <w:rFonts w:ascii="Arial" w:cs="Arial" w:eastAsia="Arial" w:hAnsi="Arial"/>
                <w:sz w:val="20"/>
                <w:szCs w:val="20"/>
                <w:color w:val="auto"/>
                <w:w w:val="94"/>
              </w:rPr>
              <w:t>December 31, 2025</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24"/>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w w:val="97"/>
              </w:rPr>
              <w:t>Total Fair</w:t>
            </w:r>
          </w:p>
        </w:tc>
      </w:tr>
      <w:tr>
        <w:trPr>
          <w:trHeight w:val="314"/>
        </w:trPr>
        <w:tc>
          <w:tcPr>
            <w:tcW w:w="4440" w:type="dxa"/>
            <w:vAlign w:val="bottom"/>
            <w:gridSpan w:val="3"/>
          </w:tcPr>
          <w:p>
            <w:pPr>
              <w:spacing w:after="0"/>
              <w:rPr>
                <w:sz w:val="20"/>
                <w:szCs w:val="20"/>
                <w:color w:val="auto"/>
              </w:rPr>
            </w:pPr>
            <w:r>
              <w:rPr>
                <w:rFonts w:ascii="Arial" w:cs="Arial" w:eastAsia="Arial" w:hAnsi="Arial"/>
                <w:sz w:val="20"/>
                <w:szCs w:val="20"/>
                <w:i w:val="1"/>
                <w:iCs w:val="1"/>
                <w:color w:val="auto"/>
              </w:rPr>
              <w:t>(In thousands)</w:t>
            </w:r>
          </w:p>
        </w:tc>
        <w:tc>
          <w:tcPr>
            <w:tcW w:w="42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Level 1</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Level 2</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Level 3</w:t>
            </w:r>
          </w:p>
        </w:tc>
        <w:tc>
          <w:tcPr>
            <w:tcW w:w="26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Value</w:t>
            </w:r>
          </w:p>
        </w:tc>
      </w:tr>
      <w:tr>
        <w:trPr>
          <w:trHeight w:val="51"/>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94"/>
        </w:trPr>
        <w:tc>
          <w:tcPr>
            <w:tcW w:w="44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20"/>
                <w:szCs w:val="20"/>
                <w:b w:val="1"/>
                <w:bCs w:val="1"/>
                <w:i w:val="1"/>
                <w:iCs w:val="1"/>
                <w:color w:val="auto"/>
              </w:rPr>
              <w:t>Available-for-Sale Portfolio</w:t>
            </w:r>
          </w:p>
        </w:tc>
        <w:tc>
          <w:tcPr>
            <w:tcW w:w="4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r>
      <w:tr>
        <w:trPr>
          <w:trHeight w:val="254"/>
        </w:trPr>
        <w:tc>
          <w:tcPr>
            <w:tcW w:w="4440" w:type="dxa"/>
            <w:vAlign w:val="bottom"/>
            <w:gridSpan w:val="3"/>
          </w:tcPr>
          <w:p>
            <w:pPr>
              <w:spacing w:after="0"/>
              <w:rPr>
                <w:sz w:val="20"/>
                <w:szCs w:val="20"/>
                <w:color w:val="auto"/>
              </w:rPr>
            </w:pPr>
            <w:r>
              <w:rPr>
                <w:rFonts w:ascii="Arial" w:cs="Arial" w:eastAsia="Arial" w:hAnsi="Arial"/>
                <w:sz w:val="20"/>
                <w:szCs w:val="20"/>
                <w:color w:val="auto"/>
              </w:rPr>
              <w:t>Debt investment securities:</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1"/>
        </w:trPr>
        <w:tc>
          <w:tcPr>
            <w:tcW w:w="21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44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20"/>
                <w:szCs w:val="20"/>
                <w:color w:val="auto"/>
              </w:rPr>
              <w:t>US Treasury, agencies and GSEs</w:t>
            </w:r>
          </w:p>
        </w:tc>
        <w:tc>
          <w:tcPr>
            <w:tcW w:w="4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65,015</w:t>
            </w:r>
          </w:p>
        </w:tc>
        <w:tc>
          <w:tcPr>
            <w:tcW w:w="3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65,015</w:t>
            </w:r>
          </w:p>
        </w:tc>
      </w:tr>
      <w:tr>
        <w:trPr>
          <w:trHeight w:val="274"/>
        </w:trPr>
        <w:tc>
          <w:tcPr>
            <w:tcW w:w="4440" w:type="dxa"/>
            <w:vAlign w:val="bottom"/>
            <w:gridSpan w:val="3"/>
          </w:tcPr>
          <w:p>
            <w:pPr>
              <w:ind w:left="40"/>
              <w:spacing w:after="0"/>
              <w:rPr>
                <w:sz w:val="20"/>
                <w:szCs w:val="20"/>
                <w:color w:val="auto"/>
              </w:rPr>
            </w:pPr>
            <w:r>
              <w:rPr>
                <w:rFonts w:ascii="Arial" w:cs="Arial" w:eastAsia="Arial" w:hAnsi="Arial"/>
                <w:sz w:val="20"/>
                <w:szCs w:val="20"/>
                <w:color w:val="auto"/>
              </w:rPr>
              <w:t>State and political subdivisions</w:t>
            </w:r>
          </w:p>
        </w:tc>
        <w:tc>
          <w:tcPr>
            <w:tcW w:w="4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33,918</w:t>
            </w:r>
          </w:p>
        </w:tc>
        <w:tc>
          <w:tcPr>
            <w:tcW w:w="38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33,918</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44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20"/>
                <w:szCs w:val="20"/>
                <w:color w:val="auto"/>
              </w:rPr>
              <w:t>Corporate</w:t>
            </w:r>
          </w:p>
        </w:tc>
        <w:tc>
          <w:tcPr>
            <w:tcW w:w="4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3,753</w:t>
            </w: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3,753</w:t>
            </w:r>
          </w:p>
        </w:tc>
      </w:tr>
      <w:tr>
        <w:trPr>
          <w:trHeight w:val="274"/>
        </w:trPr>
        <w:tc>
          <w:tcPr>
            <w:tcW w:w="4440" w:type="dxa"/>
            <w:vAlign w:val="bottom"/>
            <w:gridSpan w:val="3"/>
          </w:tcPr>
          <w:p>
            <w:pPr>
              <w:ind w:left="40"/>
              <w:spacing w:after="0"/>
              <w:rPr>
                <w:sz w:val="20"/>
                <w:szCs w:val="20"/>
                <w:color w:val="auto"/>
              </w:rPr>
            </w:pPr>
            <w:r>
              <w:rPr>
                <w:rFonts w:ascii="Arial" w:cs="Arial" w:eastAsia="Arial" w:hAnsi="Arial"/>
                <w:sz w:val="20"/>
                <w:szCs w:val="20"/>
                <w:color w:val="auto"/>
              </w:rPr>
              <w:t>Corporate issuances measured at NAV</w:t>
            </w:r>
          </w:p>
        </w:tc>
        <w:tc>
          <w:tcPr>
            <w:tcW w:w="4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4,189</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44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20"/>
                <w:szCs w:val="20"/>
                <w:color w:val="auto"/>
              </w:rPr>
              <w:t>Asset backed securities</w:t>
            </w:r>
          </w:p>
        </w:tc>
        <w:tc>
          <w:tcPr>
            <w:tcW w:w="4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15,612</w:t>
            </w: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15,612</w:t>
            </w:r>
          </w:p>
        </w:tc>
      </w:tr>
      <w:tr>
        <w:trPr>
          <w:trHeight w:val="274"/>
        </w:trPr>
        <w:tc>
          <w:tcPr>
            <w:tcW w:w="4440" w:type="dxa"/>
            <w:vAlign w:val="bottom"/>
            <w:gridSpan w:val="3"/>
          </w:tcPr>
          <w:p>
            <w:pPr>
              <w:ind w:left="40"/>
              <w:spacing w:after="0"/>
              <w:rPr>
                <w:sz w:val="20"/>
                <w:szCs w:val="20"/>
                <w:color w:val="auto"/>
              </w:rPr>
            </w:pPr>
            <w:r>
              <w:rPr>
                <w:rFonts w:ascii="Arial" w:cs="Arial" w:eastAsia="Arial" w:hAnsi="Arial"/>
                <w:sz w:val="20"/>
                <w:szCs w:val="20"/>
                <w:color w:val="auto"/>
              </w:rPr>
              <w:t>Residential mortgage-backed - US agency</w:t>
            </w:r>
          </w:p>
        </w:tc>
        <w:tc>
          <w:tcPr>
            <w:tcW w:w="4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49,015</w:t>
            </w:r>
          </w:p>
        </w:tc>
        <w:tc>
          <w:tcPr>
            <w:tcW w:w="38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49,015</w:t>
            </w:r>
          </w:p>
        </w:tc>
      </w:tr>
      <w:tr>
        <w:trPr>
          <w:trHeight w:val="41"/>
        </w:trPr>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44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20"/>
                <w:szCs w:val="20"/>
                <w:color w:val="auto"/>
              </w:rPr>
              <w:t>Collateralized mortgage obligations - US agency</w:t>
            </w:r>
          </w:p>
        </w:tc>
        <w:tc>
          <w:tcPr>
            <w:tcW w:w="4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18,383</w:t>
            </w: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18,383</w:t>
            </w:r>
          </w:p>
        </w:tc>
      </w:tr>
      <w:tr>
        <w:trPr>
          <w:trHeight w:val="274"/>
        </w:trPr>
        <w:tc>
          <w:tcPr>
            <w:tcW w:w="4440" w:type="dxa"/>
            <w:vAlign w:val="bottom"/>
            <w:gridSpan w:val="3"/>
          </w:tcPr>
          <w:p>
            <w:pPr>
              <w:ind w:left="40"/>
              <w:spacing w:after="0"/>
              <w:rPr>
                <w:sz w:val="20"/>
                <w:szCs w:val="20"/>
                <w:color w:val="auto"/>
              </w:rPr>
            </w:pPr>
            <w:r>
              <w:rPr>
                <w:rFonts w:ascii="Arial" w:cs="Arial" w:eastAsia="Arial" w:hAnsi="Arial"/>
                <w:sz w:val="20"/>
                <w:szCs w:val="20"/>
                <w:color w:val="auto"/>
                <w:w w:val="99"/>
              </w:rPr>
              <w:t>Collateralized mortgage obligations - Private label</w:t>
            </w:r>
          </w:p>
        </w:tc>
        <w:tc>
          <w:tcPr>
            <w:tcW w:w="4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86,724</w:t>
            </w:r>
          </w:p>
        </w:tc>
        <w:tc>
          <w:tcPr>
            <w:tcW w:w="38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86,724</w:t>
            </w:r>
          </w:p>
        </w:tc>
      </w:tr>
      <w:tr>
        <w:trPr>
          <w:trHeight w:val="51"/>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94"/>
        </w:trPr>
        <w:tc>
          <w:tcPr>
            <w:tcW w:w="4440" w:type="dxa"/>
            <w:vAlign w:val="bottom"/>
            <w:tcBorders>
              <w:bottom w:val="single" w:sz="8" w:color="CFF0FC"/>
            </w:tcBorders>
            <w:gridSpan w:val="3"/>
            <w:shd w:val="clear" w:color="auto" w:fill="CFF0FC"/>
          </w:tcPr>
          <w:p>
            <w:pPr>
              <w:ind w:left="80"/>
              <w:spacing w:after="0"/>
              <w:rPr>
                <w:sz w:val="20"/>
                <w:szCs w:val="20"/>
                <w:color w:val="auto"/>
              </w:rPr>
            </w:pPr>
            <w:r>
              <w:rPr>
                <w:rFonts w:ascii="Arial" w:cs="Arial" w:eastAsia="Arial" w:hAnsi="Arial"/>
                <w:sz w:val="20"/>
                <w:szCs w:val="20"/>
                <w:color w:val="auto"/>
              </w:rPr>
              <w:t>Total</w:t>
            </w:r>
          </w:p>
        </w:tc>
        <w:tc>
          <w:tcPr>
            <w:tcW w:w="4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272,420</w:t>
            </w: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276,609</w:t>
            </w:r>
          </w:p>
        </w:tc>
      </w:tr>
      <w:tr>
        <w:trPr>
          <w:trHeight w:val="254"/>
        </w:trPr>
        <w:tc>
          <w:tcPr>
            <w:tcW w:w="4440" w:type="dxa"/>
            <w:vAlign w:val="bottom"/>
            <w:gridSpan w:val="3"/>
          </w:tcPr>
          <w:p>
            <w:pPr>
              <w:spacing w:after="0"/>
              <w:rPr>
                <w:sz w:val="20"/>
                <w:szCs w:val="20"/>
                <w:color w:val="auto"/>
              </w:rPr>
            </w:pPr>
            <w:r>
              <w:rPr>
                <w:rFonts w:ascii="Arial" w:cs="Arial" w:eastAsia="Arial" w:hAnsi="Arial"/>
                <w:sz w:val="20"/>
                <w:szCs w:val="20"/>
                <w:color w:val="auto"/>
              </w:rPr>
              <w:t>Equity investment securities:</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1"/>
        </w:trPr>
        <w:tc>
          <w:tcPr>
            <w:tcW w:w="21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04"/>
        </w:trPr>
        <w:tc>
          <w:tcPr>
            <w:tcW w:w="44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20"/>
                <w:szCs w:val="20"/>
                <w:color w:val="auto"/>
              </w:rPr>
              <w:t>Common stock - financial services industry</w:t>
            </w:r>
          </w:p>
        </w:tc>
        <w:tc>
          <w:tcPr>
            <w:tcW w:w="4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206</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206</w:t>
            </w:r>
          </w:p>
        </w:tc>
      </w:tr>
      <w:tr>
        <w:trPr>
          <w:trHeight w:val="274"/>
        </w:trPr>
        <w:tc>
          <w:tcPr>
            <w:tcW w:w="4440" w:type="dxa"/>
            <w:vAlign w:val="bottom"/>
            <w:gridSpan w:val="3"/>
          </w:tcPr>
          <w:p>
            <w:pPr>
              <w:spacing w:after="0"/>
              <w:rPr>
                <w:sz w:val="20"/>
                <w:szCs w:val="20"/>
                <w:color w:val="auto"/>
              </w:rPr>
            </w:pPr>
            <w:r>
              <w:rPr>
                <w:rFonts w:ascii="Arial" w:cs="Arial" w:eastAsia="Arial" w:hAnsi="Arial"/>
                <w:sz w:val="20"/>
                <w:szCs w:val="20"/>
                <w:color w:val="auto"/>
              </w:rPr>
              <w:t>Total available-for-sale securities</w:t>
            </w:r>
          </w:p>
        </w:tc>
        <w:tc>
          <w:tcPr>
            <w:tcW w:w="4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206</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272,420</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276,815</w:t>
            </w:r>
          </w:p>
        </w:tc>
      </w:tr>
      <w:tr>
        <w:trPr>
          <w:trHeight w:val="86"/>
        </w:trPr>
        <w:tc>
          <w:tcPr>
            <w:tcW w:w="2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314"/>
        </w:trPr>
        <w:tc>
          <w:tcPr>
            <w:tcW w:w="21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r>
      <w:tr>
        <w:trPr>
          <w:trHeight w:val="274"/>
        </w:trPr>
        <w:tc>
          <w:tcPr>
            <w:tcW w:w="4440" w:type="dxa"/>
            <w:vAlign w:val="bottom"/>
            <w:gridSpan w:val="3"/>
          </w:tcPr>
          <w:p>
            <w:pPr>
              <w:spacing w:after="0"/>
              <w:rPr>
                <w:sz w:val="20"/>
                <w:szCs w:val="20"/>
                <w:color w:val="auto"/>
              </w:rPr>
            </w:pPr>
            <w:r>
              <w:rPr>
                <w:rFonts w:ascii="Arial" w:cs="Arial" w:eastAsia="Arial" w:hAnsi="Arial"/>
                <w:sz w:val="20"/>
                <w:szCs w:val="20"/>
                <w:color w:val="auto"/>
              </w:rPr>
              <w:t>Marketable equity securities measured at NAV</w:t>
            </w:r>
          </w:p>
        </w:tc>
        <w:tc>
          <w:tcPr>
            <w:tcW w:w="4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6,034</w:t>
            </w:r>
          </w:p>
        </w:tc>
      </w:tr>
      <w:tr>
        <w:trPr>
          <w:trHeight w:val="86"/>
        </w:trPr>
        <w:tc>
          <w:tcPr>
            <w:tcW w:w="2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314"/>
        </w:trPr>
        <w:tc>
          <w:tcPr>
            <w:tcW w:w="21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r>
      <w:tr>
        <w:trPr>
          <w:trHeight w:val="274"/>
        </w:trPr>
        <w:tc>
          <w:tcPr>
            <w:tcW w:w="4440" w:type="dxa"/>
            <w:vAlign w:val="bottom"/>
            <w:gridSpan w:val="3"/>
          </w:tcPr>
          <w:p>
            <w:pPr>
              <w:spacing w:after="0"/>
              <w:rPr>
                <w:sz w:val="20"/>
                <w:szCs w:val="20"/>
                <w:color w:val="auto"/>
              </w:rPr>
            </w:pPr>
            <w:r>
              <w:rPr>
                <w:rFonts w:ascii="Arial" w:cs="Arial" w:eastAsia="Arial" w:hAnsi="Arial"/>
                <w:sz w:val="20"/>
                <w:szCs w:val="20"/>
                <w:color w:val="auto"/>
              </w:rPr>
              <w:t>Interest rate swap derivative fair value hedges</w:t>
            </w: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00"/>
        </w:trPr>
        <w:tc>
          <w:tcPr>
            <w:tcW w:w="4440" w:type="dxa"/>
            <w:vAlign w:val="bottom"/>
            <w:gridSpan w:val="3"/>
          </w:tcPr>
          <w:p>
            <w:pPr>
              <w:spacing w:after="0"/>
              <w:rPr>
                <w:sz w:val="20"/>
                <w:szCs w:val="20"/>
                <w:color w:val="auto"/>
              </w:rPr>
            </w:pPr>
            <w:r>
              <w:rPr>
                <w:rFonts w:ascii="Arial" w:cs="Arial" w:eastAsia="Arial" w:hAnsi="Arial"/>
                <w:sz w:val="20"/>
                <w:szCs w:val="20"/>
                <w:color w:val="auto"/>
                <w:w w:val="94"/>
              </w:rPr>
              <w:t>(unrealized gain carried as receivable from derivative</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4440" w:type="dxa"/>
            <w:vAlign w:val="bottom"/>
            <w:gridSpan w:val="3"/>
          </w:tcPr>
          <w:p>
            <w:pPr>
              <w:spacing w:after="0"/>
              <w:rPr>
                <w:sz w:val="20"/>
                <w:szCs w:val="20"/>
                <w:color w:val="auto"/>
              </w:rPr>
            </w:pPr>
            <w:r>
              <w:rPr>
                <w:rFonts w:ascii="Arial" w:cs="Arial" w:eastAsia="Arial" w:hAnsi="Arial"/>
                <w:sz w:val="20"/>
                <w:szCs w:val="20"/>
                <w:color w:val="auto"/>
              </w:rPr>
              <w:t>counterparties)</w:t>
            </w:r>
          </w:p>
        </w:tc>
        <w:tc>
          <w:tcPr>
            <w:tcW w:w="4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1,506</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1,506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-4429760</wp:posOffset>
            </wp:positionV>
            <wp:extent cx="3026410"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02641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-4024630</wp:posOffset>
            </wp:positionV>
            <wp:extent cx="5967730"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-2021840</wp:posOffset>
            </wp:positionV>
            <wp:extent cx="5967730" cy="6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-1416050</wp:posOffset>
            </wp:positionV>
            <wp:extent cx="5967730" cy="63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5967730" cy="285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-782320</wp:posOffset>
            </wp:positionV>
            <wp:extent cx="5967730" cy="2857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80" w:type="dxa"/>
            <w:vAlign w:val="bottom"/>
            <w:gridSpan w:val="3"/>
          </w:tcPr>
          <w:p>
            <w:pPr>
              <w:ind w:left="100"/>
              <w:spacing w:after="0"/>
              <w:rPr>
                <w:sz w:val="20"/>
                <w:szCs w:val="20"/>
                <w:color w:val="auto"/>
              </w:rPr>
            </w:pPr>
            <w:r>
              <w:rPr>
                <w:rFonts w:ascii="Arial" w:cs="Arial" w:eastAsia="Arial" w:hAnsi="Arial"/>
                <w:sz w:val="20"/>
                <w:szCs w:val="20"/>
                <w:color w:val="auto"/>
              </w:rPr>
              <w:t>December 31, 2024</w:t>
            </w:r>
          </w:p>
        </w:tc>
        <w:tc>
          <w:tcPr>
            <w:tcW w:w="960" w:type="dxa"/>
            <w:vAlign w:val="bottom"/>
          </w:tcPr>
          <w:p>
            <w:pPr>
              <w:spacing w:after="0"/>
              <w:rPr>
                <w:sz w:val="19"/>
                <w:szCs w:val="19"/>
                <w:color w:val="auto"/>
              </w:rPr>
            </w:pPr>
          </w:p>
        </w:tc>
      </w:tr>
      <w:tr>
        <w:trPr>
          <w:trHeight w:val="324"/>
        </w:trPr>
        <w:tc>
          <w:tcPr>
            <w:tcW w:w="2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w w:val="97"/>
              </w:rPr>
              <w:t>Total Fair</w:t>
            </w:r>
          </w:p>
        </w:tc>
      </w:tr>
      <w:tr>
        <w:trPr>
          <w:trHeight w:val="314"/>
        </w:trPr>
        <w:tc>
          <w:tcPr>
            <w:tcW w:w="4340" w:type="dxa"/>
            <w:vAlign w:val="bottom"/>
            <w:gridSpan w:val="2"/>
          </w:tcPr>
          <w:p>
            <w:pPr>
              <w:spacing w:after="0"/>
              <w:rPr>
                <w:sz w:val="20"/>
                <w:szCs w:val="20"/>
                <w:color w:val="auto"/>
              </w:rPr>
            </w:pPr>
            <w:r>
              <w:rPr>
                <w:rFonts w:ascii="Arial" w:cs="Arial" w:eastAsia="Arial" w:hAnsi="Arial"/>
                <w:sz w:val="20"/>
                <w:szCs w:val="20"/>
                <w:i w:val="1"/>
                <w:iCs w:val="1"/>
                <w:color w:val="auto"/>
              </w:rPr>
              <w:t>(In thousands)</w:t>
            </w:r>
          </w:p>
        </w:tc>
        <w:tc>
          <w:tcPr>
            <w:tcW w:w="52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20"/>
                <w:szCs w:val="20"/>
                <w:color w:val="auto"/>
              </w:rPr>
              <w:t>Level 1</w:t>
            </w:r>
          </w:p>
        </w:tc>
        <w:tc>
          <w:tcPr>
            <w:tcW w:w="880" w:type="dxa"/>
            <w:vAlign w:val="bottom"/>
          </w:tcPr>
          <w:p>
            <w:pPr>
              <w:jc w:val="right"/>
              <w:spacing w:after="0"/>
              <w:rPr>
                <w:sz w:val="20"/>
                <w:szCs w:val="20"/>
                <w:color w:val="auto"/>
              </w:rPr>
            </w:pPr>
            <w:r>
              <w:rPr>
                <w:rFonts w:ascii="Arial" w:cs="Arial" w:eastAsia="Arial" w:hAnsi="Arial"/>
                <w:sz w:val="20"/>
                <w:szCs w:val="20"/>
                <w:color w:val="auto"/>
              </w:rPr>
              <w:t>Level 2</w:t>
            </w:r>
          </w:p>
        </w:tc>
        <w:tc>
          <w:tcPr>
            <w:tcW w:w="38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20"/>
                <w:szCs w:val="20"/>
                <w:color w:val="auto"/>
              </w:rPr>
              <w:t>Level 3</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Value</w:t>
            </w:r>
          </w:p>
        </w:tc>
      </w:tr>
      <w:tr>
        <w:trPr>
          <w:trHeight w:val="324"/>
        </w:trPr>
        <w:tc>
          <w:tcPr>
            <w:tcW w:w="434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Available-for-Sale Portfolio</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
        </w:trPr>
        <w:tc>
          <w:tcPr>
            <w:tcW w:w="21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2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Debt investment securities:</w:t>
            </w:r>
          </w:p>
        </w:tc>
        <w:tc>
          <w:tcPr>
            <w:tcW w:w="21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r>
      <w:tr>
        <w:trPr>
          <w:trHeight w:val="274"/>
        </w:trPr>
        <w:tc>
          <w:tcPr>
            <w:tcW w:w="4340" w:type="dxa"/>
            <w:vAlign w:val="bottom"/>
            <w:gridSpan w:val="2"/>
          </w:tcPr>
          <w:p>
            <w:pPr>
              <w:ind w:left="40"/>
              <w:spacing w:after="0"/>
              <w:rPr>
                <w:sz w:val="20"/>
                <w:szCs w:val="20"/>
                <w:color w:val="auto"/>
              </w:rPr>
            </w:pPr>
            <w:r>
              <w:rPr>
                <w:rFonts w:ascii="Arial" w:cs="Arial" w:eastAsia="Arial" w:hAnsi="Arial"/>
                <w:sz w:val="20"/>
                <w:szCs w:val="20"/>
                <w:color w:val="auto"/>
              </w:rPr>
              <w:t>US Treasury, agencies and GSEs</w:t>
            </w:r>
          </w:p>
        </w:tc>
        <w:tc>
          <w:tcPr>
            <w:tcW w:w="5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200" w:type="dxa"/>
            <w:vAlign w:val="bottom"/>
          </w:tcPr>
          <w:p>
            <w:pPr>
              <w:ind w:left="700"/>
              <w:spacing w:after="0"/>
              <w:rPr>
                <w:sz w:val="20"/>
                <w:szCs w:val="20"/>
                <w:color w:val="auto"/>
              </w:rPr>
            </w:pPr>
            <w:r>
              <w:rPr>
                <w:rFonts w:ascii="Arial" w:cs="Arial" w:eastAsia="Arial" w:hAnsi="Arial"/>
                <w:sz w:val="20"/>
                <w:szCs w:val="20"/>
                <w:color w:val="auto"/>
              </w:rPr>
              <w:t>-  $</w:t>
            </w:r>
          </w:p>
        </w:tc>
        <w:tc>
          <w:tcPr>
            <w:tcW w:w="880" w:type="dxa"/>
            <w:vAlign w:val="bottom"/>
          </w:tcPr>
          <w:p>
            <w:pPr>
              <w:jc w:val="right"/>
              <w:spacing w:after="0"/>
              <w:rPr>
                <w:sz w:val="20"/>
                <w:szCs w:val="20"/>
                <w:color w:val="auto"/>
              </w:rPr>
            </w:pPr>
            <w:r>
              <w:rPr>
                <w:rFonts w:ascii="Arial" w:cs="Arial" w:eastAsia="Arial" w:hAnsi="Arial"/>
                <w:sz w:val="20"/>
                <w:szCs w:val="20"/>
                <w:color w:val="auto"/>
              </w:rPr>
              <w:t>70,425</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tcPr>
          <w:p>
            <w:pPr>
              <w:ind w:left="680"/>
              <w:spacing w:after="0"/>
              <w:rPr>
                <w:sz w:val="20"/>
                <w:szCs w:val="20"/>
                <w:color w:val="auto"/>
              </w:rPr>
            </w:pPr>
            <w:r>
              <w:rPr>
                <w:rFonts w:ascii="Arial" w:cs="Arial" w:eastAsia="Arial" w:hAnsi="Arial"/>
                <w:sz w:val="20"/>
                <w:szCs w:val="20"/>
                <w:color w:val="auto"/>
              </w:rPr>
              <w:t>-  $</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70,425</w:t>
            </w:r>
          </w:p>
        </w:tc>
      </w:tr>
      <w:tr>
        <w:trPr>
          <w:trHeight w:val="41"/>
        </w:trPr>
        <w:tc>
          <w:tcPr>
            <w:tcW w:w="21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43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20"/>
                <w:szCs w:val="20"/>
                <w:color w:val="auto"/>
              </w:rPr>
              <w:t>State and political subdivisions</w:t>
            </w:r>
          </w:p>
        </w:tc>
        <w:tc>
          <w:tcPr>
            <w:tcW w:w="5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33,322</w:t>
            </w:r>
          </w:p>
        </w:tc>
        <w:tc>
          <w:tcPr>
            <w:tcW w:w="3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33,322</w:t>
            </w:r>
          </w:p>
        </w:tc>
      </w:tr>
      <w:tr>
        <w:trPr>
          <w:trHeight w:val="274"/>
        </w:trPr>
        <w:tc>
          <w:tcPr>
            <w:tcW w:w="4340" w:type="dxa"/>
            <w:vAlign w:val="bottom"/>
            <w:gridSpan w:val="2"/>
          </w:tcPr>
          <w:p>
            <w:pPr>
              <w:ind w:left="40"/>
              <w:spacing w:after="0"/>
              <w:rPr>
                <w:sz w:val="20"/>
                <w:szCs w:val="20"/>
                <w:color w:val="auto"/>
              </w:rPr>
            </w:pPr>
            <w:r>
              <w:rPr>
                <w:rFonts w:ascii="Arial" w:cs="Arial" w:eastAsia="Arial" w:hAnsi="Arial"/>
                <w:sz w:val="20"/>
                <w:szCs w:val="20"/>
                <w:color w:val="auto"/>
              </w:rPr>
              <w:t>Corporate</w:t>
            </w:r>
          </w:p>
        </w:tc>
        <w:tc>
          <w:tcPr>
            <w:tcW w:w="520" w:type="dxa"/>
            <w:vAlign w:val="bottom"/>
          </w:tcPr>
          <w:p>
            <w:pPr>
              <w:spacing w:after="0"/>
              <w:rPr>
                <w:sz w:val="23"/>
                <w:szCs w:val="23"/>
                <w:color w:val="auto"/>
              </w:rPr>
            </w:pPr>
          </w:p>
        </w:tc>
        <w:tc>
          <w:tcPr>
            <w:tcW w:w="1200" w:type="dxa"/>
            <w:vAlign w:val="bottom"/>
          </w:tcPr>
          <w:p>
            <w:pPr>
              <w:ind w:left="70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6,636</w:t>
            </w:r>
          </w:p>
        </w:tc>
        <w:tc>
          <w:tcPr>
            <w:tcW w:w="380" w:type="dxa"/>
            <w:vAlign w:val="bottom"/>
          </w:tcPr>
          <w:p>
            <w:pPr>
              <w:spacing w:after="0"/>
              <w:rPr>
                <w:sz w:val="23"/>
                <w:szCs w:val="23"/>
                <w:color w:val="auto"/>
              </w:rPr>
            </w:pPr>
          </w:p>
        </w:tc>
        <w:tc>
          <w:tcPr>
            <w:tcW w:w="1120" w:type="dxa"/>
            <w:vAlign w:val="bottom"/>
          </w:tcPr>
          <w:p>
            <w:pPr>
              <w:ind w:left="68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6,636</w:t>
            </w:r>
          </w:p>
        </w:tc>
      </w:tr>
      <w:tr>
        <w:trPr>
          <w:trHeight w:val="41"/>
        </w:trPr>
        <w:tc>
          <w:tcPr>
            <w:tcW w:w="21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43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20"/>
                <w:szCs w:val="20"/>
                <w:color w:val="auto"/>
              </w:rPr>
              <w:t>Corporate issuances measured at NAV</w:t>
            </w:r>
          </w:p>
        </w:tc>
        <w:tc>
          <w:tcPr>
            <w:tcW w:w="5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4,245</w:t>
            </w:r>
          </w:p>
        </w:tc>
      </w:tr>
      <w:tr>
        <w:trPr>
          <w:trHeight w:val="274"/>
        </w:trPr>
        <w:tc>
          <w:tcPr>
            <w:tcW w:w="4340" w:type="dxa"/>
            <w:vAlign w:val="bottom"/>
            <w:gridSpan w:val="2"/>
          </w:tcPr>
          <w:p>
            <w:pPr>
              <w:ind w:left="40"/>
              <w:spacing w:after="0"/>
              <w:rPr>
                <w:sz w:val="20"/>
                <w:szCs w:val="20"/>
                <w:color w:val="auto"/>
              </w:rPr>
            </w:pPr>
            <w:r>
              <w:rPr>
                <w:rFonts w:ascii="Arial" w:cs="Arial" w:eastAsia="Arial" w:hAnsi="Arial"/>
                <w:sz w:val="20"/>
                <w:szCs w:val="20"/>
                <w:color w:val="auto"/>
              </w:rPr>
              <w:t>Asset backed securities</w:t>
            </w:r>
          </w:p>
        </w:tc>
        <w:tc>
          <w:tcPr>
            <w:tcW w:w="520" w:type="dxa"/>
            <w:vAlign w:val="bottom"/>
          </w:tcPr>
          <w:p>
            <w:pPr>
              <w:spacing w:after="0"/>
              <w:rPr>
                <w:sz w:val="23"/>
                <w:szCs w:val="23"/>
                <w:color w:val="auto"/>
              </w:rPr>
            </w:pPr>
          </w:p>
        </w:tc>
        <w:tc>
          <w:tcPr>
            <w:tcW w:w="1200" w:type="dxa"/>
            <w:vAlign w:val="bottom"/>
          </w:tcPr>
          <w:p>
            <w:pPr>
              <w:ind w:left="70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18,487</w:t>
            </w:r>
          </w:p>
        </w:tc>
        <w:tc>
          <w:tcPr>
            <w:tcW w:w="380" w:type="dxa"/>
            <w:vAlign w:val="bottom"/>
          </w:tcPr>
          <w:p>
            <w:pPr>
              <w:spacing w:after="0"/>
              <w:rPr>
                <w:sz w:val="23"/>
                <w:szCs w:val="23"/>
                <w:color w:val="auto"/>
              </w:rPr>
            </w:pPr>
          </w:p>
        </w:tc>
        <w:tc>
          <w:tcPr>
            <w:tcW w:w="1120" w:type="dxa"/>
            <w:vAlign w:val="bottom"/>
          </w:tcPr>
          <w:p>
            <w:pPr>
              <w:ind w:left="68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18,487</w:t>
            </w:r>
          </w:p>
        </w:tc>
      </w:tr>
      <w:tr>
        <w:trPr>
          <w:trHeight w:val="41"/>
        </w:trPr>
        <w:tc>
          <w:tcPr>
            <w:tcW w:w="21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43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20"/>
                <w:szCs w:val="20"/>
                <w:color w:val="auto"/>
              </w:rPr>
              <w:t>Residential mortgage-backed - US agency</w:t>
            </w:r>
          </w:p>
        </w:tc>
        <w:tc>
          <w:tcPr>
            <w:tcW w:w="5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39,171</w:t>
            </w:r>
          </w:p>
        </w:tc>
        <w:tc>
          <w:tcPr>
            <w:tcW w:w="3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39,171</w:t>
            </w:r>
          </w:p>
        </w:tc>
      </w:tr>
      <w:tr>
        <w:trPr>
          <w:trHeight w:val="274"/>
        </w:trPr>
        <w:tc>
          <w:tcPr>
            <w:tcW w:w="4340" w:type="dxa"/>
            <w:vAlign w:val="bottom"/>
            <w:gridSpan w:val="2"/>
          </w:tcPr>
          <w:p>
            <w:pPr>
              <w:ind w:left="40"/>
              <w:spacing w:after="0"/>
              <w:rPr>
                <w:sz w:val="20"/>
                <w:szCs w:val="20"/>
                <w:color w:val="auto"/>
              </w:rPr>
            </w:pPr>
            <w:r>
              <w:rPr>
                <w:rFonts w:ascii="Arial" w:cs="Arial" w:eastAsia="Arial" w:hAnsi="Arial"/>
                <w:sz w:val="20"/>
                <w:szCs w:val="20"/>
                <w:color w:val="auto"/>
              </w:rPr>
              <w:t>Collateralized mortgage obligations - US agency</w:t>
            </w:r>
          </w:p>
        </w:tc>
        <w:tc>
          <w:tcPr>
            <w:tcW w:w="520" w:type="dxa"/>
            <w:vAlign w:val="bottom"/>
          </w:tcPr>
          <w:p>
            <w:pPr>
              <w:spacing w:after="0"/>
              <w:rPr>
                <w:sz w:val="23"/>
                <w:szCs w:val="23"/>
                <w:color w:val="auto"/>
              </w:rPr>
            </w:pPr>
          </w:p>
        </w:tc>
        <w:tc>
          <w:tcPr>
            <w:tcW w:w="1200" w:type="dxa"/>
            <w:vAlign w:val="bottom"/>
          </w:tcPr>
          <w:p>
            <w:pPr>
              <w:ind w:left="70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13,530</w:t>
            </w:r>
          </w:p>
        </w:tc>
        <w:tc>
          <w:tcPr>
            <w:tcW w:w="380" w:type="dxa"/>
            <w:vAlign w:val="bottom"/>
          </w:tcPr>
          <w:p>
            <w:pPr>
              <w:spacing w:after="0"/>
              <w:rPr>
                <w:sz w:val="23"/>
                <w:szCs w:val="23"/>
                <w:color w:val="auto"/>
              </w:rPr>
            </w:pPr>
          </w:p>
        </w:tc>
        <w:tc>
          <w:tcPr>
            <w:tcW w:w="1120" w:type="dxa"/>
            <w:vAlign w:val="bottom"/>
          </w:tcPr>
          <w:p>
            <w:pPr>
              <w:ind w:left="68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13,530</w:t>
            </w:r>
          </w:p>
        </w:tc>
      </w:tr>
      <w:tr>
        <w:trPr>
          <w:trHeight w:val="41"/>
        </w:trPr>
        <w:tc>
          <w:tcPr>
            <w:tcW w:w="21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04"/>
        </w:trPr>
        <w:tc>
          <w:tcPr>
            <w:tcW w:w="43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20"/>
                <w:szCs w:val="20"/>
                <w:color w:val="auto"/>
                <w:w w:val="97"/>
              </w:rPr>
              <w:t>Collateralized mortgage obligations - Private label</w:t>
            </w:r>
          </w:p>
        </w:tc>
        <w:tc>
          <w:tcPr>
            <w:tcW w:w="5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83,309</w:t>
            </w:r>
          </w:p>
        </w:tc>
        <w:tc>
          <w:tcPr>
            <w:tcW w:w="3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83,309</w:t>
            </w:r>
          </w:p>
        </w:tc>
      </w:tr>
      <w:tr>
        <w:trPr>
          <w:trHeight w:val="274"/>
        </w:trPr>
        <w:tc>
          <w:tcPr>
            <w:tcW w:w="4340" w:type="dxa"/>
            <w:vAlign w:val="bottom"/>
            <w:gridSpan w:val="2"/>
          </w:tcPr>
          <w:p>
            <w:pPr>
              <w:ind w:left="80"/>
              <w:spacing w:after="0"/>
              <w:rPr>
                <w:sz w:val="20"/>
                <w:szCs w:val="20"/>
                <w:color w:val="auto"/>
              </w:rPr>
            </w:pPr>
            <w:r>
              <w:rPr>
                <w:rFonts w:ascii="Arial" w:cs="Arial" w:eastAsia="Arial" w:hAnsi="Arial"/>
                <w:sz w:val="20"/>
                <w:szCs w:val="20"/>
                <w:color w:val="auto"/>
              </w:rPr>
              <w:t>Total</w:t>
            </w: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264,880</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269,125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-2588260</wp:posOffset>
            </wp:positionV>
            <wp:extent cx="3026410" cy="63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02641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-2182495</wp:posOffset>
            </wp:positionV>
            <wp:extent cx="5967730" cy="6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24</w:t>
      </w:r>
    </w:p>
    <w:p>
      <w:pPr>
        <w:sectPr>
          <w:pgSz w:w="11900" w:h="16838" w:orient="portrait"/>
          <w:cols w:equalWidth="0" w:num="1">
            <w:col w:w="9400"/>
          </w:cols>
          <w:pgMar w:left="1260" w:top="1440" w:right="1246" w:bottom="0" w:gutter="0" w:footer="0" w:header="0"/>
          <w:type w:val="continuous"/>
        </w:sectPr>
      </w:pPr>
    </w:p>
    <w:bookmarkStart w:id="240" w:name="page241"/>
    <w:bookmarkEnd w:id="240"/>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93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t>Equity investment securities: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ind w:left="40"/>
              <w:spacing w:after="0"/>
              <w:rPr>
                <w:sz w:val="20"/>
                <w:szCs w:val="20"/>
                <w:color w:val="auto"/>
              </w:rPr>
            </w:pPr>
            <w:r>
              <w:rPr>
                <w:rFonts w:ascii="Arial" w:cs="Arial" w:eastAsia="Arial" w:hAnsi="Arial"/>
                <w:sz w:val="20"/>
                <w:szCs w:val="20"/>
                <w:color w:val="auto"/>
              </w:rPr>
              <w:t>Common stock - financial services industry</w:t>
            </w:r>
          </w:p>
        </w:tc>
        <w:tc>
          <w:tcPr>
            <w:tcW w:w="5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206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spacing w:after="0"/>
              <w:rPr>
                <w:sz w:val="19"/>
                <w:szCs w:val="19"/>
                <w:color w:val="auto"/>
              </w:rPr>
            </w:pPr>
          </w:p>
        </w:tc>
        <w:tc>
          <w:tcPr>
            <w:tcW w:w="6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206</w:t>
            </w:r>
          </w:p>
        </w:tc>
      </w:tr>
      <w:tr>
        <w:trPr>
          <w:trHeight w:val="51"/>
        </w:trPr>
        <w:tc>
          <w:tcPr>
            <w:tcW w:w="4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4"/>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Total available-for-sale securities</w:t>
            </w:r>
          </w:p>
        </w:tc>
        <w:tc>
          <w:tcPr>
            <w:tcW w:w="580" w:type="dxa"/>
            <w:vAlign w:val="bottom"/>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206</w:t>
            </w:r>
          </w:p>
        </w:tc>
        <w:tc>
          <w:tcPr>
            <w:tcW w:w="3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264,880</w:t>
            </w:r>
          </w:p>
        </w:tc>
        <w:tc>
          <w:tcPr>
            <w:tcW w:w="640" w:type="dxa"/>
            <w:vAlign w:val="bottom"/>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269,331</w:t>
            </w:r>
          </w:p>
        </w:tc>
      </w:tr>
      <w:tr>
        <w:trPr>
          <w:trHeight w:val="86"/>
        </w:trPr>
        <w:tc>
          <w:tcPr>
            <w:tcW w:w="44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r>
      <w:tr>
        <w:trPr>
          <w:trHeight w:val="314"/>
        </w:trPr>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4"/>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Marketable equity securities measured at NAV</w:t>
            </w:r>
          </w:p>
        </w:tc>
        <w:tc>
          <w:tcPr>
            <w:tcW w:w="580" w:type="dxa"/>
            <w:vAlign w:val="bottom"/>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40" w:type="dxa"/>
            <w:vAlign w:val="bottom"/>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4,076</w:t>
            </w:r>
          </w:p>
        </w:tc>
      </w:tr>
      <w:tr>
        <w:trPr>
          <w:trHeight w:val="86"/>
        </w:trPr>
        <w:tc>
          <w:tcPr>
            <w:tcW w:w="44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r>
      <w:tr>
        <w:trPr>
          <w:trHeight w:val="314"/>
        </w:trPr>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4"/>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Interest rate swap derivative fair value hedges</w:t>
            </w:r>
          </w:p>
        </w:tc>
        <w:tc>
          <w:tcPr>
            <w:tcW w:w="58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r>
      <w:tr>
        <w:trPr>
          <w:trHeight w:val="300"/>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w w:val="94"/>
              </w:rPr>
              <w:t>(unrealized gain carried as receivable from derivative</w:t>
            </w:r>
          </w:p>
        </w:tc>
        <w:tc>
          <w:tcPr>
            <w:tcW w:w="58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r>
      <w:tr>
        <w:trPr>
          <w:trHeight w:val="300"/>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counterparties)</w:t>
            </w:r>
          </w:p>
        </w:tc>
        <w:tc>
          <w:tcPr>
            <w:tcW w:w="580" w:type="dxa"/>
            <w:vAlign w:val="bottom"/>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6,086</w:t>
            </w:r>
          </w:p>
        </w:tc>
        <w:tc>
          <w:tcPr>
            <w:tcW w:w="640" w:type="dxa"/>
            <w:vAlign w:val="bottom"/>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6,086</w:t>
            </w:r>
          </w:p>
        </w:tc>
      </w:tr>
      <w:tr>
        <w:trPr>
          <w:trHeight w:val="86"/>
        </w:trPr>
        <w:tc>
          <w:tcPr>
            <w:tcW w:w="44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-1470660</wp:posOffset>
            </wp:positionV>
            <wp:extent cx="5967730" cy="63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-1264920</wp:posOffset>
            </wp:positionV>
            <wp:extent cx="5967730" cy="2857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-836930</wp:posOffset>
            </wp:positionV>
            <wp:extent cx="5967730" cy="2857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24</w:t>
      </w:r>
    </w:p>
    <w:p>
      <w:pPr>
        <w:sectPr>
          <w:pgSz w:w="11900" w:h="16838" w:orient="portrait"/>
          <w:cols w:equalWidth="0" w:num="1">
            <w:col w:w="9400"/>
          </w:cols>
          <w:pgMar w:left="1260" w:top="1177" w:right="1246" w:bottom="0" w:gutter="0" w:footer="0" w:header="0"/>
          <w:type w:val="continuous"/>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following tables summarize assets measured at fair value on a nonrecurring basis as of December 31, segregated by the level of valuation inputs within the hierarchy utilized to measure fair value: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40" w:type="dxa"/>
            <w:vAlign w:val="bottom"/>
            <w:gridSpan w:val="2"/>
          </w:tcPr>
          <w:p>
            <w:pPr>
              <w:ind w:left="220"/>
              <w:spacing w:after="0"/>
              <w:rPr>
                <w:sz w:val="20"/>
                <w:szCs w:val="20"/>
                <w:color w:val="auto"/>
              </w:rPr>
            </w:pPr>
            <w:r>
              <w:rPr>
                <w:rFonts w:ascii="Arial" w:cs="Arial" w:eastAsia="Arial" w:hAnsi="Arial"/>
                <w:sz w:val="20"/>
                <w:szCs w:val="20"/>
                <w:color w:val="auto"/>
              </w:rPr>
              <w:t>December 31, 2025</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10"/>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Total Fair</w:t>
            </w:r>
          </w:p>
        </w:tc>
      </w:tr>
      <w:tr>
        <w:trPr>
          <w:trHeight w:val="300"/>
        </w:trPr>
        <w:tc>
          <w:tcPr>
            <w:tcW w:w="304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120" w:type="dxa"/>
            <w:vAlign w:val="bottom"/>
          </w:tcPr>
          <w:p>
            <w:pPr>
              <w:spacing w:after="0"/>
              <w:rPr>
                <w:sz w:val="24"/>
                <w:szCs w:val="24"/>
                <w:color w:val="auto"/>
              </w:rPr>
            </w:pPr>
          </w:p>
        </w:tc>
        <w:tc>
          <w:tcPr>
            <w:tcW w:w="1380" w:type="dxa"/>
            <w:vAlign w:val="bottom"/>
          </w:tcPr>
          <w:p>
            <w:pPr>
              <w:ind w:left="240"/>
              <w:spacing w:after="0"/>
              <w:rPr>
                <w:sz w:val="20"/>
                <w:szCs w:val="20"/>
                <w:color w:val="auto"/>
              </w:rPr>
            </w:pPr>
            <w:r>
              <w:rPr>
                <w:rFonts w:ascii="Arial" w:cs="Arial" w:eastAsia="Arial" w:hAnsi="Arial"/>
                <w:sz w:val="20"/>
                <w:szCs w:val="20"/>
                <w:color w:val="auto"/>
              </w:rPr>
              <w:t>Level 1</w:t>
            </w:r>
          </w:p>
        </w:tc>
        <w:tc>
          <w:tcPr>
            <w:tcW w:w="1460" w:type="dxa"/>
            <w:vAlign w:val="bottom"/>
          </w:tcPr>
          <w:p>
            <w:pPr>
              <w:ind w:left="300"/>
              <w:spacing w:after="0"/>
              <w:rPr>
                <w:sz w:val="20"/>
                <w:szCs w:val="20"/>
                <w:color w:val="auto"/>
              </w:rPr>
            </w:pPr>
            <w:r>
              <w:rPr>
                <w:rFonts w:ascii="Arial" w:cs="Arial" w:eastAsia="Arial" w:hAnsi="Arial"/>
                <w:sz w:val="20"/>
                <w:szCs w:val="20"/>
                <w:color w:val="auto"/>
              </w:rPr>
              <w:t>Level 2</w:t>
            </w:r>
          </w:p>
        </w:tc>
        <w:tc>
          <w:tcPr>
            <w:tcW w:w="980" w:type="dxa"/>
            <w:vAlign w:val="bottom"/>
          </w:tcPr>
          <w:p>
            <w:pPr>
              <w:jc w:val="right"/>
              <w:ind w:right="40"/>
              <w:spacing w:after="0"/>
              <w:rPr>
                <w:sz w:val="20"/>
                <w:szCs w:val="20"/>
                <w:color w:val="auto"/>
              </w:rPr>
            </w:pPr>
            <w:r>
              <w:rPr>
                <w:rFonts w:ascii="Arial" w:cs="Arial" w:eastAsia="Arial" w:hAnsi="Arial"/>
                <w:sz w:val="20"/>
                <w:szCs w:val="20"/>
                <w:color w:val="auto"/>
              </w:rPr>
              <w:t>Level 3</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Value</w:t>
            </w:r>
          </w:p>
        </w:tc>
      </w:tr>
      <w:tr>
        <w:trPr>
          <w:trHeight w:val="51"/>
        </w:trPr>
        <w:tc>
          <w:tcPr>
            <w:tcW w:w="3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80"/>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Individually evaluated loans</w:t>
            </w:r>
          </w:p>
        </w:tc>
        <w:tc>
          <w:tcPr>
            <w:tcW w:w="11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20"/>
                <w:szCs w:val="20"/>
                <w:color w:val="auto"/>
              </w:rPr>
              <w:t>-   $</w:t>
            </w:r>
          </w:p>
        </w:tc>
        <w:tc>
          <w:tcPr>
            <w:tcW w:w="146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20"/>
                <w:szCs w:val="20"/>
                <w:color w:val="auto"/>
              </w:rPr>
              <w:t>-   $</w:t>
            </w:r>
          </w:p>
        </w:tc>
        <w:tc>
          <w:tcPr>
            <w:tcW w:w="9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48,649</w:t>
            </w:r>
          </w:p>
        </w:tc>
        <w:tc>
          <w:tcPr>
            <w:tcW w:w="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48,649</w:t>
            </w:r>
          </w:p>
        </w:tc>
      </w:tr>
      <w:tr>
        <w:trPr>
          <w:trHeight w:val="259"/>
        </w:trPr>
        <w:tc>
          <w:tcPr>
            <w:tcW w:w="3040" w:type="dxa"/>
            <w:vAlign w:val="bottom"/>
          </w:tcPr>
          <w:p>
            <w:pPr>
              <w:spacing w:after="0"/>
              <w:rPr>
                <w:sz w:val="20"/>
                <w:szCs w:val="20"/>
                <w:color w:val="auto"/>
              </w:rPr>
            </w:pPr>
            <w:r>
              <w:rPr>
                <w:rFonts w:ascii="Arial" w:cs="Arial" w:eastAsia="Arial" w:hAnsi="Arial"/>
                <w:sz w:val="20"/>
                <w:szCs w:val="20"/>
                <w:color w:val="auto"/>
              </w:rPr>
              <w:t>Foreclosed real estate</w:t>
            </w:r>
          </w:p>
        </w:tc>
        <w:tc>
          <w:tcPr>
            <w:tcW w:w="1120" w:type="dxa"/>
            <w:vAlign w:val="bottom"/>
          </w:tcPr>
          <w:p>
            <w:pPr>
              <w:spacing w:after="0"/>
              <w:rPr>
                <w:sz w:val="22"/>
                <w:szCs w:val="22"/>
                <w:color w:val="auto"/>
              </w:rPr>
            </w:pPr>
          </w:p>
        </w:tc>
        <w:tc>
          <w:tcPr>
            <w:tcW w:w="1380" w:type="dxa"/>
            <w:vAlign w:val="bottom"/>
          </w:tcPr>
          <w:p>
            <w:pPr>
              <w:ind w:left="780"/>
              <w:spacing w:after="0"/>
              <w:rPr>
                <w:sz w:val="20"/>
                <w:szCs w:val="20"/>
                <w:color w:val="auto"/>
              </w:rPr>
            </w:pPr>
            <w:r>
              <w:rPr>
                <w:rFonts w:ascii="Arial" w:cs="Arial" w:eastAsia="Arial" w:hAnsi="Arial"/>
                <w:sz w:val="20"/>
                <w:szCs w:val="20"/>
                <w:color w:val="auto"/>
              </w:rPr>
              <w:t>-</w:t>
            </w:r>
          </w:p>
        </w:tc>
        <w:tc>
          <w:tcPr>
            <w:tcW w:w="1460" w:type="dxa"/>
            <w:vAlign w:val="bottom"/>
          </w:tcPr>
          <w:p>
            <w:pPr>
              <w:ind w:left="84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0"/>
              <w:spacing w:after="0"/>
              <w:rPr>
                <w:sz w:val="20"/>
                <w:szCs w:val="20"/>
                <w:color w:val="auto"/>
              </w:rPr>
            </w:pPr>
            <w:r>
              <w:rPr>
                <w:rFonts w:ascii="Arial" w:cs="Arial" w:eastAsia="Arial" w:hAnsi="Arial"/>
                <w:sz w:val="20"/>
                <w:szCs w:val="20"/>
                <w:color w:val="auto"/>
              </w:rPr>
              <w:t>137</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600"/>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40" w:type="dxa"/>
            <w:vAlign w:val="bottom"/>
            <w:gridSpan w:val="2"/>
          </w:tcPr>
          <w:p>
            <w:pPr>
              <w:ind w:left="220"/>
              <w:spacing w:after="0"/>
              <w:rPr>
                <w:sz w:val="20"/>
                <w:szCs w:val="20"/>
                <w:color w:val="auto"/>
              </w:rPr>
            </w:pPr>
            <w:r>
              <w:rPr>
                <w:rFonts w:ascii="Arial" w:cs="Arial" w:eastAsia="Arial" w:hAnsi="Arial"/>
                <w:sz w:val="20"/>
                <w:szCs w:val="20"/>
                <w:color w:val="auto"/>
              </w:rPr>
              <w:t>December 31, 2024</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0"/>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Total Fair</w:t>
            </w:r>
          </w:p>
        </w:tc>
      </w:tr>
      <w:tr>
        <w:trPr>
          <w:trHeight w:val="300"/>
        </w:trPr>
        <w:tc>
          <w:tcPr>
            <w:tcW w:w="304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120" w:type="dxa"/>
            <w:vAlign w:val="bottom"/>
          </w:tcPr>
          <w:p>
            <w:pPr>
              <w:spacing w:after="0"/>
              <w:rPr>
                <w:sz w:val="24"/>
                <w:szCs w:val="24"/>
                <w:color w:val="auto"/>
              </w:rPr>
            </w:pPr>
          </w:p>
        </w:tc>
        <w:tc>
          <w:tcPr>
            <w:tcW w:w="1380" w:type="dxa"/>
            <w:vAlign w:val="bottom"/>
          </w:tcPr>
          <w:p>
            <w:pPr>
              <w:ind w:left="240"/>
              <w:spacing w:after="0"/>
              <w:rPr>
                <w:sz w:val="20"/>
                <w:szCs w:val="20"/>
                <w:color w:val="auto"/>
              </w:rPr>
            </w:pPr>
            <w:r>
              <w:rPr>
                <w:rFonts w:ascii="Arial" w:cs="Arial" w:eastAsia="Arial" w:hAnsi="Arial"/>
                <w:sz w:val="20"/>
                <w:szCs w:val="20"/>
                <w:color w:val="auto"/>
              </w:rPr>
              <w:t>Level 1</w:t>
            </w:r>
          </w:p>
        </w:tc>
        <w:tc>
          <w:tcPr>
            <w:tcW w:w="1460" w:type="dxa"/>
            <w:vAlign w:val="bottom"/>
          </w:tcPr>
          <w:p>
            <w:pPr>
              <w:ind w:left="300"/>
              <w:spacing w:after="0"/>
              <w:rPr>
                <w:sz w:val="20"/>
                <w:szCs w:val="20"/>
                <w:color w:val="auto"/>
              </w:rPr>
            </w:pPr>
            <w:r>
              <w:rPr>
                <w:rFonts w:ascii="Arial" w:cs="Arial" w:eastAsia="Arial" w:hAnsi="Arial"/>
                <w:sz w:val="20"/>
                <w:szCs w:val="20"/>
                <w:color w:val="auto"/>
              </w:rPr>
              <w:t>Level 2</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-1516380</wp:posOffset>
            </wp:positionV>
            <wp:extent cx="3542030" cy="63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5420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5967730"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-360680</wp:posOffset>
            </wp:positionV>
            <wp:extent cx="3542030" cy="6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5420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4238625" cy="63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23862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24</w:t>
      </w:r>
    </w:p>
    <w:p>
      <w:pPr>
        <w:sectPr>
          <w:pgSz w:w="11900" w:h="16838" w:orient="portrait"/>
          <w:cols w:equalWidth="0" w:num="1">
            <w:col w:w="9400"/>
          </w:cols>
          <w:pgMar w:left="1260" w:top="1440" w:right="1246" w:bottom="0" w:gutter="0" w:footer="0" w:header="0"/>
          <w:type w:val="continuous"/>
        </w:sectPr>
      </w:pPr>
    </w:p>
    <w:bookmarkStart w:id="242" w:name="page243"/>
    <w:bookmarkEnd w:id="242"/>
    <w:p>
      <w:pPr>
        <w:jc w:val="right"/>
        <w:spacing w:after="0"/>
        <w:rPr>
          <w:sz w:val="20"/>
          <w:szCs w:val="20"/>
          <w:color w:val="auto"/>
        </w:rPr>
      </w:pPr>
      <w:r>
        <w:rPr>
          <w:rFonts w:ascii="Arial" w:cs="Arial" w:eastAsia="Arial" w:hAnsi="Arial"/>
          <w:sz w:val="20"/>
          <w:szCs w:val="20"/>
          <w:color w:val="auto"/>
        </w:rPr>
        <w:t>Level 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Value</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Individually evaluated loans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93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93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80"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13,020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80"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13,020</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Foreclosed real estate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3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3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3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3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color w:val="auto"/>
        </w:rPr>
        <w:t>The following table presents additional quantitative information about assets measured at fair value on a nonrecurring basis and for which Level 3 inputs were used to determine fair value.</w:t>
      </w:r>
    </w:p>
    <w:p>
      <w:pPr>
        <w:spacing w:after="0" w:line="159" w:lineRule="exact"/>
        <w:rPr>
          <w:sz w:val="20"/>
          <w:szCs w:val="20"/>
          <w:color w:val="auto"/>
        </w:rPr>
      </w:pPr>
    </w:p>
    <w:p>
      <w:pPr>
        <w:jc w:val="center"/>
        <w:ind w:left="1960"/>
        <w:spacing w:after="0"/>
        <w:rPr>
          <w:sz w:val="20"/>
          <w:szCs w:val="20"/>
          <w:color w:val="auto"/>
        </w:rPr>
      </w:pPr>
      <w:r>
        <w:rPr>
          <w:rFonts w:ascii="Arial" w:cs="Arial" w:eastAsia="Arial" w:hAnsi="Arial"/>
          <w:sz w:val="18"/>
          <w:szCs w:val="18"/>
          <w:color w:val="auto"/>
        </w:rPr>
        <w:t>Quantitative Information about Level 3 Fair Value</w:t>
      </w:r>
    </w:p>
    <w:p>
      <w:pPr>
        <w:spacing w:after="0" w:line="63"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22860</wp:posOffset>
            </wp:positionV>
            <wp:extent cx="4885055" cy="6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885055" cy="6350"/>
                    </a:xfrm>
                    <a:prstGeom prst="rect">
                      <a:avLst/>
                    </a:prstGeom>
                    <a:noFill/>
                  </pic:spPr>
                </pic:pic>
              </a:graphicData>
            </a:graphic>
          </wp:anchor>
        </w:drawing>
      </w:r>
    </w:p>
    <w:p>
      <w:pPr>
        <w:spacing w:after="0" w:line="53" w:lineRule="exact"/>
        <w:rPr>
          <w:sz w:val="20"/>
          <w:szCs w:val="20"/>
          <w:color w:val="auto"/>
        </w:rPr>
      </w:pPr>
    </w:p>
    <w:p>
      <w:pPr>
        <w:ind w:left="2180"/>
        <w:spacing w:after="0"/>
        <w:tabs>
          <w:tab w:leader="none" w:pos="5160" w:val="left"/>
          <w:tab w:leader="none" w:pos="8460" w:val="left"/>
        </w:tabs>
        <w:rPr>
          <w:sz w:val="20"/>
          <w:szCs w:val="20"/>
          <w:color w:val="auto"/>
        </w:rPr>
      </w:pPr>
      <w:r>
        <w:rPr>
          <w:rFonts w:ascii="Arial" w:cs="Arial" w:eastAsia="Arial" w:hAnsi="Arial"/>
          <w:sz w:val="18"/>
          <w:szCs w:val="18"/>
          <w:color w:val="auto"/>
        </w:rPr>
        <w:t>Valuation</w:t>
      </w:r>
      <w:r>
        <w:rPr>
          <w:sz w:val="20"/>
          <w:szCs w:val="20"/>
          <w:color w:val="auto"/>
        </w:rPr>
        <w:tab/>
      </w:r>
      <w:r>
        <w:rPr>
          <w:rFonts w:ascii="Arial" w:cs="Arial" w:eastAsia="Arial" w:hAnsi="Arial"/>
          <w:sz w:val="18"/>
          <w:szCs w:val="18"/>
          <w:color w:val="auto"/>
        </w:rPr>
        <w:t>Unobservable</w:t>
      </w:r>
      <w:r>
        <w:rPr>
          <w:sz w:val="20"/>
          <w:szCs w:val="20"/>
          <w:color w:val="auto"/>
        </w:rPr>
        <w:tab/>
      </w:r>
      <w:r>
        <w:rPr>
          <w:rFonts w:ascii="Arial" w:cs="Arial" w:eastAsia="Arial" w:hAnsi="Arial"/>
          <w:sz w:val="15"/>
          <w:szCs w:val="15"/>
          <w:color w:val="auto"/>
        </w:rPr>
        <w:t>Range</w:t>
      </w:r>
    </w:p>
    <w:p>
      <w:pPr>
        <w:spacing w:after="0" w:line="63" w:lineRule="exact"/>
        <w:rPr>
          <w:sz w:val="20"/>
          <w:szCs w:val="20"/>
          <w:color w:val="auto"/>
        </w:rPr>
      </w:pPr>
    </w:p>
    <w:p>
      <w:pPr>
        <w:ind w:left="2120"/>
        <w:spacing w:after="0"/>
        <w:tabs>
          <w:tab w:leader="none" w:pos="5480" w:val="left"/>
          <w:tab w:leader="none" w:pos="8080" w:val="left"/>
        </w:tabs>
        <w:rPr>
          <w:sz w:val="20"/>
          <w:szCs w:val="20"/>
          <w:color w:val="auto"/>
        </w:rPr>
      </w:pPr>
      <w:r>
        <w:rPr>
          <w:rFonts w:ascii="Arial" w:cs="Arial" w:eastAsia="Arial" w:hAnsi="Arial"/>
          <w:sz w:val="18"/>
          <w:szCs w:val="18"/>
          <w:color w:val="auto"/>
        </w:rPr>
        <w:t>Techniques</w:t>
      </w:r>
      <w:r>
        <w:rPr>
          <w:sz w:val="20"/>
          <w:szCs w:val="20"/>
          <w:color w:val="auto"/>
        </w:rPr>
        <w:tab/>
      </w:r>
      <w:r>
        <w:rPr>
          <w:rFonts w:ascii="Arial" w:cs="Arial" w:eastAsia="Arial" w:hAnsi="Arial"/>
          <w:sz w:val="18"/>
          <w:szCs w:val="18"/>
          <w:color w:val="auto"/>
        </w:rPr>
        <w:t>Input</w:t>
      </w:r>
      <w:r>
        <w:rPr>
          <w:sz w:val="20"/>
          <w:szCs w:val="20"/>
          <w:color w:val="auto"/>
        </w:rPr>
        <w:tab/>
      </w:r>
      <w:r>
        <w:rPr>
          <w:rFonts w:ascii="Arial" w:cs="Arial" w:eastAsia="Arial" w:hAnsi="Arial"/>
          <w:sz w:val="17"/>
          <w:szCs w:val="17"/>
          <w:color w:val="auto"/>
        </w:rPr>
        <w:t>(Weighted Avg.)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63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63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28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25</w:t>
      </w:r>
    </w:p>
    <w:p>
      <w:pPr>
        <w:sectPr>
          <w:pgSz w:w="11900" w:h="16838" w:orient="portrait"/>
          <w:cols w:equalWidth="0" w:num="1">
            <w:col w:w="9400"/>
          </w:cols>
          <w:pgMar w:left="1260" w:top="1283" w:right="1246" w:bottom="0" w:gutter="0" w:footer="0" w:header="0"/>
          <w:type w:val="continuous"/>
        </w:sectPr>
      </w:pPr>
    </w:p>
    <w:bookmarkStart w:id="243" w:name="page244"/>
    <w:bookmarkEnd w:id="243"/>
    <w:tbl>
      <w:tblPr>
        <w:tblLayout w:type="fixed"/>
        <w:tblInd w:w="0" w:type="dxa"/>
        <w:tblCellMar>
          <w:top w:w="0" w:type="dxa"/>
          <w:left w:w="0" w:type="dxa"/>
          <w:bottom w:w="0" w:type="dxa"/>
          <w:right w:w="0" w:type="dxa"/>
        </w:tblCellMar>
      </w:tblPr>
      <w:tr>
        <w:trPr>
          <w:trHeight w:val="234"/>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w w:val="96"/>
              </w:rPr>
              <w:t>Individually evaluated</w:t>
            </w:r>
          </w:p>
        </w:tc>
        <w:tc>
          <w:tcPr>
            <w:tcW w:w="1900" w:type="dxa"/>
            <w:vAlign w:val="bottom"/>
            <w:shd w:val="clear" w:color="auto" w:fill="CFF0FC"/>
          </w:tcPr>
          <w:p>
            <w:pPr>
              <w:spacing w:after="0"/>
              <w:rPr>
                <w:sz w:val="20"/>
                <w:szCs w:val="20"/>
                <w:color w:val="auto"/>
              </w:rPr>
            </w:pPr>
          </w:p>
        </w:tc>
        <w:tc>
          <w:tcPr>
            <w:tcW w:w="4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r>
      <w:tr>
        <w:trPr>
          <w:trHeight w:val="296"/>
        </w:trPr>
        <w:tc>
          <w:tcPr>
            <w:tcW w:w="1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1900" w:type="dxa"/>
            <w:vAlign w:val="bottom"/>
            <w:tcBorders>
              <w:bottom w:val="single" w:sz="8" w:color="CFF0FC"/>
            </w:tcBorders>
            <w:shd w:val="clear" w:color="auto" w:fill="CFF0FC"/>
          </w:tcPr>
          <w:p>
            <w:pPr>
              <w:jc w:val="center"/>
              <w:ind w:right="110"/>
              <w:spacing w:after="0"/>
              <w:rPr>
                <w:sz w:val="20"/>
                <w:szCs w:val="20"/>
                <w:color w:val="auto"/>
              </w:rPr>
            </w:pPr>
            <w:r>
              <w:rPr>
                <w:rFonts w:ascii="Arial" w:cs="Arial" w:eastAsia="Arial" w:hAnsi="Arial"/>
                <w:sz w:val="18"/>
                <w:szCs w:val="18"/>
                <w:color w:val="auto"/>
                <w:w w:val="94"/>
              </w:rPr>
              <w:t>Appraisal of collateral</w:t>
            </w:r>
          </w:p>
        </w:tc>
        <w:tc>
          <w:tcPr>
            <w:tcW w:w="4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1"/>
              </w:rPr>
              <w:t>Discounted Cash Flow</w:t>
            </w:r>
          </w:p>
        </w:tc>
        <w:tc>
          <w:tcPr>
            <w:tcW w:w="1640" w:type="dxa"/>
            <w:vAlign w:val="bottom"/>
            <w:tcBorders>
              <w:bottom w:val="single" w:sz="8" w:color="CFF0FC"/>
            </w:tcBorders>
            <w:shd w:val="clear" w:color="auto" w:fill="CFF0FC"/>
          </w:tcPr>
          <w:p>
            <w:pPr>
              <w:jc w:val="center"/>
              <w:ind w:left="150"/>
              <w:spacing w:after="0"/>
              <w:rPr>
                <w:sz w:val="20"/>
                <w:szCs w:val="20"/>
                <w:color w:val="auto"/>
              </w:rPr>
            </w:pPr>
            <w:r>
              <w:rPr>
                <w:rFonts w:ascii="Arial" w:cs="Arial" w:eastAsia="Arial" w:hAnsi="Arial"/>
                <w:sz w:val="18"/>
                <w:szCs w:val="18"/>
                <w:color w:val="auto"/>
                <w:w w:val="91"/>
              </w:rPr>
              <w:t>5% - 97% (48%)</w:t>
            </w:r>
          </w:p>
        </w:tc>
      </w:tr>
      <w:tr>
        <w:trPr>
          <w:trHeight w:val="255"/>
        </w:trPr>
        <w:tc>
          <w:tcPr>
            <w:tcW w:w="1680" w:type="dxa"/>
            <w:vAlign w:val="bottom"/>
          </w:tcPr>
          <w:p>
            <w:pPr>
              <w:spacing w:after="0"/>
              <w:rPr>
                <w:sz w:val="20"/>
                <w:szCs w:val="20"/>
                <w:color w:val="auto"/>
              </w:rPr>
            </w:pPr>
            <w:r>
              <w:rPr>
                <w:rFonts w:ascii="Arial" w:cs="Arial" w:eastAsia="Arial" w:hAnsi="Arial"/>
                <w:sz w:val="18"/>
                <w:szCs w:val="18"/>
                <w:color w:val="auto"/>
                <w:w w:val="93"/>
              </w:rPr>
              <w:t>Foreclosed real estate</w:t>
            </w:r>
          </w:p>
        </w:tc>
        <w:tc>
          <w:tcPr>
            <w:tcW w:w="1900" w:type="dxa"/>
            <w:vAlign w:val="bottom"/>
          </w:tcPr>
          <w:p>
            <w:pPr>
              <w:jc w:val="center"/>
              <w:ind w:right="110"/>
              <w:spacing w:after="0"/>
              <w:rPr>
                <w:sz w:val="20"/>
                <w:szCs w:val="20"/>
                <w:color w:val="auto"/>
              </w:rPr>
            </w:pPr>
            <w:r>
              <w:rPr>
                <w:rFonts w:ascii="Arial" w:cs="Arial" w:eastAsia="Arial" w:hAnsi="Arial"/>
                <w:sz w:val="18"/>
                <w:szCs w:val="18"/>
                <w:color w:val="auto"/>
                <w:w w:val="94"/>
              </w:rPr>
              <w:t>Appraisal of collateral</w:t>
            </w:r>
          </w:p>
        </w:tc>
        <w:tc>
          <w:tcPr>
            <w:tcW w:w="4180" w:type="dxa"/>
            <w:vAlign w:val="bottom"/>
          </w:tcPr>
          <w:p>
            <w:pPr>
              <w:jc w:val="center"/>
              <w:spacing w:after="0"/>
              <w:rPr>
                <w:sz w:val="20"/>
                <w:szCs w:val="20"/>
                <w:color w:val="auto"/>
              </w:rPr>
            </w:pPr>
            <w:r>
              <w:rPr>
                <w:rFonts w:ascii="Arial" w:cs="Arial" w:eastAsia="Arial" w:hAnsi="Arial"/>
                <w:sz w:val="18"/>
                <w:szCs w:val="18"/>
                <w:color w:val="auto"/>
                <w:w w:val="89"/>
              </w:rPr>
              <w:t>Costs to Sell</w:t>
            </w:r>
          </w:p>
        </w:tc>
        <w:tc>
          <w:tcPr>
            <w:tcW w:w="1640" w:type="dxa"/>
            <w:vAlign w:val="bottom"/>
          </w:tcPr>
          <w:p>
            <w:pPr>
              <w:jc w:val="center"/>
              <w:ind w:left="150"/>
              <w:spacing w:after="0"/>
              <w:rPr>
                <w:sz w:val="20"/>
                <w:szCs w:val="20"/>
                <w:color w:val="auto"/>
              </w:rPr>
            </w:pPr>
            <w:r>
              <w:rPr>
                <w:rFonts w:ascii="Arial" w:cs="Arial" w:eastAsia="Arial" w:hAnsi="Arial"/>
                <w:sz w:val="18"/>
                <w:szCs w:val="18"/>
                <w:color w:val="auto"/>
                <w:w w:val="93"/>
              </w:rPr>
              <w:t>21% - 24% (22%)</w:t>
            </w:r>
          </w:p>
        </w:tc>
      </w:tr>
      <w:tr>
        <w:trPr>
          <w:trHeight w:val="888"/>
        </w:trPr>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3"/>
              </w:rPr>
              <w:t>Quantitative Information about Level 3 Fair Value</w:t>
            </w:r>
          </w:p>
        </w:tc>
        <w:tc>
          <w:tcPr>
            <w:tcW w:w="1640" w:type="dxa"/>
            <w:vAlign w:val="bottom"/>
          </w:tcPr>
          <w:p>
            <w:pPr>
              <w:spacing w:after="0"/>
              <w:rPr>
                <w:sz w:val="24"/>
                <w:szCs w:val="24"/>
                <w:color w:val="auto"/>
              </w:rPr>
            </w:pPr>
          </w:p>
        </w:tc>
      </w:tr>
      <w:tr>
        <w:trPr>
          <w:trHeight w:val="270"/>
        </w:trPr>
        <w:tc>
          <w:tcPr>
            <w:tcW w:w="16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89"/>
              </w:rPr>
              <w:t>Measurements</w:t>
            </w:r>
          </w:p>
        </w:tc>
        <w:tc>
          <w:tcPr>
            <w:tcW w:w="1640" w:type="dxa"/>
            <w:vAlign w:val="bottom"/>
          </w:tcPr>
          <w:p>
            <w:pPr>
              <w:spacing w:after="0"/>
              <w:rPr>
                <w:sz w:val="23"/>
                <w:szCs w:val="23"/>
                <w:color w:val="auto"/>
              </w:rPr>
            </w:pPr>
          </w:p>
        </w:tc>
      </w:tr>
      <w:tr>
        <w:trPr>
          <w:trHeight w:val="280"/>
        </w:trPr>
        <w:tc>
          <w:tcPr>
            <w:tcW w:w="1680" w:type="dxa"/>
            <w:vAlign w:val="bottom"/>
          </w:tcPr>
          <w:p>
            <w:pPr>
              <w:spacing w:after="0"/>
              <w:rPr>
                <w:sz w:val="24"/>
                <w:szCs w:val="24"/>
                <w:color w:val="auto"/>
              </w:rPr>
            </w:pPr>
          </w:p>
        </w:tc>
        <w:tc>
          <w:tcPr>
            <w:tcW w:w="1900" w:type="dxa"/>
            <w:vAlign w:val="bottom"/>
          </w:tcPr>
          <w:p>
            <w:pPr>
              <w:jc w:val="center"/>
              <w:ind w:right="110"/>
              <w:spacing w:after="0"/>
              <w:rPr>
                <w:sz w:val="20"/>
                <w:szCs w:val="20"/>
                <w:color w:val="auto"/>
              </w:rPr>
            </w:pPr>
            <w:r>
              <w:rPr>
                <w:rFonts w:ascii="Arial" w:cs="Arial" w:eastAsia="Arial" w:hAnsi="Arial"/>
                <w:sz w:val="18"/>
                <w:szCs w:val="18"/>
                <w:color w:val="auto"/>
                <w:w w:val="93"/>
              </w:rPr>
              <w:t>Valuation</w:t>
            </w:r>
          </w:p>
        </w:tc>
        <w:tc>
          <w:tcPr>
            <w:tcW w:w="418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640" w:type="dxa"/>
            <w:vAlign w:val="bottom"/>
          </w:tcPr>
          <w:p>
            <w:pPr>
              <w:jc w:val="center"/>
              <w:ind w:left="170"/>
              <w:spacing w:after="0"/>
              <w:rPr>
                <w:sz w:val="20"/>
                <w:szCs w:val="20"/>
                <w:color w:val="auto"/>
              </w:rPr>
            </w:pPr>
            <w:r>
              <w:rPr>
                <w:rFonts w:ascii="Arial" w:cs="Arial" w:eastAsia="Arial" w:hAnsi="Arial"/>
                <w:sz w:val="18"/>
                <w:szCs w:val="18"/>
                <w:color w:val="auto"/>
                <w:w w:val="86"/>
              </w:rPr>
              <w:t>Range</w:t>
            </w:r>
          </w:p>
        </w:tc>
      </w:tr>
      <w:tr>
        <w:trPr>
          <w:trHeight w:val="270"/>
        </w:trPr>
        <w:tc>
          <w:tcPr>
            <w:tcW w:w="1680" w:type="dxa"/>
            <w:vAlign w:val="bottom"/>
          </w:tcPr>
          <w:p>
            <w:pPr>
              <w:spacing w:after="0"/>
              <w:rPr>
                <w:sz w:val="23"/>
                <w:szCs w:val="23"/>
                <w:color w:val="auto"/>
              </w:rPr>
            </w:pPr>
          </w:p>
        </w:tc>
        <w:tc>
          <w:tcPr>
            <w:tcW w:w="1900" w:type="dxa"/>
            <w:vAlign w:val="bottom"/>
          </w:tcPr>
          <w:p>
            <w:pPr>
              <w:jc w:val="center"/>
              <w:ind w:right="110"/>
              <w:spacing w:after="0"/>
              <w:rPr>
                <w:sz w:val="20"/>
                <w:szCs w:val="20"/>
                <w:color w:val="auto"/>
              </w:rPr>
            </w:pPr>
            <w:r>
              <w:rPr>
                <w:rFonts w:ascii="Arial" w:cs="Arial" w:eastAsia="Arial" w:hAnsi="Arial"/>
                <w:sz w:val="18"/>
                <w:szCs w:val="18"/>
                <w:color w:val="auto"/>
                <w:w w:val="88"/>
              </w:rPr>
              <w:t>Techniques</w:t>
            </w: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Input</w:t>
            </w:r>
          </w:p>
        </w:tc>
        <w:tc>
          <w:tcPr>
            <w:tcW w:w="1640" w:type="dxa"/>
            <w:vAlign w:val="bottom"/>
          </w:tcPr>
          <w:p>
            <w:pPr>
              <w:jc w:val="center"/>
              <w:ind w:left="170"/>
              <w:spacing w:after="0"/>
              <w:rPr>
                <w:sz w:val="20"/>
                <w:szCs w:val="20"/>
                <w:color w:val="auto"/>
              </w:rPr>
            </w:pPr>
            <w:r>
              <w:rPr>
                <w:rFonts w:ascii="Arial" w:cs="Arial" w:eastAsia="Arial" w:hAnsi="Arial"/>
                <w:sz w:val="18"/>
                <w:szCs w:val="18"/>
                <w:color w:val="auto"/>
                <w:w w:val="94"/>
              </w:rPr>
              <w:t>(Weighted Avg.)</w:t>
            </w:r>
          </w:p>
        </w:tc>
      </w:tr>
      <w:tr>
        <w:trPr>
          <w:trHeight w:val="280"/>
        </w:trPr>
        <w:tc>
          <w:tcPr>
            <w:tcW w:w="1680" w:type="dxa"/>
            <w:vAlign w:val="bottom"/>
          </w:tcPr>
          <w:p>
            <w:pPr>
              <w:spacing w:after="0"/>
              <w:rPr>
                <w:sz w:val="20"/>
                <w:szCs w:val="20"/>
                <w:color w:val="auto"/>
              </w:rPr>
            </w:pPr>
            <w:r>
              <w:rPr>
                <w:rFonts w:ascii="Arial" w:cs="Arial" w:eastAsia="Arial" w:hAnsi="Arial"/>
                <w:sz w:val="18"/>
                <w:szCs w:val="18"/>
                <w:color w:val="auto"/>
                <w:w w:val="92"/>
              </w:rPr>
              <w:t>At December 31, 2024</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6"/>
        </w:trPr>
        <w:tc>
          <w:tcPr>
            <w:tcW w:w="16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34"/>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w w:val="96"/>
              </w:rPr>
              <w:t>Individually evaluated</w:t>
            </w:r>
          </w:p>
        </w:tc>
        <w:tc>
          <w:tcPr>
            <w:tcW w:w="1900" w:type="dxa"/>
            <w:vAlign w:val="bottom"/>
            <w:shd w:val="clear" w:color="auto" w:fill="CFF0FC"/>
          </w:tcPr>
          <w:p>
            <w:pPr>
              <w:spacing w:after="0"/>
              <w:rPr>
                <w:sz w:val="20"/>
                <w:szCs w:val="20"/>
                <w:color w:val="auto"/>
              </w:rPr>
            </w:pPr>
          </w:p>
        </w:tc>
        <w:tc>
          <w:tcPr>
            <w:tcW w:w="4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r>
      <w:tr>
        <w:trPr>
          <w:trHeight w:val="296"/>
        </w:trPr>
        <w:tc>
          <w:tcPr>
            <w:tcW w:w="1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1900" w:type="dxa"/>
            <w:vAlign w:val="bottom"/>
            <w:tcBorders>
              <w:bottom w:val="single" w:sz="8" w:color="CFF0FC"/>
            </w:tcBorders>
            <w:shd w:val="clear" w:color="auto" w:fill="CFF0FC"/>
          </w:tcPr>
          <w:p>
            <w:pPr>
              <w:jc w:val="center"/>
              <w:ind w:right="110"/>
              <w:spacing w:after="0"/>
              <w:rPr>
                <w:sz w:val="20"/>
                <w:szCs w:val="20"/>
                <w:color w:val="auto"/>
              </w:rPr>
            </w:pPr>
            <w:r>
              <w:rPr>
                <w:rFonts w:ascii="Arial" w:cs="Arial" w:eastAsia="Arial" w:hAnsi="Arial"/>
                <w:sz w:val="18"/>
                <w:szCs w:val="18"/>
                <w:color w:val="auto"/>
                <w:w w:val="94"/>
              </w:rPr>
              <w:t>Appraisal of collateral</w:t>
            </w:r>
          </w:p>
        </w:tc>
        <w:tc>
          <w:tcPr>
            <w:tcW w:w="4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1"/>
              </w:rPr>
              <w:t>Discounted Cash Flow</w:t>
            </w:r>
          </w:p>
        </w:tc>
        <w:tc>
          <w:tcPr>
            <w:tcW w:w="1640" w:type="dxa"/>
            <w:vAlign w:val="bottom"/>
            <w:tcBorders>
              <w:bottom w:val="single" w:sz="8" w:color="CFF0FC"/>
            </w:tcBorders>
            <w:shd w:val="clear" w:color="auto" w:fill="CFF0FC"/>
          </w:tcPr>
          <w:p>
            <w:pPr>
              <w:jc w:val="center"/>
              <w:ind w:left="150"/>
              <w:spacing w:after="0"/>
              <w:rPr>
                <w:sz w:val="20"/>
                <w:szCs w:val="20"/>
                <w:color w:val="auto"/>
              </w:rPr>
            </w:pPr>
            <w:r>
              <w:rPr>
                <w:rFonts w:ascii="Arial" w:cs="Arial" w:eastAsia="Arial" w:hAnsi="Arial"/>
                <w:sz w:val="18"/>
                <w:szCs w:val="18"/>
                <w:color w:val="auto"/>
                <w:w w:val="93"/>
              </w:rPr>
              <w:t>12% - 70% (30%)</w:t>
            </w:r>
          </w:p>
        </w:tc>
      </w:tr>
      <w:tr>
        <w:trPr>
          <w:trHeight w:val="255"/>
        </w:trPr>
        <w:tc>
          <w:tcPr>
            <w:tcW w:w="1680" w:type="dxa"/>
            <w:vAlign w:val="bottom"/>
          </w:tcPr>
          <w:p>
            <w:pPr>
              <w:spacing w:after="0"/>
              <w:rPr>
                <w:sz w:val="20"/>
                <w:szCs w:val="20"/>
                <w:color w:val="auto"/>
              </w:rPr>
            </w:pPr>
            <w:r>
              <w:rPr>
                <w:rFonts w:ascii="Arial" w:cs="Arial" w:eastAsia="Arial" w:hAnsi="Arial"/>
                <w:sz w:val="18"/>
                <w:szCs w:val="18"/>
                <w:color w:val="auto"/>
                <w:w w:val="93"/>
              </w:rPr>
              <w:t>Foreclosed real estate</w:t>
            </w:r>
          </w:p>
        </w:tc>
        <w:tc>
          <w:tcPr>
            <w:tcW w:w="1900" w:type="dxa"/>
            <w:vAlign w:val="bottom"/>
          </w:tcPr>
          <w:p>
            <w:pPr>
              <w:jc w:val="center"/>
              <w:ind w:right="110"/>
              <w:spacing w:after="0"/>
              <w:rPr>
                <w:sz w:val="20"/>
                <w:szCs w:val="20"/>
                <w:color w:val="auto"/>
              </w:rPr>
            </w:pPr>
            <w:r>
              <w:rPr>
                <w:rFonts w:ascii="Arial" w:cs="Arial" w:eastAsia="Arial" w:hAnsi="Arial"/>
                <w:sz w:val="18"/>
                <w:szCs w:val="18"/>
                <w:color w:val="auto"/>
                <w:w w:val="94"/>
              </w:rPr>
              <w:t>Appraisal of collateral</w:t>
            </w:r>
          </w:p>
        </w:tc>
        <w:tc>
          <w:tcPr>
            <w:tcW w:w="4180" w:type="dxa"/>
            <w:vAlign w:val="bottom"/>
          </w:tcPr>
          <w:p>
            <w:pPr>
              <w:jc w:val="center"/>
              <w:spacing w:after="0"/>
              <w:rPr>
                <w:sz w:val="20"/>
                <w:szCs w:val="20"/>
                <w:color w:val="auto"/>
              </w:rPr>
            </w:pPr>
            <w:r>
              <w:rPr>
                <w:rFonts w:ascii="Arial" w:cs="Arial" w:eastAsia="Arial" w:hAnsi="Arial"/>
                <w:sz w:val="18"/>
                <w:szCs w:val="18"/>
                <w:color w:val="auto"/>
                <w:w w:val="89"/>
              </w:rPr>
              <w:t>Costs to Sell</w:t>
            </w:r>
          </w:p>
        </w:tc>
        <w:tc>
          <w:tcPr>
            <w:tcW w:w="1640" w:type="dxa"/>
            <w:vAlign w:val="bottom"/>
          </w:tcPr>
          <w:p>
            <w:pPr>
              <w:jc w:val="center"/>
              <w:ind w:left="150"/>
              <w:spacing w:after="0"/>
              <w:rPr>
                <w:sz w:val="20"/>
                <w:szCs w:val="20"/>
                <w:color w:val="auto"/>
              </w:rPr>
            </w:pPr>
            <w:r>
              <w:rPr>
                <w:rFonts w:ascii="Arial" w:cs="Arial" w:eastAsia="Arial" w:hAnsi="Arial"/>
                <w:sz w:val="18"/>
                <w:szCs w:val="18"/>
                <w:color w:val="auto"/>
                <w:w w:val="93"/>
              </w:rPr>
              <w:t>21% - 24% (22%)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-1971040</wp:posOffset>
            </wp:positionV>
            <wp:extent cx="5967730" cy="63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-1774190</wp:posOffset>
            </wp:positionV>
            <wp:extent cx="5967730" cy="63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-1043940</wp:posOffset>
            </wp:positionV>
            <wp:extent cx="4885055" cy="63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88505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-694690</wp:posOffset>
            </wp:positionV>
            <wp:extent cx="5967730"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-516890</wp:posOffset>
            </wp:positionV>
            <wp:extent cx="5967730" cy="63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-167640</wp:posOffset>
            </wp:positionV>
            <wp:extent cx="5967730" cy="63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28575</wp:posOffset>
            </wp:positionV>
            <wp:extent cx="5967730" cy="63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Required disclosures include fair value information of financial instruments, whether or not recognized in the Consolidated Statements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09"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37"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37"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107" w:lineRule="exact"/>
        <w:rPr>
          <w:sz w:val="20"/>
          <w:szCs w:val="20"/>
          <w:color w:val="auto"/>
        </w:rPr>
      </w:pPr>
    </w:p>
    <w:p>
      <w:pPr>
        <w:jc w:val="both"/>
        <w:ind w:right="80"/>
        <w:spacing w:after="0" w:line="363" w:lineRule="auto"/>
        <w:rPr>
          <w:sz w:val="20"/>
          <w:szCs w:val="20"/>
          <w:color w:val="auto"/>
        </w:rPr>
      </w:pPr>
      <w:r>
        <w:rPr>
          <w:rFonts w:ascii="Arial" w:cs="Arial" w:eastAsia="Arial" w:hAnsi="Arial"/>
          <w:sz w:val="18"/>
          <w:szCs w:val="18"/>
          <w:color w:val="auto"/>
        </w:rPr>
        <w:t xml:space="preserve">Under FASB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the financial assets and liabilities were valued at a price that represents the Company’s exit price or the price at which these instruments would be sold or transferred.</w:t>
      </w:r>
    </w:p>
    <w:p>
      <w:pPr>
        <w:spacing w:after="0" w:line="94"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25</w:t>
      </w:r>
    </w:p>
    <w:p>
      <w:pPr>
        <w:sectPr>
          <w:pgSz w:w="11900" w:h="16838" w:orient="portrait"/>
          <w:cols w:equalWidth="0" w:num="1">
            <w:col w:w="9400"/>
          </w:cols>
          <w:pgMar w:left="1260" w:top="1133" w:right="1246" w:bottom="0" w:gutter="0" w:footer="0" w:header="0"/>
          <w:type w:val="continuous"/>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meaningful. The Company, in estimating its fair value disclosures for financial instruments, used the following methods and assumptions:</w:t>
      </w:r>
    </w:p>
    <w:p>
      <w:pPr>
        <w:spacing w:after="0" w:line="141"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Cash and cash equivalents – The carrying amounts of these assets approximate their fair value and are classified as Level 1.</w:t>
      </w:r>
    </w:p>
    <w:p>
      <w:pPr>
        <w:spacing w:after="0" w:line="141"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Federal Home Loan Bank stock – The carrying amount of these assets approximates their fair value and are classified as Level 2.</w:t>
      </w:r>
    </w:p>
    <w:p>
      <w:pPr>
        <w:spacing w:after="0" w:line="141"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123"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Accrued interest receivable and payable – The carrying amount of these assets approximates their fair value and are classified as Level 1.</w:t>
      </w:r>
    </w:p>
    <w:p>
      <w:pPr>
        <w:spacing w:after="0" w:line="141"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34"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Borrowings – Fixed/variable term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32" w:lineRule="exact"/>
        <w:rPr>
          <w:sz w:val="20"/>
          <w:szCs w:val="20"/>
          <w:color w:val="auto"/>
        </w:rPr>
      </w:pPr>
    </w:p>
    <w:p>
      <w:pPr>
        <w:ind w:right="100"/>
        <w:spacing w:after="0" w:line="363" w:lineRule="auto"/>
        <w:rPr>
          <w:sz w:val="20"/>
          <w:szCs w:val="20"/>
          <w:color w:val="auto"/>
        </w:rPr>
      </w:pPr>
      <w:r>
        <w:rPr>
          <w:rFonts w:ascii="Arial" w:cs="Arial" w:eastAsia="Arial" w:hAnsi="Arial"/>
          <w:sz w:val="18"/>
          <w:szCs w:val="18"/>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The carrying amounts and fair values of the Company’s financial instruments as of December 31 are presented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40" w:type="dxa"/>
            <w:vAlign w:val="bottom"/>
            <w:gridSpan w:val="2"/>
          </w:tcPr>
          <w:p>
            <w:pPr>
              <w:jc w:val="right"/>
              <w:ind w:right="260"/>
              <w:spacing w:after="0"/>
              <w:rPr>
                <w:sz w:val="20"/>
                <w:szCs w:val="20"/>
                <w:color w:val="auto"/>
              </w:rPr>
            </w:pPr>
            <w:r>
              <w:rPr>
                <w:rFonts w:ascii="Arial" w:cs="Arial" w:eastAsia="Arial" w:hAnsi="Arial"/>
                <w:sz w:val="20"/>
                <w:szCs w:val="20"/>
                <w:color w:val="auto"/>
              </w:rPr>
              <w:t>December 31, 2025</w:t>
            </w:r>
          </w:p>
        </w:tc>
        <w:tc>
          <w:tcPr>
            <w:tcW w:w="2280" w:type="dxa"/>
            <w:vAlign w:val="bottom"/>
            <w:gridSpan w:val="2"/>
          </w:tcPr>
          <w:p>
            <w:pPr>
              <w:jc w:val="right"/>
              <w:ind w:right="260"/>
              <w:spacing w:after="0"/>
              <w:rPr>
                <w:sz w:val="20"/>
                <w:szCs w:val="20"/>
                <w:color w:val="auto"/>
              </w:rPr>
            </w:pPr>
            <w:r>
              <w:rPr>
                <w:rFonts w:ascii="Arial" w:cs="Arial" w:eastAsia="Arial" w:hAnsi="Arial"/>
                <w:sz w:val="20"/>
                <w:szCs w:val="20"/>
                <w:color w:val="auto"/>
              </w:rPr>
              <w:t>December 31, 2024</w:t>
            </w:r>
          </w:p>
        </w:tc>
      </w:tr>
      <w:tr>
        <w:trPr>
          <w:trHeight w:val="324"/>
        </w:trPr>
        <w:tc>
          <w:tcPr>
            <w:tcW w:w="1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92"/>
              </w:rPr>
              <w:t>Fair Value</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Carrying</w:t>
            </w:r>
          </w:p>
        </w:tc>
        <w:tc>
          <w:tcPr>
            <w:tcW w:w="1160" w:type="dxa"/>
            <w:vAlign w:val="bottom"/>
          </w:tcPr>
          <w:p>
            <w:pPr>
              <w:jc w:val="right"/>
              <w:spacing w:after="0"/>
              <w:rPr>
                <w:sz w:val="20"/>
                <w:szCs w:val="20"/>
                <w:color w:val="auto"/>
              </w:rPr>
            </w:pPr>
            <w:r>
              <w:rPr>
                <w:rFonts w:ascii="Arial" w:cs="Arial" w:eastAsia="Arial" w:hAnsi="Arial"/>
                <w:sz w:val="20"/>
                <w:szCs w:val="20"/>
                <w:color w:val="auto"/>
              </w:rPr>
              <w:t>Estimated</w:t>
            </w:r>
          </w:p>
        </w:tc>
        <w:tc>
          <w:tcPr>
            <w:tcW w:w="1140" w:type="dxa"/>
            <w:vAlign w:val="bottom"/>
          </w:tcPr>
          <w:p>
            <w:pPr>
              <w:jc w:val="right"/>
              <w:spacing w:after="0"/>
              <w:rPr>
                <w:sz w:val="20"/>
                <w:szCs w:val="20"/>
                <w:color w:val="auto"/>
              </w:rPr>
            </w:pPr>
            <w:r>
              <w:rPr>
                <w:rFonts w:ascii="Arial" w:cs="Arial" w:eastAsia="Arial" w:hAnsi="Arial"/>
                <w:sz w:val="20"/>
                <w:szCs w:val="20"/>
                <w:color w:val="auto"/>
              </w:rPr>
              <w:t>Carrying</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Estimated</w:t>
            </w:r>
          </w:p>
        </w:tc>
      </w:tr>
      <w:tr>
        <w:trPr>
          <w:trHeight w:val="314"/>
        </w:trPr>
        <w:tc>
          <w:tcPr>
            <w:tcW w:w="1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Fair</w:t>
            </w:r>
          </w:p>
        </w:tc>
        <w:tc>
          <w:tcPr>
            <w:tcW w:w="1140" w:type="dxa"/>
            <w:vAlign w:val="bottom"/>
          </w:tcPr>
          <w:p>
            <w:pPr>
              <w:spacing w:after="0"/>
              <w:rPr>
                <w:sz w:val="24"/>
                <w:szCs w:val="24"/>
                <w:color w:val="auto"/>
              </w:rPr>
            </w:pPr>
          </w:p>
        </w:tc>
        <w:tc>
          <w:tcPr>
            <w:tcW w:w="1140" w:type="dxa"/>
            <w:vAlign w:val="bottom"/>
          </w:tcPr>
          <w:p>
            <w:pPr>
              <w:jc w:val="right"/>
              <w:ind w:right="60"/>
              <w:spacing w:after="0"/>
              <w:rPr>
                <w:sz w:val="20"/>
                <w:szCs w:val="20"/>
                <w:color w:val="auto"/>
              </w:rPr>
            </w:pPr>
            <w:r>
              <w:rPr>
                <w:rFonts w:ascii="Arial" w:cs="Arial" w:eastAsia="Arial" w:hAnsi="Arial"/>
                <w:sz w:val="20"/>
                <w:szCs w:val="20"/>
                <w:color w:val="auto"/>
              </w:rPr>
              <w:t>Fair</w:t>
            </w:r>
          </w:p>
        </w:tc>
      </w:tr>
      <w:tr>
        <w:trPr>
          <w:trHeight w:val="300"/>
        </w:trPr>
        <w:tc>
          <w:tcPr>
            <w:tcW w:w="3500" w:type="dxa"/>
            <w:vAlign w:val="bottom"/>
            <w:gridSpan w:val="2"/>
          </w:tcPr>
          <w:p>
            <w:pPr>
              <w:spacing w:after="0"/>
              <w:rPr>
                <w:sz w:val="20"/>
                <w:szCs w:val="20"/>
                <w:color w:val="auto"/>
              </w:rPr>
            </w:pPr>
            <w:r>
              <w:rPr>
                <w:rFonts w:ascii="Arial" w:cs="Arial" w:eastAsia="Arial" w:hAnsi="Arial"/>
                <w:sz w:val="20"/>
                <w:szCs w:val="20"/>
                <w:i w:val="1"/>
                <w:iCs w:val="1"/>
                <w:color w:val="auto"/>
              </w:rPr>
              <w:t>(In thousands)</w:t>
            </w:r>
          </w:p>
        </w:tc>
        <w:tc>
          <w:tcPr>
            <w:tcW w:w="1280" w:type="dxa"/>
            <w:vAlign w:val="bottom"/>
          </w:tcPr>
          <w:p>
            <w:pPr>
              <w:jc w:val="center"/>
              <w:spacing w:after="0"/>
              <w:rPr>
                <w:sz w:val="20"/>
                <w:szCs w:val="20"/>
                <w:color w:val="auto"/>
              </w:rPr>
            </w:pPr>
            <w:r>
              <w:rPr>
                <w:rFonts w:ascii="Arial" w:cs="Arial" w:eastAsia="Arial" w:hAnsi="Arial"/>
                <w:sz w:val="20"/>
                <w:szCs w:val="20"/>
                <w:color w:val="auto"/>
                <w:w w:val="93"/>
              </w:rPr>
              <w:t>Hierarchy</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Amounts</w:t>
            </w:r>
          </w:p>
        </w:tc>
        <w:tc>
          <w:tcPr>
            <w:tcW w:w="1160" w:type="dxa"/>
            <w:vAlign w:val="bottom"/>
          </w:tcPr>
          <w:p>
            <w:pPr>
              <w:jc w:val="right"/>
              <w:spacing w:after="0"/>
              <w:rPr>
                <w:sz w:val="20"/>
                <w:szCs w:val="20"/>
                <w:color w:val="auto"/>
              </w:rPr>
            </w:pPr>
            <w:r>
              <w:rPr>
                <w:rFonts w:ascii="Arial" w:cs="Arial" w:eastAsia="Arial" w:hAnsi="Arial"/>
                <w:sz w:val="20"/>
                <w:szCs w:val="20"/>
                <w:color w:val="auto"/>
              </w:rPr>
              <w:t>Values</w:t>
            </w:r>
          </w:p>
        </w:tc>
        <w:tc>
          <w:tcPr>
            <w:tcW w:w="1140" w:type="dxa"/>
            <w:vAlign w:val="bottom"/>
          </w:tcPr>
          <w:p>
            <w:pPr>
              <w:jc w:val="right"/>
              <w:spacing w:after="0"/>
              <w:rPr>
                <w:sz w:val="20"/>
                <w:szCs w:val="20"/>
                <w:color w:val="auto"/>
              </w:rPr>
            </w:pPr>
            <w:r>
              <w:rPr>
                <w:rFonts w:ascii="Arial" w:cs="Arial" w:eastAsia="Arial" w:hAnsi="Arial"/>
                <w:sz w:val="20"/>
                <w:szCs w:val="20"/>
                <w:color w:val="auto"/>
              </w:rPr>
              <w:t>Amounts</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Values</w:t>
            </w:r>
          </w:p>
        </w:tc>
      </w:tr>
      <w:tr>
        <w:trPr>
          <w:trHeight w:val="51"/>
        </w:trPr>
        <w:tc>
          <w:tcPr>
            <w:tcW w:w="13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94"/>
        </w:trPr>
        <w:tc>
          <w:tcPr>
            <w:tcW w:w="1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7"/>
              </w:rPr>
              <w:t>Financial assets:</w:t>
            </w:r>
          </w:p>
        </w:tc>
        <w:tc>
          <w:tcPr>
            <w:tcW w:w="21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r>
      <w:tr>
        <w:trPr>
          <w:trHeight w:val="274"/>
        </w:trPr>
        <w:tc>
          <w:tcPr>
            <w:tcW w:w="3500" w:type="dxa"/>
            <w:vAlign w:val="bottom"/>
            <w:gridSpan w:val="2"/>
          </w:tcPr>
          <w:p>
            <w:pPr>
              <w:spacing w:after="0"/>
              <w:rPr>
                <w:sz w:val="20"/>
                <w:szCs w:val="20"/>
                <w:color w:val="auto"/>
              </w:rPr>
            </w:pPr>
            <w:r>
              <w:rPr>
                <w:rFonts w:ascii="Arial" w:cs="Arial" w:eastAsia="Arial" w:hAnsi="Arial"/>
                <w:sz w:val="20"/>
                <w:szCs w:val="20"/>
                <w:color w:val="auto"/>
              </w:rPr>
              <w:t>Cash and cash equivalents</w:t>
            </w:r>
          </w:p>
        </w:tc>
        <w:tc>
          <w:tcPr>
            <w:tcW w:w="1280" w:type="dxa"/>
            <w:vAlign w:val="bottom"/>
          </w:tcPr>
          <w:p>
            <w:pPr>
              <w:jc w:val="right"/>
              <w:ind w:right="60"/>
              <w:spacing w:after="0"/>
              <w:rPr>
                <w:sz w:val="20"/>
                <w:szCs w:val="20"/>
                <w:color w:val="auto"/>
              </w:rPr>
            </w:pPr>
            <w:r>
              <w:rPr>
                <w:rFonts w:ascii="Arial" w:cs="Arial" w:eastAsia="Arial" w:hAnsi="Arial"/>
                <w:sz w:val="20"/>
                <w:szCs w:val="20"/>
                <w:color w:val="auto"/>
              </w:rPr>
              <w:t>1</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   31,170</w:t>
            </w:r>
          </w:p>
        </w:tc>
        <w:tc>
          <w:tcPr>
            <w:tcW w:w="1160" w:type="dxa"/>
            <w:vAlign w:val="bottom"/>
          </w:tcPr>
          <w:p>
            <w:pPr>
              <w:jc w:val="right"/>
              <w:spacing w:after="0"/>
              <w:rPr>
                <w:sz w:val="20"/>
                <w:szCs w:val="20"/>
                <w:color w:val="auto"/>
              </w:rPr>
            </w:pPr>
            <w:r>
              <w:rPr>
                <w:rFonts w:ascii="Arial" w:cs="Arial" w:eastAsia="Arial" w:hAnsi="Arial"/>
                <w:sz w:val="20"/>
                <w:szCs w:val="20"/>
                <w:color w:val="auto"/>
              </w:rPr>
              <w:t>$   31,170</w:t>
            </w:r>
          </w:p>
        </w:tc>
        <w:tc>
          <w:tcPr>
            <w:tcW w:w="1140" w:type="dxa"/>
            <w:vAlign w:val="bottom"/>
          </w:tcPr>
          <w:p>
            <w:pPr>
              <w:jc w:val="right"/>
              <w:spacing w:after="0"/>
              <w:rPr>
                <w:sz w:val="20"/>
                <w:szCs w:val="20"/>
                <w:color w:val="auto"/>
              </w:rPr>
            </w:pPr>
            <w:r>
              <w:rPr>
                <w:rFonts w:ascii="Arial" w:cs="Arial" w:eastAsia="Arial" w:hAnsi="Arial"/>
                <w:sz w:val="20"/>
                <w:szCs w:val="20"/>
                <w:color w:val="auto"/>
              </w:rPr>
              <w:t>$   31,572</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   31,572</w:t>
            </w:r>
          </w:p>
        </w:tc>
      </w:tr>
      <w:tr>
        <w:trPr>
          <w:trHeight w:val="41"/>
        </w:trPr>
        <w:tc>
          <w:tcPr>
            <w:tcW w:w="13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3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w w:val="97"/>
              </w:rPr>
              <w:t>Investment securities - available-for-sale</w:t>
            </w:r>
          </w:p>
        </w:tc>
        <w:tc>
          <w:tcPr>
            <w:tcW w:w="12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272,626</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272,626</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264,880</w:t>
            </w: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264,880</w:t>
            </w:r>
          </w:p>
        </w:tc>
      </w:tr>
      <w:tr>
        <w:trPr>
          <w:trHeight w:val="274"/>
        </w:trPr>
        <w:tc>
          <w:tcPr>
            <w:tcW w:w="3500" w:type="dxa"/>
            <w:vAlign w:val="bottom"/>
            <w:gridSpan w:val="2"/>
          </w:tcPr>
          <w:p>
            <w:pPr>
              <w:spacing w:after="0"/>
              <w:rPr>
                <w:sz w:val="20"/>
                <w:szCs w:val="20"/>
                <w:color w:val="auto"/>
              </w:rPr>
            </w:pPr>
            <w:r>
              <w:rPr>
                <w:rFonts w:ascii="Arial" w:cs="Arial" w:eastAsia="Arial" w:hAnsi="Arial"/>
                <w:sz w:val="20"/>
                <w:szCs w:val="20"/>
                <w:color w:val="auto"/>
                <w:w w:val="97"/>
              </w:rPr>
              <w:t>Investment securities - available-for-sale</w:t>
            </w:r>
          </w:p>
        </w:tc>
        <w:tc>
          <w:tcPr>
            <w:tcW w:w="1280" w:type="dxa"/>
            <w:vAlign w:val="bottom"/>
          </w:tcPr>
          <w:p>
            <w:pPr>
              <w:jc w:val="center"/>
              <w:spacing w:after="0"/>
              <w:rPr>
                <w:sz w:val="20"/>
                <w:szCs w:val="20"/>
                <w:color w:val="auto"/>
              </w:rPr>
            </w:pPr>
            <w:r>
              <w:rPr>
                <w:rFonts w:ascii="Arial" w:cs="Arial" w:eastAsia="Arial" w:hAnsi="Arial"/>
                <w:sz w:val="20"/>
                <w:szCs w:val="20"/>
                <w:color w:val="auto"/>
              </w:rPr>
              <w:t>NAV</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4,189</w:t>
            </w:r>
          </w:p>
        </w:tc>
        <w:tc>
          <w:tcPr>
            <w:tcW w:w="1160" w:type="dxa"/>
            <w:vAlign w:val="bottom"/>
          </w:tcPr>
          <w:p>
            <w:pPr>
              <w:jc w:val="right"/>
              <w:spacing w:after="0"/>
              <w:rPr>
                <w:sz w:val="20"/>
                <w:szCs w:val="20"/>
                <w:color w:val="auto"/>
              </w:rPr>
            </w:pPr>
            <w:r>
              <w:rPr>
                <w:rFonts w:ascii="Arial" w:cs="Arial" w:eastAsia="Arial" w:hAnsi="Arial"/>
                <w:sz w:val="20"/>
                <w:szCs w:val="20"/>
                <w:color w:val="auto"/>
              </w:rPr>
              <w:t>4,189</w:t>
            </w:r>
          </w:p>
        </w:tc>
        <w:tc>
          <w:tcPr>
            <w:tcW w:w="1140" w:type="dxa"/>
            <w:vAlign w:val="bottom"/>
          </w:tcPr>
          <w:p>
            <w:pPr>
              <w:jc w:val="right"/>
              <w:spacing w:after="0"/>
              <w:rPr>
                <w:sz w:val="20"/>
                <w:szCs w:val="20"/>
                <w:color w:val="auto"/>
              </w:rPr>
            </w:pPr>
            <w:r>
              <w:rPr>
                <w:rFonts w:ascii="Arial" w:cs="Arial" w:eastAsia="Arial" w:hAnsi="Arial"/>
                <w:sz w:val="20"/>
                <w:szCs w:val="20"/>
                <w:color w:val="auto"/>
              </w:rPr>
              <w:t>4,245</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4,245</w:t>
            </w:r>
          </w:p>
        </w:tc>
      </w:tr>
      <w:tr>
        <w:trPr>
          <w:trHeight w:val="41"/>
        </w:trPr>
        <w:tc>
          <w:tcPr>
            <w:tcW w:w="13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4"/>
        </w:trPr>
        <w:tc>
          <w:tcPr>
            <w:tcW w:w="35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5"/>
              </w:rPr>
              <w:t>Investment securities - marketable equity</w:t>
            </w:r>
          </w:p>
        </w:tc>
        <w:tc>
          <w:tcPr>
            <w:tcW w:w="12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NAV</w:t>
            </w:r>
          </w:p>
        </w:tc>
        <w:tc>
          <w:tcPr>
            <w:tcW w:w="11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6,034</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6,034</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4,076</w:t>
            </w:r>
          </w:p>
        </w:tc>
        <w:tc>
          <w:tcPr>
            <w:tcW w:w="11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4,076</w:t>
            </w:r>
          </w:p>
        </w:tc>
      </w:tr>
      <w:tr>
        <w:trPr>
          <w:trHeight w:val="41"/>
        </w:trPr>
        <w:tc>
          <w:tcPr>
            <w:tcW w:w="1320" w:type="dxa"/>
            <w:vAlign w:val="bottom"/>
            <w:shd w:val="clear" w:color="auto" w:fill="CFF0FC"/>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128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-1600200</wp:posOffset>
            </wp:positionV>
            <wp:extent cx="2839720" cy="63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83972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-1003935</wp:posOffset>
            </wp:positionV>
            <wp:extent cx="5967730"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25</w:t>
      </w:r>
    </w:p>
    <w:p>
      <w:pPr>
        <w:sectPr>
          <w:pgSz w:w="11900" w:h="16838" w:orient="portrait"/>
          <w:cols w:equalWidth="0" w:num="1">
            <w:col w:w="9400"/>
          </w:cols>
          <w:pgMar w:left="1260" w:top="1440" w:right="1246" w:bottom="0" w:gutter="0" w:footer="0" w:header="0"/>
          <w:type w:val="continuous"/>
        </w:sectPr>
      </w:pPr>
    </w:p>
    <w:bookmarkStart w:id="245" w:name="page246"/>
    <w:bookmarkEnd w:id="245"/>
    <w:tbl>
      <w:tblPr>
        <w:tblLayout w:type="fixed"/>
        <w:tblInd w:w="0" w:type="dxa"/>
        <w:tblCellMar>
          <w:top w:w="0" w:type="dxa"/>
          <w:left w:w="0" w:type="dxa"/>
          <w:bottom w:w="0" w:type="dxa"/>
          <w:right w:w="0" w:type="dxa"/>
        </w:tblCellMar>
      </w:tblPr>
      <w:tr>
        <w:trPr>
          <w:trHeight w:val="230"/>
        </w:trPr>
        <w:tc>
          <w:tcPr>
            <w:tcW w:w="3800" w:type="dxa"/>
            <w:vAlign w:val="bottom"/>
            <w:gridSpan w:val="2"/>
          </w:tcPr>
          <w:p>
            <w:pPr>
              <w:spacing w:after="0"/>
              <w:rPr>
                <w:sz w:val="20"/>
                <w:szCs w:val="20"/>
                <w:color w:val="auto"/>
              </w:rPr>
            </w:pPr>
            <w:r>
              <w:rPr>
                <w:rFonts w:ascii="Arial" w:cs="Arial" w:eastAsia="Arial" w:hAnsi="Arial"/>
                <w:sz w:val="20"/>
                <w:szCs w:val="20"/>
                <w:color w:val="auto"/>
              </w:rPr>
              <w:t>Investment securities - held-to-maturity</w:t>
            </w:r>
          </w:p>
        </w:tc>
        <w:tc>
          <w:tcPr>
            <w:tcW w:w="980" w:type="dxa"/>
            <w:vAlign w:val="bottom"/>
          </w:tcPr>
          <w:p>
            <w:pPr>
              <w:jc w:val="right"/>
              <w:ind w:right="59"/>
              <w:spacing w:after="0"/>
              <w:rPr>
                <w:sz w:val="20"/>
                <w:szCs w:val="20"/>
                <w:color w:val="auto"/>
              </w:rPr>
            </w:pPr>
            <w:r>
              <w:rPr>
                <w:rFonts w:ascii="Arial" w:cs="Arial" w:eastAsia="Arial" w:hAnsi="Arial"/>
                <w:sz w:val="20"/>
                <w:szCs w:val="20"/>
                <w:color w:val="auto"/>
              </w:rPr>
              <w:t>2</w:t>
            </w:r>
          </w:p>
        </w:tc>
        <w:tc>
          <w:tcPr>
            <w:tcW w:w="32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w w:val="99"/>
              </w:rPr>
              <w:t>130,324</w:t>
            </w:r>
          </w:p>
        </w:tc>
        <w:tc>
          <w:tcPr>
            <w:tcW w:w="1160" w:type="dxa"/>
            <w:vAlign w:val="bottom"/>
          </w:tcPr>
          <w:p>
            <w:pPr>
              <w:jc w:val="right"/>
              <w:spacing w:after="0"/>
              <w:rPr>
                <w:sz w:val="20"/>
                <w:szCs w:val="20"/>
                <w:color w:val="auto"/>
              </w:rPr>
            </w:pPr>
            <w:r>
              <w:rPr>
                <w:rFonts w:ascii="Arial" w:cs="Arial" w:eastAsia="Arial" w:hAnsi="Arial"/>
                <w:sz w:val="20"/>
                <w:szCs w:val="20"/>
                <w:color w:val="auto"/>
              </w:rPr>
              <w:t>125,198</w:t>
            </w:r>
          </w:p>
        </w:tc>
        <w:tc>
          <w:tcPr>
            <w:tcW w:w="1140" w:type="dxa"/>
            <w:vAlign w:val="bottom"/>
          </w:tcPr>
          <w:p>
            <w:pPr>
              <w:jc w:val="right"/>
              <w:spacing w:after="0"/>
              <w:rPr>
                <w:sz w:val="20"/>
                <w:szCs w:val="20"/>
                <w:color w:val="auto"/>
              </w:rPr>
            </w:pPr>
            <w:r>
              <w:rPr>
                <w:rFonts w:ascii="Arial" w:cs="Arial" w:eastAsia="Arial" w:hAnsi="Arial"/>
                <w:sz w:val="20"/>
                <w:szCs w:val="20"/>
                <w:color w:val="auto"/>
              </w:rPr>
              <w:t>158,683</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151,023</w:t>
            </w:r>
          </w:p>
        </w:tc>
      </w:tr>
      <w:tr>
        <w:trPr>
          <w:trHeight w:val="41"/>
        </w:trPr>
        <w:tc>
          <w:tcPr>
            <w:tcW w:w="15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Federal Home Loan Bank stock</w:t>
            </w:r>
          </w:p>
        </w:tc>
        <w:tc>
          <w:tcPr>
            <w:tcW w:w="9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20"/>
                <w:szCs w:val="20"/>
                <w:color w:val="auto"/>
              </w:rPr>
              <w:t>2</w:t>
            </w:r>
          </w:p>
        </w:tc>
        <w:tc>
          <w:tcPr>
            <w:tcW w:w="3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2,560</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2,560</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4,590</w:t>
            </w: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4,590</w:t>
            </w:r>
          </w:p>
        </w:tc>
      </w:tr>
      <w:tr>
        <w:trPr>
          <w:trHeight w:val="274"/>
        </w:trPr>
        <w:tc>
          <w:tcPr>
            <w:tcW w:w="3800" w:type="dxa"/>
            <w:vAlign w:val="bottom"/>
            <w:gridSpan w:val="2"/>
          </w:tcPr>
          <w:p>
            <w:pPr>
              <w:spacing w:after="0"/>
              <w:rPr>
                <w:sz w:val="20"/>
                <w:szCs w:val="20"/>
                <w:color w:val="auto"/>
              </w:rPr>
            </w:pPr>
            <w:r>
              <w:rPr>
                <w:rFonts w:ascii="Arial" w:cs="Arial" w:eastAsia="Arial" w:hAnsi="Arial"/>
                <w:sz w:val="20"/>
                <w:szCs w:val="20"/>
                <w:color w:val="auto"/>
              </w:rPr>
              <w:t>Net loans</w:t>
            </w:r>
          </w:p>
        </w:tc>
        <w:tc>
          <w:tcPr>
            <w:tcW w:w="980" w:type="dxa"/>
            <w:vAlign w:val="bottom"/>
          </w:tcPr>
          <w:p>
            <w:pPr>
              <w:jc w:val="right"/>
              <w:ind w:right="59"/>
              <w:spacing w:after="0"/>
              <w:rPr>
                <w:sz w:val="20"/>
                <w:szCs w:val="20"/>
                <w:color w:val="auto"/>
              </w:rPr>
            </w:pPr>
            <w:r>
              <w:rPr>
                <w:rFonts w:ascii="Arial" w:cs="Arial" w:eastAsia="Arial" w:hAnsi="Arial"/>
                <w:sz w:val="20"/>
                <w:szCs w:val="20"/>
                <w:color w:val="auto"/>
              </w:rPr>
              <w:t>3</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w w:val="99"/>
              </w:rPr>
              <w:t>867,234</w:t>
            </w:r>
          </w:p>
        </w:tc>
        <w:tc>
          <w:tcPr>
            <w:tcW w:w="1160" w:type="dxa"/>
            <w:vAlign w:val="bottom"/>
          </w:tcPr>
          <w:p>
            <w:pPr>
              <w:jc w:val="right"/>
              <w:spacing w:after="0"/>
              <w:rPr>
                <w:sz w:val="20"/>
                <w:szCs w:val="20"/>
                <w:color w:val="auto"/>
              </w:rPr>
            </w:pPr>
            <w:r>
              <w:rPr>
                <w:rFonts w:ascii="Arial" w:cs="Arial" w:eastAsia="Arial" w:hAnsi="Arial"/>
                <w:sz w:val="20"/>
                <w:szCs w:val="20"/>
                <w:color w:val="auto"/>
              </w:rPr>
              <w:t>842,116</w:t>
            </w:r>
          </w:p>
        </w:tc>
        <w:tc>
          <w:tcPr>
            <w:tcW w:w="1140" w:type="dxa"/>
            <w:vAlign w:val="bottom"/>
          </w:tcPr>
          <w:p>
            <w:pPr>
              <w:jc w:val="right"/>
              <w:spacing w:after="0"/>
              <w:rPr>
                <w:sz w:val="20"/>
                <w:szCs w:val="20"/>
                <w:color w:val="auto"/>
              </w:rPr>
            </w:pPr>
            <w:r>
              <w:rPr>
                <w:rFonts w:ascii="Arial" w:cs="Arial" w:eastAsia="Arial" w:hAnsi="Arial"/>
                <w:sz w:val="20"/>
                <w:szCs w:val="20"/>
                <w:color w:val="auto"/>
              </w:rPr>
              <w:t>901,743</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852,743</w:t>
            </w:r>
          </w:p>
        </w:tc>
      </w:tr>
      <w:tr>
        <w:trPr>
          <w:trHeight w:val="41"/>
        </w:trPr>
        <w:tc>
          <w:tcPr>
            <w:tcW w:w="15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Accrued interest receivable</w:t>
            </w:r>
          </w:p>
        </w:tc>
        <w:tc>
          <w:tcPr>
            <w:tcW w:w="9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20"/>
                <w:szCs w:val="20"/>
                <w:color w:val="auto"/>
              </w:rPr>
              <w:t>1</w:t>
            </w:r>
          </w:p>
        </w:tc>
        <w:tc>
          <w:tcPr>
            <w:tcW w:w="3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6,328</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6,328</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6,881</w:t>
            </w: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6,881</w:t>
            </w:r>
          </w:p>
        </w:tc>
      </w:tr>
      <w:tr>
        <w:trPr>
          <w:trHeight w:val="274"/>
        </w:trPr>
        <w:tc>
          <w:tcPr>
            <w:tcW w:w="3800" w:type="dxa"/>
            <w:vAlign w:val="bottom"/>
            <w:gridSpan w:val="2"/>
          </w:tcPr>
          <w:p>
            <w:pPr>
              <w:spacing w:after="0"/>
              <w:rPr>
                <w:sz w:val="20"/>
                <w:szCs w:val="20"/>
                <w:color w:val="auto"/>
              </w:rPr>
            </w:pPr>
            <w:r>
              <w:rPr>
                <w:rFonts w:ascii="Arial" w:cs="Arial" w:eastAsia="Arial" w:hAnsi="Arial"/>
                <w:sz w:val="20"/>
                <w:szCs w:val="20"/>
                <w:color w:val="auto"/>
              </w:rPr>
              <w:t>Interest rate derivative fair value hedges</w:t>
            </w: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00"/>
        </w:trPr>
        <w:tc>
          <w:tcPr>
            <w:tcW w:w="3800" w:type="dxa"/>
            <w:vAlign w:val="bottom"/>
            <w:gridSpan w:val="2"/>
          </w:tcPr>
          <w:p>
            <w:pPr>
              <w:spacing w:after="0"/>
              <w:rPr>
                <w:sz w:val="20"/>
                <w:szCs w:val="20"/>
                <w:color w:val="auto"/>
              </w:rPr>
            </w:pPr>
            <w:r>
              <w:rPr>
                <w:rFonts w:ascii="Arial" w:cs="Arial" w:eastAsia="Arial" w:hAnsi="Arial"/>
                <w:sz w:val="20"/>
                <w:szCs w:val="20"/>
                <w:color w:val="auto"/>
              </w:rPr>
              <w:t>receivable - AFS investments</w:t>
            </w:r>
          </w:p>
        </w:tc>
        <w:tc>
          <w:tcPr>
            <w:tcW w:w="980" w:type="dxa"/>
            <w:vAlign w:val="bottom"/>
          </w:tcPr>
          <w:p>
            <w:pPr>
              <w:jc w:val="right"/>
              <w:ind w:right="59"/>
              <w:spacing w:after="0"/>
              <w:rPr>
                <w:sz w:val="20"/>
                <w:szCs w:val="20"/>
                <w:color w:val="auto"/>
              </w:rPr>
            </w:pPr>
            <w:r>
              <w:rPr>
                <w:rFonts w:ascii="Arial" w:cs="Arial" w:eastAsia="Arial" w:hAnsi="Arial"/>
                <w:sz w:val="20"/>
                <w:szCs w:val="20"/>
                <w:color w:val="auto"/>
              </w:rPr>
              <w:t>2</w:t>
            </w:r>
          </w:p>
        </w:tc>
        <w:tc>
          <w:tcPr>
            <w:tcW w:w="32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1,214</w:t>
            </w:r>
          </w:p>
        </w:tc>
        <w:tc>
          <w:tcPr>
            <w:tcW w:w="1160" w:type="dxa"/>
            <w:vAlign w:val="bottom"/>
          </w:tcPr>
          <w:p>
            <w:pPr>
              <w:jc w:val="right"/>
              <w:spacing w:after="0"/>
              <w:rPr>
                <w:sz w:val="20"/>
                <w:szCs w:val="20"/>
                <w:color w:val="auto"/>
              </w:rPr>
            </w:pPr>
            <w:r>
              <w:rPr>
                <w:rFonts w:ascii="Arial" w:cs="Arial" w:eastAsia="Arial" w:hAnsi="Arial"/>
                <w:sz w:val="20"/>
                <w:szCs w:val="20"/>
                <w:color w:val="auto"/>
              </w:rPr>
              <w:t>1,214</w:t>
            </w:r>
          </w:p>
        </w:tc>
        <w:tc>
          <w:tcPr>
            <w:tcW w:w="1140" w:type="dxa"/>
            <w:vAlign w:val="bottom"/>
          </w:tcPr>
          <w:p>
            <w:pPr>
              <w:jc w:val="right"/>
              <w:spacing w:after="0"/>
              <w:rPr>
                <w:sz w:val="20"/>
                <w:szCs w:val="20"/>
                <w:color w:val="auto"/>
              </w:rPr>
            </w:pPr>
            <w:r>
              <w:rPr>
                <w:rFonts w:ascii="Arial" w:cs="Arial" w:eastAsia="Arial" w:hAnsi="Arial"/>
                <w:sz w:val="20"/>
                <w:szCs w:val="20"/>
                <w:color w:val="auto"/>
              </w:rPr>
              <w:t>3,199</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3,199</w:t>
            </w:r>
          </w:p>
        </w:tc>
      </w:tr>
      <w:tr>
        <w:trPr>
          <w:trHeight w:val="41"/>
        </w:trPr>
        <w:tc>
          <w:tcPr>
            <w:tcW w:w="15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4"/>
        </w:trPr>
        <w:tc>
          <w:tcPr>
            <w:tcW w:w="38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Interest rate derivative fair value hedges</w:t>
            </w:r>
          </w:p>
        </w:tc>
        <w:tc>
          <w:tcPr>
            <w:tcW w:w="9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r>
      <w:tr>
        <w:trPr>
          <w:trHeight w:val="331"/>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receivable - loans</w:t>
            </w:r>
          </w:p>
        </w:tc>
        <w:tc>
          <w:tcPr>
            <w:tcW w:w="9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20"/>
                <w:szCs w:val="20"/>
                <w:color w:val="auto"/>
              </w:rPr>
              <w:t>2</w:t>
            </w:r>
          </w:p>
        </w:tc>
        <w:tc>
          <w:tcPr>
            <w:tcW w:w="3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292</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292</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2,887</w:t>
            </w: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2,887</w:t>
            </w:r>
          </w:p>
        </w:tc>
      </w:tr>
      <w:tr>
        <w:trPr>
          <w:trHeight w:val="314"/>
        </w:trPr>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4"/>
        </w:trPr>
        <w:tc>
          <w:tcPr>
            <w:tcW w:w="38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Financial liabilities:</w:t>
            </w:r>
          </w:p>
        </w:tc>
        <w:tc>
          <w:tcPr>
            <w:tcW w:w="9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41"/>
        </w:trPr>
        <w:tc>
          <w:tcPr>
            <w:tcW w:w="1580" w:type="dxa"/>
            <w:vAlign w:val="bottom"/>
            <w:tcBorders>
              <w:top w:val="single" w:sz="8" w:color="auto"/>
            </w:tcBorders>
            <w:shd w:val="clear" w:color="auto" w:fill="CFF0FC"/>
          </w:tcPr>
          <w:p>
            <w:pPr>
              <w:spacing w:after="0"/>
              <w:rPr>
                <w:sz w:val="3"/>
                <w:szCs w:val="3"/>
                <w:color w:val="auto"/>
              </w:rPr>
            </w:pPr>
          </w:p>
        </w:tc>
        <w:tc>
          <w:tcPr>
            <w:tcW w:w="2220" w:type="dxa"/>
            <w:vAlign w:val="bottom"/>
            <w:tcBorders>
              <w:top w:val="single" w:sz="8" w:color="CFF0FC"/>
            </w:tcBorders>
            <w:shd w:val="clear" w:color="auto" w:fill="CFF0FC"/>
          </w:tcPr>
          <w:p>
            <w:pPr>
              <w:spacing w:after="0"/>
              <w:rPr>
                <w:sz w:val="3"/>
                <w:szCs w:val="3"/>
                <w:color w:val="auto"/>
              </w:rPr>
            </w:pPr>
          </w:p>
        </w:tc>
        <w:tc>
          <w:tcPr>
            <w:tcW w:w="980" w:type="dxa"/>
            <w:vAlign w:val="bottom"/>
            <w:tcBorders>
              <w:top w:val="single" w:sz="8" w:color="CFF0FC"/>
            </w:tcBorders>
            <w:shd w:val="clear" w:color="auto" w:fill="CFF0FC"/>
          </w:tcPr>
          <w:p>
            <w:pPr>
              <w:spacing w:after="0"/>
              <w:rPr>
                <w:sz w:val="3"/>
                <w:szCs w:val="3"/>
                <w:color w:val="auto"/>
              </w:rPr>
            </w:pPr>
          </w:p>
        </w:tc>
        <w:tc>
          <w:tcPr>
            <w:tcW w:w="320" w:type="dxa"/>
            <w:vAlign w:val="bottom"/>
            <w:tcBorders>
              <w:top w:val="single" w:sz="8" w:color="CFF0FC"/>
            </w:tcBorders>
            <w:shd w:val="clear" w:color="auto" w:fill="CFF0FC"/>
          </w:tcPr>
          <w:p>
            <w:pPr>
              <w:spacing w:after="0"/>
              <w:rPr>
                <w:sz w:val="3"/>
                <w:szCs w:val="3"/>
                <w:color w:val="auto"/>
              </w:rPr>
            </w:pPr>
          </w:p>
        </w:tc>
        <w:tc>
          <w:tcPr>
            <w:tcW w:w="860" w:type="dxa"/>
            <w:vAlign w:val="bottom"/>
            <w:tcBorders>
              <w:top w:val="single" w:sz="8" w:color="CFF0FC"/>
            </w:tcBorders>
            <w:shd w:val="clear" w:color="auto" w:fill="CFF0FC"/>
          </w:tcPr>
          <w:p>
            <w:pPr>
              <w:spacing w:after="0"/>
              <w:rPr>
                <w:sz w:val="3"/>
                <w:szCs w:val="3"/>
                <w:color w:val="auto"/>
              </w:rPr>
            </w:pPr>
          </w:p>
        </w:tc>
        <w:tc>
          <w:tcPr>
            <w:tcW w:w="1160" w:type="dxa"/>
            <w:vAlign w:val="bottom"/>
            <w:tcBorders>
              <w:top w:val="single" w:sz="8" w:color="CFF0FC"/>
            </w:tcBorders>
            <w:shd w:val="clear" w:color="auto" w:fill="CFF0FC"/>
          </w:tcPr>
          <w:p>
            <w:pPr>
              <w:spacing w:after="0"/>
              <w:rPr>
                <w:sz w:val="3"/>
                <w:szCs w:val="3"/>
                <w:color w:val="auto"/>
              </w:rPr>
            </w:pPr>
          </w:p>
        </w:tc>
        <w:tc>
          <w:tcPr>
            <w:tcW w:w="1140" w:type="dxa"/>
            <w:vAlign w:val="bottom"/>
            <w:tcBorders>
              <w:top w:val="single" w:sz="8" w:color="CFF0FC"/>
            </w:tcBorders>
            <w:shd w:val="clear" w:color="auto" w:fill="CFF0FC"/>
          </w:tcPr>
          <w:p>
            <w:pPr>
              <w:spacing w:after="0"/>
              <w:rPr>
                <w:sz w:val="3"/>
                <w:szCs w:val="3"/>
                <w:color w:val="auto"/>
              </w:rPr>
            </w:pPr>
          </w:p>
        </w:tc>
        <w:tc>
          <w:tcPr>
            <w:tcW w:w="1140" w:type="dxa"/>
            <w:vAlign w:val="bottom"/>
            <w:tcBorders>
              <w:top w:val="single" w:sz="8" w:color="CFF0FC"/>
            </w:tcBorders>
            <w:shd w:val="clear" w:color="auto" w:fill="CFF0FC"/>
          </w:tcPr>
          <w:p>
            <w:pPr>
              <w:spacing w:after="0"/>
              <w:rPr>
                <w:sz w:val="3"/>
                <w:szCs w:val="3"/>
                <w:color w:val="auto"/>
              </w:rPr>
            </w:pPr>
          </w:p>
        </w:tc>
      </w:tr>
      <w:tr>
        <w:trPr>
          <w:trHeight w:val="274"/>
        </w:trPr>
        <w:tc>
          <w:tcPr>
            <w:tcW w:w="3800" w:type="dxa"/>
            <w:vAlign w:val="bottom"/>
            <w:gridSpan w:val="2"/>
          </w:tcPr>
          <w:p>
            <w:pPr>
              <w:spacing w:after="0"/>
              <w:rPr>
                <w:sz w:val="20"/>
                <w:szCs w:val="20"/>
                <w:color w:val="auto"/>
              </w:rPr>
            </w:pPr>
            <w:r>
              <w:rPr>
                <w:rFonts w:ascii="Arial" w:cs="Arial" w:eastAsia="Arial" w:hAnsi="Arial"/>
                <w:sz w:val="20"/>
                <w:szCs w:val="20"/>
                <w:color w:val="auto"/>
              </w:rPr>
              <w:t>Demand Deposits, Savings, NOW and</w:t>
            </w: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00"/>
        </w:trPr>
        <w:tc>
          <w:tcPr>
            <w:tcW w:w="3800" w:type="dxa"/>
            <w:vAlign w:val="bottom"/>
            <w:gridSpan w:val="2"/>
          </w:tcPr>
          <w:p>
            <w:pPr>
              <w:spacing w:after="0"/>
              <w:rPr>
                <w:sz w:val="20"/>
                <w:szCs w:val="20"/>
                <w:color w:val="auto"/>
              </w:rPr>
            </w:pPr>
            <w:r>
              <w:rPr>
                <w:rFonts w:ascii="Arial" w:cs="Arial" w:eastAsia="Arial" w:hAnsi="Arial"/>
                <w:sz w:val="20"/>
                <w:szCs w:val="20"/>
                <w:color w:val="auto"/>
              </w:rPr>
              <w:t>MMDA</w:t>
            </w:r>
          </w:p>
        </w:tc>
        <w:tc>
          <w:tcPr>
            <w:tcW w:w="980" w:type="dxa"/>
            <w:vAlign w:val="bottom"/>
          </w:tcPr>
          <w:p>
            <w:pPr>
              <w:jc w:val="right"/>
              <w:ind w:right="59"/>
              <w:spacing w:after="0"/>
              <w:rPr>
                <w:sz w:val="20"/>
                <w:szCs w:val="20"/>
                <w:color w:val="auto"/>
              </w:rPr>
            </w:pPr>
            <w:r>
              <w:rPr>
                <w:rFonts w:ascii="Arial" w:cs="Arial" w:eastAsia="Arial" w:hAnsi="Arial"/>
                <w:sz w:val="20"/>
                <w:szCs w:val="20"/>
                <w:color w:val="auto"/>
              </w:rPr>
              <w:t>1</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w w:val="99"/>
              </w:rPr>
              <w:t>731,868</w:t>
            </w:r>
          </w:p>
        </w:tc>
        <w:tc>
          <w:tcPr>
            <w:tcW w:w="1160" w:type="dxa"/>
            <w:vAlign w:val="bottom"/>
          </w:tcPr>
          <w:p>
            <w:pPr>
              <w:jc w:val="right"/>
              <w:spacing w:after="0"/>
              <w:rPr>
                <w:sz w:val="20"/>
                <w:szCs w:val="20"/>
                <w:color w:val="auto"/>
              </w:rPr>
            </w:pPr>
            <w:r>
              <w:rPr>
                <w:rFonts w:ascii="Arial" w:cs="Arial" w:eastAsia="Arial" w:hAnsi="Arial"/>
                <w:sz w:val="20"/>
                <w:szCs w:val="20"/>
                <w:color w:val="auto"/>
              </w:rPr>
              <w:t>$  731,868</w:t>
            </w:r>
          </w:p>
        </w:tc>
        <w:tc>
          <w:tcPr>
            <w:tcW w:w="1140" w:type="dxa"/>
            <w:vAlign w:val="bottom"/>
          </w:tcPr>
          <w:p>
            <w:pPr>
              <w:jc w:val="right"/>
              <w:spacing w:after="0"/>
              <w:rPr>
                <w:sz w:val="20"/>
                <w:szCs w:val="20"/>
                <w:color w:val="auto"/>
              </w:rPr>
            </w:pPr>
            <w:r>
              <w:rPr>
                <w:rFonts w:ascii="Arial" w:cs="Arial" w:eastAsia="Arial" w:hAnsi="Arial"/>
                <w:sz w:val="20"/>
                <w:szCs w:val="20"/>
                <w:color w:val="auto"/>
              </w:rPr>
              <w:t>$  701,477</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  701,477</w:t>
            </w:r>
          </w:p>
        </w:tc>
      </w:tr>
      <w:tr>
        <w:trPr>
          <w:trHeight w:val="41"/>
        </w:trPr>
        <w:tc>
          <w:tcPr>
            <w:tcW w:w="15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Time Deposits</w:t>
            </w:r>
          </w:p>
        </w:tc>
        <w:tc>
          <w:tcPr>
            <w:tcW w:w="9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20"/>
                <w:szCs w:val="20"/>
                <w:color w:val="auto"/>
              </w:rPr>
              <w:t>2</w:t>
            </w:r>
          </w:p>
        </w:tc>
        <w:tc>
          <w:tcPr>
            <w:tcW w:w="3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9"/>
              </w:rPr>
              <w:t>451,980</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451,357</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503,047</w:t>
            </w: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500,638</w:t>
            </w:r>
          </w:p>
        </w:tc>
      </w:tr>
      <w:tr>
        <w:trPr>
          <w:trHeight w:val="274"/>
        </w:trPr>
        <w:tc>
          <w:tcPr>
            <w:tcW w:w="3800" w:type="dxa"/>
            <w:vAlign w:val="bottom"/>
            <w:gridSpan w:val="2"/>
          </w:tcPr>
          <w:p>
            <w:pPr>
              <w:spacing w:after="0"/>
              <w:rPr>
                <w:sz w:val="20"/>
                <w:szCs w:val="20"/>
                <w:color w:val="auto"/>
              </w:rPr>
            </w:pPr>
            <w:r>
              <w:rPr>
                <w:rFonts w:ascii="Arial" w:cs="Arial" w:eastAsia="Arial" w:hAnsi="Arial"/>
                <w:sz w:val="20"/>
                <w:szCs w:val="20"/>
                <w:color w:val="auto"/>
              </w:rPr>
              <w:t>Borrowings</w:t>
            </w:r>
          </w:p>
        </w:tc>
        <w:tc>
          <w:tcPr>
            <w:tcW w:w="980" w:type="dxa"/>
            <w:vAlign w:val="bottom"/>
          </w:tcPr>
          <w:p>
            <w:pPr>
              <w:jc w:val="right"/>
              <w:ind w:right="59"/>
              <w:spacing w:after="0"/>
              <w:rPr>
                <w:sz w:val="20"/>
                <w:szCs w:val="20"/>
                <w:color w:val="auto"/>
              </w:rPr>
            </w:pPr>
            <w:r>
              <w:rPr>
                <w:rFonts w:ascii="Arial" w:cs="Arial" w:eastAsia="Arial" w:hAnsi="Arial"/>
                <w:sz w:val="20"/>
                <w:szCs w:val="20"/>
                <w:color w:val="auto"/>
              </w:rPr>
              <w:t>2</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58,074</w:t>
            </w:r>
          </w:p>
        </w:tc>
        <w:tc>
          <w:tcPr>
            <w:tcW w:w="1160" w:type="dxa"/>
            <w:vAlign w:val="bottom"/>
          </w:tcPr>
          <w:p>
            <w:pPr>
              <w:jc w:val="right"/>
              <w:spacing w:after="0"/>
              <w:rPr>
                <w:sz w:val="20"/>
                <w:szCs w:val="20"/>
                <w:color w:val="auto"/>
              </w:rPr>
            </w:pPr>
            <w:r>
              <w:rPr>
                <w:rFonts w:ascii="Arial" w:cs="Arial" w:eastAsia="Arial" w:hAnsi="Arial"/>
                <w:sz w:val="20"/>
                <w:szCs w:val="20"/>
                <w:color w:val="auto"/>
              </w:rPr>
              <w:t>58,107</w:t>
            </w:r>
          </w:p>
        </w:tc>
        <w:tc>
          <w:tcPr>
            <w:tcW w:w="1140" w:type="dxa"/>
            <w:vAlign w:val="bottom"/>
          </w:tcPr>
          <w:p>
            <w:pPr>
              <w:jc w:val="right"/>
              <w:spacing w:after="0"/>
              <w:rPr>
                <w:sz w:val="20"/>
                <w:szCs w:val="20"/>
                <w:color w:val="auto"/>
              </w:rPr>
            </w:pPr>
            <w:r>
              <w:rPr>
                <w:rFonts w:ascii="Arial" w:cs="Arial" w:eastAsia="Arial" w:hAnsi="Arial"/>
                <w:sz w:val="20"/>
                <w:szCs w:val="20"/>
                <w:color w:val="auto"/>
              </w:rPr>
              <w:t>88,068</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87,707</w:t>
            </w:r>
          </w:p>
        </w:tc>
      </w:tr>
      <w:tr>
        <w:trPr>
          <w:trHeight w:val="41"/>
        </w:trPr>
        <w:tc>
          <w:tcPr>
            <w:tcW w:w="15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Subordinated debt</w:t>
            </w:r>
          </w:p>
        </w:tc>
        <w:tc>
          <w:tcPr>
            <w:tcW w:w="9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20"/>
                <w:szCs w:val="20"/>
                <w:color w:val="auto"/>
              </w:rPr>
              <w:t>2</w:t>
            </w:r>
          </w:p>
        </w:tc>
        <w:tc>
          <w:tcPr>
            <w:tcW w:w="3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30,155</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29,689</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30,107</w:t>
            </w: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25,347</w:t>
            </w:r>
          </w:p>
        </w:tc>
      </w:tr>
      <w:tr>
        <w:trPr>
          <w:trHeight w:val="274"/>
        </w:trPr>
        <w:tc>
          <w:tcPr>
            <w:tcW w:w="3800" w:type="dxa"/>
            <w:vAlign w:val="bottom"/>
            <w:gridSpan w:val="2"/>
          </w:tcPr>
          <w:p>
            <w:pPr>
              <w:spacing w:after="0"/>
              <w:rPr>
                <w:sz w:val="20"/>
                <w:szCs w:val="20"/>
                <w:color w:val="auto"/>
              </w:rPr>
            </w:pPr>
            <w:r>
              <w:rPr>
                <w:rFonts w:ascii="Arial" w:cs="Arial" w:eastAsia="Arial" w:hAnsi="Arial"/>
                <w:sz w:val="20"/>
                <w:szCs w:val="20"/>
                <w:color w:val="auto"/>
              </w:rPr>
              <w:t>Accrued interest payable</w:t>
            </w:r>
          </w:p>
        </w:tc>
        <w:tc>
          <w:tcPr>
            <w:tcW w:w="980" w:type="dxa"/>
            <w:vAlign w:val="bottom"/>
          </w:tcPr>
          <w:p>
            <w:pPr>
              <w:jc w:val="right"/>
              <w:ind w:right="59"/>
              <w:spacing w:after="0"/>
              <w:rPr>
                <w:sz w:val="20"/>
                <w:szCs w:val="20"/>
                <w:color w:val="auto"/>
              </w:rPr>
            </w:pPr>
            <w:r>
              <w:rPr>
                <w:rFonts w:ascii="Arial" w:cs="Arial" w:eastAsia="Arial" w:hAnsi="Arial"/>
                <w:sz w:val="20"/>
                <w:szCs w:val="20"/>
                <w:color w:val="auto"/>
              </w:rPr>
              <w:t>1</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20"/>
                <w:szCs w:val="20"/>
                <w:color w:val="auto"/>
              </w:rPr>
              <w:t>424</w:t>
            </w:r>
          </w:p>
        </w:tc>
        <w:tc>
          <w:tcPr>
            <w:tcW w:w="1160" w:type="dxa"/>
            <w:vAlign w:val="bottom"/>
          </w:tcPr>
          <w:p>
            <w:pPr>
              <w:jc w:val="right"/>
              <w:spacing w:after="0"/>
              <w:rPr>
                <w:sz w:val="20"/>
                <w:szCs w:val="20"/>
                <w:color w:val="auto"/>
              </w:rPr>
            </w:pPr>
            <w:r>
              <w:rPr>
                <w:rFonts w:ascii="Arial" w:cs="Arial" w:eastAsia="Arial" w:hAnsi="Arial"/>
                <w:sz w:val="20"/>
                <w:szCs w:val="20"/>
                <w:color w:val="auto"/>
              </w:rPr>
              <w:t>424</w:t>
            </w:r>
          </w:p>
        </w:tc>
        <w:tc>
          <w:tcPr>
            <w:tcW w:w="1140" w:type="dxa"/>
            <w:vAlign w:val="bottom"/>
          </w:tcPr>
          <w:p>
            <w:pPr>
              <w:jc w:val="right"/>
              <w:spacing w:after="0"/>
              <w:rPr>
                <w:sz w:val="20"/>
                <w:szCs w:val="20"/>
                <w:color w:val="auto"/>
              </w:rPr>
            </w:pPr>
            <w:r>
              <w:rPr>
                <w:rFonts w:ascii="Arial" w:cs="Arial" w:eastAsia="Arial" w:hAnsi="Arial"/>
                <w:sz w:val="20"/>
                <w:szCs w:val="20"/>
                <w:color w:val="auto"/>
              </w:rPr>
              <w:t>546</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546</w:t>
            </w:r>
          </w:p>
        </w:tc>
      </w:tr>
      <w:tr>
        <w:trPr>
          <w:trHeight w:val="756"/>
        </w:trPr>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- 109 -</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95"/>
        </w:trPr>
        <w:tc>
          <w:tcPr>
            <w:tcW w:w="158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-2628900</wp:posOffset>
            </wp:positionV>
            <wp:extent cx="5967730" cy="63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-1034415</wp:posOffset>
            </wp:positionV>
            <wp:extent cx="5967730" cy="63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25</w:t>
      </w:r>
    </w:p>
    <w:p>
      <w:pPr>
        <w:sectPr>
          <w:pgSz w:w="11900" w:h="16838" w:orient="portrait"/>
          <w:cols w:equalWidth="0" w:num="1">
            <w:col w:w="9400"/>
          </w:cols>
          <w:pgMar w:left="1260" w:top="1177" w:right="1246" w:bottom="0" w:gutter="0" w:footer="0" w:header="0"/>
          <w:type w:val="continuous"/>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23: PARENT COMPANY – FINANCIAL INFORMATION</w:t>
      </w:r>
    </w:p>
    <w:p>
      <w:pPr>
        <w:spacing w:after="0" w:line="20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The following represents the condensed financial information of Pathfinder Bancorp, Inc. as of and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2"/>
          </w:tcPr>
          <w:p>
            <w:pPr>
              <w:spacing w:after="0"/>
              <w:rPr>
                <w:sz w:val="20"/>
                <w:szCs w:val="20"/>
                <w:color w:val="auto"/>
              </w:rPr>
            </w:pPr>
            <w:r>
              <w:rPr>
                <w:rFonts w:ascii="Arial" w:cs="Arial" w:eastAsia="Arial" w:hAnsi="Arial"/>
                <w:sz w:val="20"/>
                <w:szCs w:val="20"/>
                <w:b w:val="1"/>
                <w:bCs w:val="1"/>
                <w:color w:val="auto"/>
              </w:rPr>
              <w:t>Statements of Condition</w:t>
            </w:r>
          </w:p>
        </w:tc>
        <w:tc>
          <w:tcPr>
            <w:tcW w:w="106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2025</w:t>
            </w:r>
          </w:p>
        </w:tc>
        <w:tc>
          <w:tcPr>
            <w:tcW w:w="5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304"/>
        </w:trPr>
        <w:tc>
          <w:tcPr>
            <w:tcW w:w="5680" w:type="dxa"/>
            <w:vAlign w:val="bottom"/>
            <w:gridSpan w:val="2"/>
          </w:tcPr>
          <w:p>
            <w:pPr>
              <w:spacing w:after="0"/>
              <w:rPr>
                <w:sz w:val="20"/>
                <w:szCs w:val="20"/>
                <w:color w:val="auto"/>
              </w:rPr>
            </w:pPr>
            <w:r>
              <w:rPr>
                <w:rFonts w:ascii="Arial" w:cs="Arial" w:eastAsia="Arial" w:hAnsi="Arial"/>
                <w:sz w:val="20"/>
                <w:szCs w:val="20"/>
                <w:i w:val="1"/>
                <w:iCs w:val="1"/>
                <w:color w:val="auto"/>
              </w:rPr>
              <w:t>(In thousands)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
        </w:trPr>
        <w:tc>
          <w:tcPr>
            <w:tcW w:w="1160" w:type="dxa"/>
            <w:vAlign w:val="bottom"/>
            <w:tcBorders>
              <w:top w:val="single" w:sz="8" w:color="auto"/>
            </w:tcBorders>
          </w:tcPr>
          <w:p>
            <w:pPr>
              <w:spacing w:after="0"/>
              <w:rPr>
                <w:sz w:val="3"/>
                <w:szCs w:val="3"/>
                <w:color w:val="auto"/>
              </w:rPr>
            </w:pPr>
          </w:p>
        </w:tc>
        <w:tc>
          <w:tcPr>
            <w:tcW w:w="4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5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74"/>
        </w:trPr>
        <w:tc>
          <w:tcPr>
            <w:tcW w:w="5680" w:type="dxa"/>
            <w:vAlign w:val="bottom"/>
            <w:gridSpan w:val="2"/>
          </w:tcPr>
          <w:p>
            <w:pPr>
              <w:ind w:left="60"/>
              <w:spacing w:after="0"/>
              <w:rPr>
                <w:sz w:val="20"/>
                <w:szCs w:val="20"/>
                <w:color w:val="auto"/>
              </w:rPr>
            </w:pPr>
            <w:r>
              <w:rPr>
                <w:rFonts w:ascii="Arial" w:cs="Arial" w:eastAsia="Arial" w:hAnsi="Arial"/>
                <w:sz w:val="20"/>
                <w:szCs w:val="20"/>
                <w:color w:val="auto"/>
              </w:rPr>
              <w:t>Cash</w:t>
            </w:r>
          </w:p>
        </w:tc>
        <w:tc>
          <w:tcPr>
            <w:tcW w:w="10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5,978</w:t>
            </w:r>
          </w:p>
        </w:tc>
        <w:tc>
          <w:tcPr>
            <w:tcW w:w="50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5,604</w:t>
            </w:r>
          </w:p>
        </w:tc>
      </w:tr>
      <w:tr>
        <w:trPr>
          <w:trHeight w:val="41"/>
        </w:trPr>
        <w:tc>
          <w:tcPr>
            <w:tcW w:w="116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56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Investments, at fair value</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6,034</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4,076</w:t>
            </w:r>
          </w:p>
        </w:tc>
      </w:tr>
      <w:tr>
        <w:trPr>
          <w:trHeight w:val="274"/>
        </w:trPr>
        <w:tc>
          <w:tcPr>
            <w:tcW w:w="5680" w:type="dxa"/>
            <w:vAlign w:val="bottom"/>
            <w:gridSpan w:val="2"/>
          </w:tcPr>
          <w:p>
            <w:pPr>
              <w:ind w:left="60"/>
              <w:spacing w:after="0"/>
              <w:rPr>
                <w:sz w:val="20"/>
                <w:szCs w:val="20"/>
                <w:color w:val="auto"/>
              </w:rPr>
            </w:pPr>
            <w:r>
              <w:rPr>
                <w:rFonts w:ascii="Arial" w:cs="Arial" w:eastAsia="Arial" w:hAnsi="Arial"/>
                <w:sz w:val="20"/>
                <w:szCs w:val="20"/>
                <w:color w:val="auto"/>
              </w:rPr>
              <w:t>Investment in bank subsidiary</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138,946</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140,641</w:t>
            </w:r>
          </w:p>
        </w:tc>
      </w:tr>
      <w:tr>
        <w:trPr>
          <w:trHeight w:val="41"/>
        </w:trPr>
        <w:tc>
          <w:tcPr>
            <w:tcW w:w="116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56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Investment in non-bank subsidiary</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155</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155</w:t>
            </w:r>
          </w:p>
        </w:tc>
      </w:tr>
      <w:tr>
        <w:trPr>
          <w:trHeight w:val="274"/>
        </w:trPr>
        <w:tc>
          <w:tcPr>
            <w:tcW w:w="5680" w:type="dxa"/>
            <w:vAlign w:val="bottom"/>
            <w:gridSpan w:val="2"/>
          </w:tcPr>
          <w:p>
            <w:pPr>
              <w:ind w:left="60"/>
              <w:spacing w:after="0"/>
              <w:rPr>
                <w:sz w:val="20"/>
                <w:szCs w:val="20"/>
                <w:color w:val="auto"/>
              </w:rPr>
            </w:pPr>
            <w:r>
              <w:rPr>
                <w:rFonts w:ascii="Arial" w:cs="Arial" w:eastAsia="Arial" w:hAnsi="Arial"/>
                <w:sz w:val="20"/>
                <w:szCs w:val="20"/>
                <w:color w:val="auto"/>
              </w:rPr>
              <w:t>Dividends receivable from bank subsidiary</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1,100</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1,100</w:t>
            </w:r>
          </w:p>
        </w:tc>
      </w:tr>
      <w:tr>
        <w:trPr>
          <w:trHeight w:val="41"/>
        </w:trPr>
        <w:tc>
          <w:tcPr>
            <w:tcW w:w="116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4"/>
        </w:trPr>
        <w:tc>
          <w:tcPr>
            <w:tcW w:w="56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Other assets</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2,004</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931</w:t>
            </w:r>
          </w:p>
        </w:tc>
      </w:tr>
      <w:tr>
        <w:trPr>
          <w:trHeight w:val="274"/>
        </w:trPr>
        <w:tc>
          <w:tcPr>
            <w:tcW w:w="5680" w:type="dxa"/>
            <w:vAlign w:val="bottom"/>
            <w:gridSpan w:val="2"/>
          </w:tcPr>
          <w:p>
            <w:pPr>
              <w:ind w:left="100"/>
              <w:spacing w:after="0"/>
              <w:rPr>
                <w:sz w:val="20"/>
                <w:szCs w:val="20"/>
                <w:color w:val="auto"/>
              </w:rPr>
            </w:pPr>
            <w:r>
              <w:rPr>
                <w:rFonts w:ascii="Arial" w:cs="Arial" w:eastAsia="Arial" w:hAnsi="Arial"/>
                <w:sz w:val="20"/>
                <w:szCs w:val="20"/>
                <w:color w:val="auto"/>
              </w:rPr>
              <w:t>Total assets</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154,217</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152,507</w:t>
            </w:r>
          </w:p>
        </w:tc>
      </w:tr>
      <w:tr>
        <w:trPr>
          <w:trHeight w:val="51"/>
        </w:trPr>
        <w:tc>
          <w:tcPr>
            <w:tcW w:w="116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4"/>
        </w:trPr>
        <w:tc>
          <w:tcPr>
            <w:tcW w:w="5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b w:val="1"/>
                <w:bCs w:val="1"/>
                <w:color w:val="auto"/>
              </w:rPr>
              <w:t>Liabilities and Shareholders' Equity</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74"/>
        </w:trPr>
        <w:tc>
          <w:tcPr>
            <w:tcW w:w="5680" w:type="dxa"/>
            <w:vAlign w:val="bottom"/>
            <w:gridSpan w:val="2"/>
          </w:tcPr>
          <w:p>
            <w:pPr>
              <w:ind w:left="60"/>
              <w:spacing w:after="0"/>
              <w:rPr>
                <w:sz w:val="20"/>
                <w:szCs w:val="20"/>
                <w:color w:val="auto"/>
              </w:rPr>
            </w:pPr>
            <w:r>
              <w:rPr>
                <w:rFonts w:ascii="Arial" w:cs="Arial" w:eastAsia="Arial" w:hAnsi="Arial"/>
                <w:sz w:val="20"/>
                <w:szCs w:val="20"/>
                <w:color w:val="auto"/>
              </w:rPr>
              <w:t>Accrued liabilities</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1,611</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917</w:t>
            </w:r>
          </w:p>
        </w:tc>
      </w:tr>
      <w:tr>
        <w:trPr>
          <w:trHeight w:val="41"/>
        </w:trPr>
        <w:tc>
          <w:tcPr>
            <w:tcW w:w="116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56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Subordinated debt</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30,155</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30,107</w:t>
            </w:r>
          </w:p>
        </w:tc>
      </w:tr>
      <w:tr>
        <w:trPr>
          <w:trHeight w:val="274"/>
        </w:trPr>
        <w:tc>
          <w:tcPr>
            <w:tcW w:w="5680" w:type="dxa"/>
            <w:vAlign w:val="bottom"/>
            <w:gridSpan w:val="2"/>
          </w:tcPr>
          <w:p>
            <w:pPr>
              <w:ind w:left="60"/>
              <w:spacing w:after="0"/>
              <w:rPr>
                <w:sz w:val="20"/>
                <w:szCs w:val="20"/>
                <w:color w:val="auto"/>
              </w:rPr>
            </w:pPr>
            <w:r>
              <w:rPr>
                <w:rFonts w:ascii="Arial" w:cs="Arial" w:eastAsia="Arial" w:hAnsi="Arial"/>
                <w:sz w:val="20"/>
                <w:szCs w:val="20"/>
                <w:color w:val="auto"/>
              </w:rPr>
              <w:t>Shareholders' equity</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122,451</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121,483</w:t>
            </w:r>
          </w:p>
        </w:tc>
      </w:tr>
      <w:tr>
        <w:trPr>
          <w:trHeight w:val="51"/>
        </w:trPr>
        <w:tc>
          <w:tcPr>
            <w:tcW w:w="116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4"/>
        </w:trPr>
        <w:tc>
          <w:tcPr>
            <w:tcW w:w="5680" w:type="dxa"/>
            <w:vAlign w:val="bottom"/>
            <w:gridSpan w:val="2"/>
            <w:shd w:val="clear" w:color="auto" w:fill="CFF0FC"/>
          </w:tcPr>
          <w:p>
            <w:pPr>
              <w:ind w:left="100"/>
              <w:spacing w:after="0"/>
              <w:rPr>
                <w:sz w:val="20"/>
                <w:szCs w:val="20"/>
                <w:color w:val="auto"/>
              </w:rPr>
            </w:pPr>
            <w:r>
              <w:rPr>
                <w:rFonts w:ascii="Arial" w:cs="Arial" w:eastAsia="Arial" w:hAnsi="Arial"/>
                <w:sz w:val="20"/>
                <w:szCs w:val="20"/>
                <w:color w:val="auto"/>
              </w:rPr>
              <w:t>Total liabilities and shareholders' equity</w:t>
            </w:r>
          </w:p>
        </w:tc>
        <w:tc>
          <w:tcPr>
            <w:tcW w:w="106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154,217</w:t>
            </w:r>
          </w:p>
        </w:tc>
        <w:tc>
          <w:tcPr>
            <w:tcW w:w="50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152,507</w:t>
            </w:r>
          </w:p>
        </w:tc>
      </w:tr>
      <w:tr>
        <w:trPr>
          <w:trHeight w:val="86"/>
        </w:trPr>
        <w:tc>
          <w:tcPr>
            <w:tcW w:w="1160" w:type="dxa"/>
            <w:vAlign w:val="bottom"/>
            <w:shd w:val="clear" w:color="auto" w:fill="CFF0FC"/>
          </w:tcPr>
          <w:p>
            <w:pPr>
              <w:spacing w:after="0"/>
              <w:rPr>
                <w:sz w:val="7"/>
                <w:szCs w:val="7"/>
                <w:color w:val="auto"/>
              </w:rPr>
            </w:pPr>
          </w:p>
        </w:tc>
        <w:tc>
          <w:tcPr>
            <w:tcW w:w="45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r>
      <w:tr>
        <w:trPr>
          <w:trHeight w:val="604"/>
        </w:trPr>
        <w:tc>
          <w:tcPr>
            <w:tcW w:w="5680" w:type="dxa"/>
            <w:vAlign w:val="bottom"/>
            <w:gridSpan w:val="2"/>
          </w:tcPr>
          <w:p>
            <w:pPr>
              <w:spacing w:after="0"/>
              <w:rPr>
                <w:sz w:val="20"/>
                <w:szCs w:val="20"/>
                <w:color w:val="auto"/>
              </w:rPr>
            </w:pPr>
            <w:r>
              <w:rPr>
                <w:rFonts w:ascii="Arial" w:cs="Arial" w:eastAsia="Arial" w:hAnsi="Arial"/>
                <w:sz w:val="20"/>
                <w:szCs w:val="20"/>
                <w:b w:val="1"/>
                <w:bCs w:val="1"/>
                <w:color w:val="auto"/>
              </w:rPr>
              <w:t>Statements of Income</w:t>
            </w:r>
          </w:p>
        </w:tc>
        <w:tc>
          <w:tcPr>
            <w:tcW w:w="1060" w:type="dxa"/>
            <w:vAlign w:val="bottom"/>
          </w:tcPr>
          <w:p>
            <w:pPr>
              <w:spacing w:after="0"/>
              <w:rPr>
                <w:sz w:val="24"/>
                <w:szCs w:val="24"/>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2025</w:t>
            </w:r>
          </w:p>
        </w:tc>
        <w:tc>
          <w:tcPr>
            <w:tcW w:w="5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304"/>
        </w:trPr>
        <w:tc>
          <w:tcPr>
            <w:tcW w:w="5680" w:type="dxa"/>
            <w:vAlign w:val="bottom"/>
            <w:gridSpan w:val="2"/>
          </w:tcPr>
          <w:p>
            <w:pPr>
              <w:spacing w:after="0"/>
              <w:rPr>
                <w:sz w:val="20"/>
                <w:szCs w:val="20"/>
                <w:color w:val="auto"/>
              </w:rPr>
            </w:pPr>
            <w:r>
              <w:rPr>
                <w:rFonts w:ascii="Arial" w:cs="Arial" w:eastAsia="Arial" w:hAnsi="Arial"/>
                <w:sz w:val="20"/>
                <w:szCs w:val="20"/>
                <w:i w:val="1"/>
                <w:iCs w:val="1"/>
                <w:color w:val="auto"/>
              </w:rPr>
              <w:t>(In thousands)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
        </w:trPr>
        <w:tc>
          <w:tcPr>
            <w:tcW w:w="1160" w:type="dxa"/>
            <w:vAlign w:val="bottom"/>
            <w:tcBorders>
              <w:top w:val="single" w:sz="8" w:color="auto"/>
            </w:tcBorders>
          </w:tcPr>
          <w:p>
            <w:pPr>
              <w:spacing w:after="0"/>
              <w:rPr>
                <w:sz w:val="3"/>
                <w:szCs w:val="3"/>
                <w:color w:val="auto"/>
              </w:rPr>
            </w:pPr>
          </w:p>
        </w:tc>
        <w:tc>
          <w:tcPr>
            <w:tcW w:w="4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5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b w:val="1"/>
                <w:bCs w:val="1"/>
                <w:color w:val="auto"/>
              </w:rPr>
              <w:t>Income</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74"/>
        </w:trPr>
        <w:tc>
          <w:tcPr>
            <w:tcW w:w="5680" w:type="dxa"/>
            <w:vAlign w:val="bottom"/>
            <w:gridSpan w:val="2"/>
          </w:tcPr>
          <w:p>
            <w:pPr>
              <w:spacing w:after="0"/>
              <w:rPr>
                <w:sz w:val="20"/>
                <w:szCs w:val="20"/>
                <w:color w:val="auto"/>
              </w:rPr>
            </w:pPr>
            <w:r>
              <w:rPr>
                <w:rFonts w:ascii="Arial" w:cs="Arial" w:eastAsia="Arial" w:hAnsi="Arial"/>
                <w:sz w:val="20"/>
                <w:szCs w:val="20"/>
                <w:color w:val="auto"/>
              </w:rPr>
              <w:t>Dividends from non-bank subsidiary</w:t>
            </w:r>
          </w:p>
        </w:tc>
        <w:tc>
          <w:tcPr>
            <w:tcW w:w="10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10</w:t>
            </w:r>
          </w:p>
        </w:tc>
        <w:tc>
          <w:tcPr>
            <w:tcW w:w="50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11</w:t>
            </w:r>
          </w:p>
        </w:tc>
      </w:tr>
      <w:tr>
        <w:trPr>
          <w:trHeight w:val="41"/>
        </w:trPr>
        <w:tc>
          <w:tcPr>
            <w:tcW w:w="116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5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Unrealized gain on marketable securities</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1,450</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197</w:t>
            </w:r>
          </w:p>
        </w:tc>
      </w:tr>
      <w:tr>
        <w:trPr>
          <w:trHeight w:val="274"/>
        </w:trPr>
        <w:tc>
          <w:tcPr>
            <w:tcW w:w="5680" w:type="dxa"/>
            <w:vAlign w:val="bottom"/>
            <w:gridSpan w:val="2"/>
          </w:tcPr>
          <w:p>
            <w:pPr>
              <w:spacing w:after="0"/>
              <w:rPr>
                <w:sz w:val="20"/>
                <w:szCs w:val="20"/>
                <w:color w:val="auto"/>
              </w:rPr>
            </w:pPr>
            <w:r>
              <w:rPr>
                <w:rFonts w:ascii="Arial" w:cs="Arial" w:eastAsia="Arial" w:hAnsi="Arial"/>
                <w:sz w:val="20"/>
                <w:szCs w:val="20"/>
                <w:color w:val="auto"/>
              </w:rPr>
              <w:t>Loss on sale of asset held-for-sale</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1"/>
        </w:trPr>
        <w:tc>
          <w:tcPr>
            <w:tcW w:w="116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4"/>
        </w:trPr>
        <w:tc>
          <w:tcPr>
            <w:tcW w:w="5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Operating, net</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74</w:t>
            </w:r>
          </w:p>
        </w:tc>
      </w:tr>
      <w:tr>
        <w:trPr>
          <w:trHeight w:val="274"/>
        </w:trPr>
        <w:tc>
          <w:tcPr>
            <w:tcW w:w="5680" w:type="dxa"/>
            <w:vAlign w:val="bottom"/>
            <w:gridSpan w:val="2"/>
          </w:tcPr>
          <w:p>
            <w:pPr>
              <w:spacing w:after="0"/>
              <w:rPr>
                <w:sz w:val="20"/>
                <w:szCs w:val="20"/>
                <w:color w:val="auto"/>
              </w:rPr>
            </w:pPr>
            <w:r>
              <w:rPr>
                <w:rFonts w:ascii="Arial" w:cs="Arial" w:eastAsia="Arial" w:hAnsi="Arial"/>
                <w:sz w:val="20"/>
                <w:szCs w:val="20"/>
                <w:color w:val="auto"/>
              </w:rPr>
              <w:t>Total income</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1,460</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246</w:t>
            </w:r>
          </w:p>
        </w:tc>
      </w:tr>
      <w:tr>
        <w:trPr>
          <w:trHeight w:val="51"/>
        </w:trPr>
        <w:tc>
          <w:tcPr>
            <w:tcW w:w="116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4"/>
        </w:trPr>
        <w:tc>
          <w:tcPr>
            <w:tcW w:w="5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b w:val="1"/>
                <w:bCs w:val="1"/>
                <w:color w:val="auto"/>
              </w:rPr>
              <w:t>Expenses</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74"/>
        </w:trPr>
        <w:tc>
          <w:tcPr>
            <w:tcW w:w="5680" w:type="dxa"/>
            <w:vAlign w:val="bottom"/>
            <w:gridSpan w:val="2"/>
          </w:tcPr>
          <w:p>
            <w:pPr>
              <w:spacing w:after="0"/>
              <w:rPr>
                <w:sz w:val="20"/>
                <w:szCs w:val="20"/>
                <w:color w:val="auto"/>
              </w:rPr>
            </w:pPr>
            <w:r>
              <w:rPr>
                <w:rFonts w:ascii="Arial" w:cs="Arial" w:eastAsia="Arial" w:hAnsi="Arial"/>
                <w:sz w:val="20"/>
                <w:szCs w:val="20"/>
                <w:color w:val="auto"/>
              </w:rPr>
              <w:t>Interest</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1,971</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1,966</w:t>
            </w:r>
          </w:p>
        </w:tc>
      </w:tr>
      <w:tr>
        <w:trPr>
          <w:trHeight w:val="41"/>
        </w:trPr>
        <w:tc>
          <w:tcPr>
            <w:tcW w:w="116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4"/>
        </w:trPr>
        <w:tc>
          <w:tcPr>
            <w:tcW w:w="5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Operating, net</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1,533</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584</w:t>
            </w:r>
          </w:p>
        </w:tc>
      </w:tr>
      <w:tr>
        <w:trPr>
          <w:trHeight w:val="274"/>
        </w:trPr>
        <w:tc>
          <w:tcPr>
            <w:tcW w:w="5680" w:type="dxa"/>
            <w:vAlign w:val="bottom"/>
            <w:gridSpan w:val="2"/>
          </w:tcPr>
          <w:p>
            <w:pPr>
              <w:spacing w:after="0"/>
              <w:rPr>
                <w:sz w:val="20"/>
                <w:szCs w:val="20"/>
                <w:color w:val="auto"/>
              </w:rPr>
            </w:pPr>
            <w:r>
              <w:rPr>
                <w:rFonts w:ascii="Arial" w:cs="Arial" w:eastAsia="Arial" w:hAnsi="Arial"/>
                <w:sz w:val="20"/>
                <w:szCs w:val="20"/>
                <w:color w:val="auto"/>
              </w:rPr>
              <w:t>Total expenses</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3,504</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2,550</w:t>
            </w:r>
          </w:p>
        </w:tc>
      </w:tr>
      <w:tr>
        <w:trPr>
          <w:trHeight w:val="51"/>
        </w:trPr>
        <w:tc>
          <w:tcPr>
            <w:tcW w:w="116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4"/>
        </w:trPr>
        <w:tc>
          <w:tcPr>
            <w:tcW w:w="5680" w:type="dxa"/>
            <w:vAlign w:val="bottom"/>
            <w:gridSpan w:val="2"/>
            <w:shd w:val="clear" w:color="auto" w:fill="CFF0FC"/>
          </w:tcPr>
          <w:p>
            <w:pPr>
              <w:ind w:left="60"/>
              <w:spacing w:after="0"/>
              <w:rPr>
                <w:sz w:val="20"/>
                <w:szCs w:val="20"/>
                <w:color w:val="auto"/>
              </w:rPr>
            </w:pPr>
            <w:r>
              <w:rPr>
                <w:rFonts w:ascii="Arial" w:cs="Arial" w:eastAsia="Arial" w:hAnsi="Arial"/>
                <w:sz w:val="20"/>
                <w:szCs w:val="20"/>
                <w:color w:val="auto"/>
              </w:rPr>
              <w:t>Loss before taxes and equity in undistributed net</w:t>
            </w:r>
          </w:p>
        </w:tc>
        <w:tc>
          <w:tcPr>
            <w:tcW w:w="10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r>
      <w:tr>
        <w:trPr>
          <w:trHeight w:val="331"/>
        </w:trPr>
        <w:tc>
          <w:tcPr>
            <w:tcW w:w="56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20"/>
                <w:szCs w:val="20"/>
                <w:color w:val="auto"/>
              </w:rPr>
              <w:t>income of subsidiaries</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(2,044)</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(2,304)</w:t>
            </w:r>
          </w:p>
        </w:tc>
      </w:tr>
      <w:tr>
        <w:trPr>
          <w:trHeight w:val="274"/>
        </w:trPr>
        <w:tc>
          <w:tcPr>
            <w:tcW w:w="5680" w:type="dxa"/>
            <w:vAlign w:val="bottom"/>
            <w:gridSpan w:val="2"/>
          </w:tcPr>
          <w:p>
            <w:pPr>
              <w:spacing w:after="0"/>
              <w:rPr>
                <w:sz w:val="20"/>
                <w:szCs w:val="20"/>
                <w:color w:val="auto"/>
              </w:rPr>
            </w:pPr>
            <w:r>
              <w:rPr>
                <w:rFonts w:ascii="Arial" w:cs="Arial" w:eastAsia="Arial" w:hAnsi="Arial"/>
                <w:sz w:val="20"/>
                <w:szCs w:val="20"/>
                <w:color w:val="auto"/>
              </w:rPr>
              <w:t>Tax benefit</w:t>
            </w:r>
          </w:p>
        </w:tc>
        <w:tc>
          <w:tcPr>
            <w:tcW w:w="10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20"/>
                <w:szCs w:val="20"/>
                <w:color w:val="auto"/>
              </w:rPr>
              <w:t>1,110</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346</w:t>
            </w:r>
          </w:p>
        </w:tc>
      </w:tr>
      <w:tr>
        <w:trPr>
          <w:trHeight w:val="51"/>
        </w:trPr>
        <w:tc>
          <w:tcPr>
            <w:tcW w:w="116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4"/>
        </w:trPr>
        <w:tc>
          <w:tcPr>
            <w:tcW w:w="56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Loss before equity in undistributed net income of subsidiaries</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(934)</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(1,958)</w:t>
            </w:r>
          </w:p>
        </w:tc>
      </w:tr>
      <w:tr>
        <w:trPr>
          <w:trHeight w:val="274"/>
        </w:trPr>
        <w:tc>
          <w:tcPr>
            <w:tcW w:w="5680" w:type="dxa"/>
            <w:vAlign w:val="bottom"/>
            <w:gridSpan w:val="2"/>
          </w:tcPr>
          <w:p>
            <w:pPr>
              <w:spacing w:after="0"/>
              <w:rPr>
                <w:sz w:val="20"/>
                <w:szCs w:val="20"/>
                <w:color w:val="auto"/>
              </w:rPr>
            </w:pPr>
            <w:r>
              <w:rPr>
                <w:rFonts w:ascii="Arial" w:cs="Arial" w:eastAsia="Arial" w:hAnsi="Arial"/>
                <w:sz w:val="20"/>
                <w:szCs w:val="20"/>
                <w:color w:val="auto"/>
              </w:rPr>
              <w:t>Equity in undistributed net (loss) income of subsidiaries</w:t>
            </w:r>
          </w:p>
        </w:tc>
        <w:tc>
          <w:tcPr>
            <w:tcW w:w="10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(999)</w:t>
            </w:r>
          </w:p>
        </w:tc>
        <w:tc>
          <w:tcPr>
            <w:tcW w:w="5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5,341</w:t>
            </w:r>
          </w:p>
        </w:tc>
      </w:tr>
      <w:tr>
        <w:trPr>
          <w:trHeight w:val="51"/>
        </w:trPr>
        <w:tc>
          <w:tcPr>
            <w:tcW w:w="116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4"/>
        </w:trPr>
        <w:tc>
          <w:tcPr>
            <w:tcW w:w="5680" w:type="dxa"/>
            <w:vAlign w:val="bottom"/>
            <w:gridSpan w:val="2"/>
            <w:shd w:val="clear" w:color="auto" w:fill="CFF0FC"/>
          </w:tcPr>
          <w:p>
            <w:pPr>
              <w:ind w:left="60"/>
              <w:spacing w:after="0"/>
              <w:rPr>
                <w:sz w:val="20"/>
                <w:szCs w:val="20"/>
                <w:color w:val="auto"/>
              </w:rPr>
            </w:pPr>
            <w:r>
              <w:rPr>
                <w:rFonts w:ascii="Arial" w:cs="Arial" w:eastAsia="Arial" w:hAnsi="Arial"/>
                <w:sz w:val="20"/>
                <w:szCs w:val="20"/>
                <w:color w:val="auto"/>
              </w:rPr>
              <w:t>Net (loss) income</w:t>
            </w:r>
          </w:p>
        </w:tc>
        <w:tc>
          <w:tcPr>
            <w:tcW w:w="106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(1,933)</w:t>
            </w:r>
          </w:p>
        </w:tc>
        <w:tc>
          <w:tcPr>
            <w:tcW w:w="50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3,383</w:t>
            </w:r>
          </w:p>
        </w:tc>
      </w:tr>
      <w:tr>
        <w:trPr>
          <w:trHeight w:val="86"/>
        </w:trPr>
        <w:tc>
          <w:tcPr>
            <w:tcW w:w="1160" w:type="dxa"/>
            <w:vAlign w:val="bottom"/>
            <w:shd w:val="clear" w:color="auto" w:fill="CFF0FC"/>
          </w:tcPr>
          <w:p>
            <w:pPr>
              <w:spacing w:after="0"/>
              <w:rPr>
                <w:sz w:val="7"/>
                <w:szCs w:val="7"/>
                <w:color w:val="auto"/>
              </w:rPr>
            </w:pPr>
          </w:p>
        </w:tc>
        <w:tc>
          <w:tcPr>
            <w:tcW w:w="45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-6721475</wp:posOffset>
            </wp:positionV>
            <wp:extent cx="5967730" cy="63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-5118100</wp:posOffset>
            </wp:positionV>
            <wp:extent cx="5967730" cy="63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-4912360</wp:posOffset>
            </wp:positionV>
            <wp:extent cx="5967730" cy="63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-4107180</wp:posOffset>
            </wp:positionV>
            <wp:extent cx="5967730" cy="63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-3901440</wp:posOffset>
            </wp:positionV>
            <wp:extent cx="5967730" cy="2857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-3463290</wp:posOffset>
            </wp:positionV>
            <wp:extent cx="5967730" cy="63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-2259330</wp:posOffset>
            </wp:positionV>
            <wp:extent cx="5967730" cy="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-2053590</wp:posOffset>
            </wp:positionV>
            <wp:extent cx="5967730" cy="63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-1447800</wp:posOffset>
            </wp:positionV>
            <wp:extent cx="5967730" cy="63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-1242060</wp:posOffset>
            </wp:positionV>
            <wp:extent cx="5967730" cy="6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-845820</wp:posOffset>
            </wp:positionV>
            <wp:extent cx="5967730" cy="63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-639445</wp:posOffset>
            </wp:positionV>
            <wp:extent cx="5967730" cy="63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25</w:t>
      </w:r>
    </w:p>
    <w:p>
      <w:pPr>
        <w:sectPr>
          <w:pgSz w:w="11900" w:h="16838" w:orient="portrait"/>
          <w:cols w:equalWidth="0" w:num="1">
            <w:col w:w="9400"/>
          </w:cols>
          <w:pgMar w:left="1260" w:top="1440" w:right="1246" w:bottom="0" w:gutter="0" w:footer="0" w:header="0"/>
          <w:type w:val="continuous"/>
        </w:sectPr>
      </w:pPr>
    </w:p>
    <w:bookmarkStart w:id="247" w:name="page248"/>
    <w:bookmarkEnd w:id="247"/>
    <w:p>
      <w:pPr>
        <w:jc w:val="center"/>
        <w:ind w:right="6"/>
        <w:spacing w:after="0"/>
        <w:rPr>
          <w:sz w:val="20"/>
          <w:szCs w:val="20"/>
          <w:color w:val="auto"/>
        </w:rPr>
      </w:pPr>
      <w:r>
        <w:rPr>
          <w:rFonts w:ascii="Arial" w:cs="Arial" w:eastAsia="Arial" w:hAnsi="Arial"/>
          <w:sz w:val="20"/>
          <w:szCs w:val="20"/>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569595</wp:posOffset>
            </wp:positionV>
            <wp:extent cx="5967730" cy="190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25</w:t>
      </w:r>
    </w:p>
    <w:p>
      <w:pPr>
        <w:sectPr>
          <w:pgSz w:w="11900" w:h="16838" w:orient="portrait"/>
          <w:cols w:equalWidth="0" w:num="1">
            <w:col w:w="9026"/>
          </w:cols>
          <w:pgMar w:left="1440" w:top="1297" w:right="1440" w:bottom="0" w:gutter="0" w:footer="0" w:header="0"/>
          <w:type w:val="continuous"/>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20"/>
                <w:szCs w:val="20"/>
                <w:b w:val="1"/>
                <w:bCs w:val="1"/>
                <w:color w:val="auto"/>
              </w:rPr>
              <w:t>Statements of Cash Flows</w:t>
            </w:r>
          </w:p>
        </w:tc>
        <w:tc>
          <w:tcPr>
            <w:tcW w:w="580" w:type="dxa"/>
            <w:vAlign w:val="bottom"/>
          </w:tcPr>
          <w:p>
            <w:pPr>
              <w:spacing w:after="0"/>
              <w:rPr>
                <w:sz w:val="19"/>
                <w:szCs w:val="19"/>
                <w:color w:val="auto"/>
              </w:rPr>
            </w:pPr>
          </w:p>
        </w:tc>
        <w:tc>
          <w:tcPr>
            <w:tcW w:w="1040" w:type="dxa"/>
            <w:vAlign w:val="bottom"/>
          </w:tcPr>
          <w:p>
            <w:pPr>
              <w:jc w:val="right"/>
              <w:ind w:right="80"/>
              <w:spacing w:after="0"/>
              <w:rPr>
                <w:sz w:val="20"/>
                <w:szCs w:val="20"/>
                <w:color w:val="auto"/>
              </w:rPr>
            </w:pPr>
            <w:r>
              <w:rPr>
                <w:rFonts w:ascii="Arial" w:cs="Arial" w:eastAsia="Arial" w:hAnsi="Arial"/>
                <w:sz w:val="20"/>
                <w:szCs w:val="20"/>
                <w:color w:val="auto"/>
              </w:rPr>
              <w:t>2025</w:t>
            </w:r>
          </w:p>
        </w:tc>
        <w:tc>
          <w:tcPr>
            <w:tcW w:w="56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304"/>
        </w:trPr>
        <w:tc>
          <w:tcPr>
            <w:tcW w:w="6240" w:type="dxa"/>
            <w:vAlign w:val="bottom"/>
            <w:gridSpan w:val="2"/>
          </w:tcPr>
          <w:p>
            <w:pPr>
              <w:spacing w:after="0"/>
              <w:rPr>
                <w:sz w:val="20"/>
                <w:szCs w:val="20"/>
                <w:color w:val="auto"/>
              </w:rPr>
            </w:pPr>
            <w:r>
              <w:rPr>
                <w:rFonts w:ascii="Arial" w:cs="Arial" w:eastAsia="Arial" w:hAnsi="Arial"/>
                <w:sz w:val="20"/>
                <w:szCs w:val="20"/>
                <w:i w:val="1"/>
                <w:iCs w:val="1"/>
                <w:color w:val="auto"/>
              </w:rPr>
              <w:t>(In thousands)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
        </w:trPr>
        <w:tc>
          <w:tcPr>
            <w:tcW w:w="1160" w:type="dxa"/>
            <w:vAlign w:val="bottom"/>
            <w:tcBorders>
              <w:top w:val="single" w:sz="8" w:color="auto"/>
            </w:tcBorders>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b w:val="1"/>
                <w:bCs w:val="1"/>
                <w:color w:val="auto"/>
              </w:rPr>
              <w:t>Operating Activities</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Net (loss) income</w:t>
            </w:r>
          </w:p>
        </w:tc>
        <w:tc>
          <w:tcPr>
            <w:tcW w:w="58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(1,933)</w:t>
            </w:r>
          </w:p>
        </w:tc>
        <w:tc>
          <w:tcPr>
            <w:tcW w:w="56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3,383</w:t>
            </w:r>
          </w:p>
        </w:tc>
      </w:tr>
      <w:tr>
        <w:trPr>
          <w:trHeight w:val="41"/>
        </w:trPr>
        <w:tc>
          <w:tcPr>
            <w:tcW w:w="11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4"/>
        </w:trPr>
        <w:tc>
          <w:tcPr>
            <w:tcW w:w="6240" w:type="dxa"/>
            <w:vAlign w:val="bottom"/>
            <w:gridSpan w:val="2"/>
            <w:shd w:val="clear" w:color="auto" w:fill="CFF0FC"/>
          </w:tcPr>
          <w:p>
            <w:pPr>
              <w:ind w:left="60"/>
              <w:spacing w:after="0"/>
              <w:rPr>
                <w:sz w:val="20"/>
                <w:szCs w:val="20"/>
                <w:color w:val="auto"/>
              </w:rPr>
            </w:pPr>
            <w:r>
              <w:rPr>
                <w:rFonts w:ascii="Arial" w:cs="Arial" w:eastAsia="Arial" w:hAnsi="Arial"/>
                <w:sz w:val="20"/>
                <w:szCs w:val="20"/>
                <w:color w:val="auto"/>
                <w:w w:val="92"/>
              </w:rPr>
              <w:t>Adjustments to reconcile net (loss) income to net cash flows from operating</w:t>
            </w:r>
          </w:p>
        </w:tc>
        <w:tc>
          <w:tcPr>
            <w:tcW w:w="58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r>
      <w:tr>
        <w:trPr>
          <w:trHeight w:val="321"/>
        </w:trPr>
        <w:tc>
          <w:tcPr>
            <w:tcW w:w="624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activities:</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Equity in undistributed net loss (income) of subsidiaries</w:t>
            </w:r>
          </w:p>
        </w:tc>
        <w:tc>
          <w:tcPr>
            <w:tcW w:w="58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20"/>
                <w:szCs w:val="20"/>
                <w:color w:val="auto"/>
              </w:rPr>
              <w:t>999</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(5,341)</w:t>
            </w:r>
          </w:p>
        </w:tc>
      </w:tr>
      <w:tr>
        <w:trPr>
          <w:trHeight w:val="41"/>
        </w:trPr>
        <w:tc>
          <w:tcPr>
            <w:tcW w:w="11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24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Stock based compensation and ESOP expense</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985</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247</w:t>
            </w: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Amortization of deferred financing from subordinated loan</w:t>
            </w:r>
          </w:p>
        </w:tc>
        <w:tc>
          <w:tcPr>
            <w:tcW w:w="58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20"/>
                <w:szCs w:val="20"/>
                <w:color w:val="auto"/>
              </w:rPr>
              <w:t>48</w:t>
            </w:r>
          </w:p>
        </w:tc>
        <w:tc>
          <w:tcPr>
            <w:tcW w:w="5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193</w:t>
            </w:r>
          </w:p>
        </w:tc>
      </w:tr>
      <w:tr>
        <w:trPr>
          <w:trHeight w:val="41"/>
        </w:trPr>
        <w:tc>
          <w:tcPr>
            <w:tcW w:w="11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24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Unrealized gain on marketable securities</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(1,450)</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(197)</w:t>
            </w: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Gain from sale of subsidiary</w:t>
            </w:r>
          </w:p>
        </w:tc>
        <w:tc>
          <w:tcPr>
            <w:tcW w:w="58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(1,504)</w:t>
            </w:r>
          </w:p>
        </w:tc>
      </w:tr>
      <w:tr>
        <w:trPr>
          <w:trHeight w:val="41"/>
        </w:trPr>
        <w:tc>
          <w:tcPr>
            <w:tcW w:w="11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24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Loss on sale of assets held-for-sale</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36</w:t>
            </w: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Net change in other assets and liabilities</w:t>
            </w:r>
          </w:p>
        </w:tc>
        <w:tc>
          <w:tcPr>
            <w:tcW w:w="5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(313)</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51"/>
        </w:trPr>
        <w:tc>
          <w:tcPr>
            <w:tcW w:w="1160" w:type="dxa"/>
            <w:vAlign w:val="bottom"/>
          </w:tcPr>
          <w:p>
            <w:pPr>
              <w:spacing w:after="0"/>
              <w:rPr>
                <w:sz w:val="4"/>
                <w:szCs w:val="4"/>
                <w:color w:val="auto"/>
              </w:rPr>
            </w:pPr>
          </w:p>
        </w:tc>
        <w:tc>
          <w:tcPr>
            <w:tcW w:w="5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624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20"/>
                <w:szCs w:val="20"/>
                <w:color w:val="auto"/>
              </w:rPr>
              <w:t>Net cash used in operating activities</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(1,664)</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(3,184)</w:t>
            </w:r>
          </w:p>
        </w:tc>
      </w:tr>
      <w:tr>
        <w:trPr>
          <w:trHeight w:val="274"/>
        </w:trPr>
        <w:tc>
          <w:tcPr>
            <w:tcW w:w="6240" w:type="dxa"/>
            <w:vAlign w:val="bottom"/>
            <w:gridSpan w:val="2"/>
          </w:tcPr>
          <w:p>
            <w:pPr>
              <w:spacing w:after="0"/>
              <w:rPr>
                <w:sz w:val="20"/>
                <w:szCs w:val="20"/>
                <w:color w:val="auto"/>
              </w:rPr>
            </w:pPr>
            <w:r>
              <w:rPr>
                <w:rFonts w:ascii="Arial" w:cs="Arial" w:eastAsia="Arial" w:hAnsi="Arial"/>
                <w:sz w:val="20"/>
                <w:szCs w:val="20"/>
                <w:b w:val="1"/>
                <w:bCs w:val="1"/>
                <w:color w:val="auto"/>
              </w:rPr>
              <w:t>Investing Activities</w:t>
            </w:r>
          </w:p>
        </w:tc>
        <w:tc>
          <w:tcPr>
            <w:tcW w:w="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41"/>
        </w:trPr>
        <w:tc>
          <w:tcPr>
            <w:tcW w:w="11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24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Purchase of investments</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(508)</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(673)</w:t>
            </w: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Proceeds from sale of assets held-for-sale</w:t>
            </w:r>
          </w:p>
        </w:tc>
        <w:tc>
          <w:tcPr>
            <w:tcW w:w="58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3,007</w:t>
            </w:r>
          </w:p>
        </w:tc>
      </w:tr>
      <w:tr>
        <w:trPr>
          <w:trHeight w:val="41"/>
        </w:trPr>
        <w:tc>
          <w:tcPr>
            <w:tcW w:w="11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624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Proceeds from sale of subsidiary</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1,155</w:t>
            </w:r>
          </w:p>
        </w:tc>
      </w:tr>
      <w:tr>
        <w:trPr>
          <w:trHeight w:val="274"/>
        </w:trPr>
        <w:tc>
          <w:tcPr>
            <w:tcW w:w="6240" w:type="dxa"/>
            <w:vAlign w:val="bottom"/>
            <w:gridSpan w:val="2"/>
          </w:tcPr>
          <w:p>
            <w:pPr>
              <w:ind w:left="160"/>
              <w:spacing w:after="0"/>
              <w:rPr>
                <w:sz w:val="20"/>
                <w:szCs w:val="20"/>
                <w:color w:val="auto"/>
              </w:rPr>
            </w:pPr>
            <w:r>
              <w:rPr>
                <w:rFonts w:ascii="Arial" w:cs="Arial" w:eastAsia="Arial" w:hAnsi="Arial"/>
                <w:sz w:val="20"/>
                <w:szCs w:val="20"/>
                <w:color w:val="auto"/>
              </w:rPr>
              <w:t>Net cash (used in) provided by investing activities</w:t>
            </w:r>
          </w:p>
        </w:tc>
        <w:tc>
          <w:tcPr>
            <w:tcW w:w="5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(508)</w:t>
            </w:r>
          </w:p>
        </w:tc>
        <w:tc>
          <w:tcPr>
            <w:tcW w:w="5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3,489</w:t>
            </w:r>
          </w:p>
        </w:tc>
      </w:tr>
      <w:tr>
        <w:trPr>
          <w:trHeight w:val="51"/>
        </w:trPr>
        <w:tc>
          <w:tcPr>
            <w:tcW w:w="1160" w:type="dxa"/>
            <w:vAlign w:val="bottom"/>
          </w:tcPr>
          <w:p>
            <w:pPr>
              <w:spacing w:after="0"/>
              <w:rPr>
                <w:sz w:val="4"/>
                <w:szCs w:val="4"/>
                <w:color w:val="auto"/>
              </w:rPr>
            </w:pPr>
          </w:p>
        </w:tc>
        <w:tc>
          <w:tcPr>
            <w:tcW w:w="5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6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b w:val="1"/>
                <w:bCs w:val="1"/>
                <w:color w:val="auto"/>
              </w:rPr>
              <w:t>Financing Activities</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Proceeds from exercise of stock options</w:t>
            </w:r>
          </w:p>
        </w:tc>
        <w:tc>
          <w:tcPr>
            <w:tcW w:w="58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20"/>
                <w:szCs w:val="20"/>
                <w:color w:val="auto"/>
              </w:rPr>
              <w:t>656</w:t>
            </w:r>
          </w:p>
        </w:tc>
        <w:tc>
          <w:tcPr>
            <w:tcW w:w="5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291</w:t>
            </w:r>
          </w:p>
        </w:tc>
      </w:tr>
      <w:tr>
        <w:trPr>
          <w:trHeight w:val="41"/>
        </w:trPr>
        <w:tc>
          <w:tcPr>
            <w:tcW w:w="11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24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Dividends received from subsidiary</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4,400</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2,100</w:t>
            </w: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Cash dividends paid to common shareholders</w:t>
            </w:r>
          </w:p>
        </w:tc>
        <w:tc>
          <w:tcPr>
            <w:tcW w:w="5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(1,908)</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(1,841)</w:t>
            </w:r>
          </w:p>
        </w:tc>
      </w:tr>
      <w:tr>
        <w:trPr>
          <w:trHeight w:val="41"/>
        </w:trPr>
        <w:tc>
          <w:tcPr>
            <w:tcW w:w="11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624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Cash dividends paid to non-voting common shareholders</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(552)</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(538)</w:t>
            </w: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Cash dividends paid on warrants</w:t>
            </w:r>
          </w:p>
        </w:tc>
        <w:tc>
          <w:tcPr>
            <w:tcW w:w="5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(50)</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51"/>
        </w:trPr>
        <w:tc>
          <w:tcPr>
            <w:tcW w:w="1160" w:type="dxa"/>
            <w:vAlign w:val="bottom"/>
          </w:tcPr>
          <w:p>
            <w:pPr>
              <w:spacing w:after="0"/>
              <w:rPr>
                <w:sz w:val="4"/>
                <w:szCs w:val="4"/>
                <w:color w:val="auto"/>
              </w:rPr>
            </w:pPr>
          </w:p>
        </w:tc>
        <w:tc>
          <w:tcPr>
            <w:tcW w:w="5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624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20"/>
                <w:szCs w:val="20"/>
                <w:color w:val="auto"/>
              </w:rPr>
              <w:t>Net cash provided by (used in) financing activities</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2,546</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w:t>
            </w:r>
          </w:p>
        </w:tc>
      </w:tr>
      <w:tr>
        <w:trPr>
          <w:trHeight w:val="274"/>
        </w:trPr>
        <w:tc>
          <w:tcPr>
            <w:tcW w:w="6240" w:type="dxa"/>
            <w:vAlign w:val="bottom"/>
            <w:gridSpan w:val="2"/>
          </w:tcPr>
          <w:p>
            <w:pPr>
              <w:ind w:left="160"/>
              <w:spacing w:after="0"/>
              <w:rPr>
                <w:sz w:val="20"/>
                <w:szCs w:val="20"/>
                <w:color w:val="auto"/>
              </w:rPr>
            </w:pPr>
            <w:r>
              <w:rPr>
                <w:rFonts w:ascii="Arial" w:cs="Arial" w:eastAsia="Arial" w:hAnsi="Arial"/>
                <w:sz w:val="20"/>
                <w:szCs w:val="20"/>
                <w:color w:val="auto"/>
              </w:rPr>
              <w:t>Change in cash and cash equivalents</w:t>
            </w:r>
          </w:p>
        </w:tc>
        <w:tc>
          <w:tcPr>
            <w:tcW w:w="58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20"/>
                <w:szCs w:val="20"/>
                <w:color w:val="auto"/>
              </w:rPr>
              <w:t>374</w:t>
            </w:r>
          </w:p>
        </w:tc>
        <w:tc>
          <w:tcPr>
            <w:tcW w:w="5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268</w:t>
            </w:r>
          </w:p>
        </w:tc>
      </w:tr>
      <w:tr>
        <w:trPr>
          <w:trHeight w:val="41"/>
        </w:trPr>
        <w:tc>
          <w:tcPr>
            <w:tcW w:w="11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624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Cash and cash equivalents at beginning of year</w:t>
            </w:r>
          </w:p>
        </w:tc>
        <w:tc>
          <w:tcPr>
            <w:tcW w:w="5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5,604</w:t>
            </w:r>
          </w:p>
        </w:tc>
        <w:tc>
          <w:tcPr>
            <w:tcW w:w="5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5,336</w:t>
            </w:r>
          </w:p>
        </w:tc>
      </w:tr>
      <w:tr>
        <w:trPr>
          <w:trHeight w:val="274"/>
        </w:trPr>
        <w:tc>
          <w:tcPr>
            <w:tcW w:w="6240" w:type="dxa"/>
            <w:vAlign w:val="bottom"/>
            <w:gridSpan w:val="2"/>
          </w:tcPr>
          <w:p>
            <w:pPr>
              <w:ind w:left="60"/>
              <w:spacing w:after="0"/>
              <w:rPr>
                <w:sz w:val="20"/>
                <w:szCs w:val="20"/>
                <w:color w:val="auto"/>
              </w:rPr>
            </w:pPr>
            <w:r>
              <w:rPr>
                <w:rFonts w:ascii="Arial" w:cs="Arial" w:eastAsia="Arial" w:hAnsi="Arial"/>
                <w:sz w:val="20"/>
                <w:szCs w:val="20"/>
                <w:color w:val="auto"/>
              </w:rPr>
              <w:t>Cash and cash equivalents at end of year</w:t>
            </w:r>
          </w:p>
        </w:tc>
        <w:tc>
          <w:tcPr>
            <w:tcW w:w="58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0"/>
              <w:spacing w:after="0"/>
              <w:rPr>
                <w:sz w:val="20"/>
                <w:szCs w:val="20"/>
                <w:color w:val="auto"/>
              </w:rPr>
            </w:pPr>
            <w:r>
              <w:rPr>
                <w:rFonts w:ascii="Arial" w:cs="Arial" w:eastAsia="Arial" w:hAnsi="Arial"/>
                <w:sz w:val="20"/>
                <w:szCs w:val="20"/>
                <w:color w:val="auto"/>
              </w:rPr>
              <w:t>5,978</w:t>
            </w:r>
          </w:p>
        </w:tc>
        <w:tc>
          <w:tcPr>
            <w:tcW w:w="56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5,604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-5605145</wp:posOffset>
            </wp:positionV>
            <wp:extent cx="5967730" cy="63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-3212465</wp:posOffset>
            </wp:positionV>
            <wp:extent cx="5967730" cy="63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-3006090</wp:posOffset>
            </wp:positionV>
            <wp:extent cx="5967730" cy="63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-2201545</wp:posOffset>
            </wp:positionV>
            <wp:extent cx="5967730" cy="63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5967730" cy="63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-791210</wp:posOffset>
            </wp:positionV>
            <wp:extent cx="5967730" cy="63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-585470</wp:posOffset>
            </wp:positionV>
            <wp:extent cx="5967730" cy="63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25</w:t>
      </w:r>
    </w:p>
    <w:p>
      <w:pPr>
        <w:sectPr>
          <w:pgSz w:w="11900" w:h="16838" w:orient="portrait"/>
          <w:cols w:equalWidth="0" w:num="1">
            <w:col w:w="9400"/>
          </w:cols>
          <w:pgMar w:left="1260" w:top="1440" w:right="1246" w:bottom="0" w:gutter="0" w:footer="0" w:header="0"/>
          <w:type w:val="continuous"/>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24: RELATED PARTY TRANSACTIONS</w:t>
      </w:r>
    </w:p>
    <w:p>
      <w:pPr>
        <w:spacing w:after="0" w:line="200"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In the ordinary course of business, the Company has granted loans to certain directors, executive officers and their affiliates (collectively referred to as “related parties”). None of the related party loans were classified as nonaccrual, past due, restructured, or potential problem loans at December 31, 2025 or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activity associated with loans to related parties during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7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2025</w:t>
            </w:r>
          </w:p>
        </w:tc>
        <w:tc>
          <w:tcPr>
            <w:tcW w:w="5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2024</w:t>
            </w:r>
          </w:p>
        </w:tc>
      </w:tr>
      <w:tr>
        <w:trPr>
          <w:trHeight w:val="51"/>
        </w:trPr>
        <w:tc>
          <w:tcPr>
            <w:tcW w:w="5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9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the beginning of the year</w:t>
            </w:r>
          </w:p>
        </w:tc>
        <w:tc>
          <w:tcPr>
            <w:tcW w:w="172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28,265</w:t>
            </w:r>
          </w:p>
        </w:tc>
        <w:tc>
          <w:tcPr>
            <w:tcW w:w="52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32,805</w:t>
            </w:r>
          </w:p>
        </w:tc>
      </w:tr>
      <w:tr>
        <w:trPr>
          <w:trHeight w:val="274"/>
        </w:trPr>
        <w:tc>
          <w:tcPr>
            <w:tcW w:w="5080" w:type="dxa"/>
            <w:vAlign w:val="bottom"/>
          </w:tcPr>
          <w:p>
            <w:pPr>
              <w:ind w:left="60"/>
              <w:spacing w:after="0"/>
              <w:rPr>
                <w:sz w:val="20"/>
                <w:szCs w:val="20"/>
                <w:color w:val="auto"/>
              </w:rPr>
            </w:pPr>
            <w:r>
              <w:rPr>
                <w:rFonts w:ascii="Arial" w:cs="Arial" w:eastAsia="Arial" w:hAnsi="Arial"/>
                <w:sz w:val="20"/>
                <w:szCs w:val="20"/>
                <w:color w:val="auto"/>
              </w:rPr>
              <w:t>Originations and related party additions</w:t>
            </w:r>
          </w:p>
        </w:tc>
        <w:tc>
          <w:tcPr>
            <w:tcW w:w="17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433</w:t>
            </w:r>
          </w:p>
        </w:tc>
        <w:tc>
          <w:tcPr>
            <w:tcW w:w="5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1,171</w:t>
            </w:r>
          </w:p>
        </w:tc>
      </w:tr>
      <w:tr>
        <w:trPr>
          <w:trHeight w:val="41"/>
        </w:trPr>
        <w:tc>
          <w:tcPr>
            <w:tcW w:w="50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304"/>
        </w:trPr>
        <w:tc>
          <w:tcPr>
            <w:tcW w:w="50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Principal payments and related party removals</w:t>
            </w:r>
          </w:p>
        </w:tc>
        <w:tc>
          <w:tcPr>
            <w:tcW w:w="17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(11,338)</w:t>
            </w:r>
          </w:p>
        </w:tc>
        <w:tc>
          <w:tcPr>
            <w:tcW w:w="5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(5,711)</w:t>
            </w:r>
          </w:p>
        </w:tc>
      </w:tr>
      <w:tr>
        <w:trPr>
          <w:trHeight w:val="274"/>
        </w:trPr>
        <w:tc>
          <w:tcPr>
            <w:tcW w:w="5080" w:type="dxa"/>
            <w:vAlign w:val="bottom"/>
          </w:tcPr>
          <w:p>
            <w:pPr>
              <w:spacing w:after="0"/>
              <w:rPr>
                <w:sz w:val="20"/>
                <w:szCs w:val="20"/>
                <w:color w:val="auto"/>
              </w:rPr>
            </w:pPr>
            <w:r>
              <w:rPr>
                <w:rFonts w:ascii="Arial" w:cs="Arial" w:eastAsia="Arial" w:hAnsi="Arial"/>
                <w:sz w:val="20"/>
                <w:szCs w:val="20"/>
                <w:color w:val="auto"/>
              </w:rPr>
              <w:t>Balance at the end of the year</w:t>
            </w:r>
          </w:p>
        </w:tc>
        <w:tc>
          <w:tcPr>
            <w:tcW w:w="172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17,360</w:t>
            </w:r>
          </w:p>
        </w:tc>
        <w:tc>
          <w:tcPr>
            <w:tcW w:w="52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28,265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-784860</wp:posOffset>
            </wp:positionV>
            <wp:extent cx="5967730" cy="6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5967730" cy="63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2857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45"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Deposit accounts with related parties at December 31, 2025 and 2024 were $14.9 million and $17.6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25: ACCUMULATED OTHER COMPREHENSIVE INCOME (LOSS)</w:t>
      </w:r>
    </w:p>
    <w:p>
      <w:pPr>
        <w:spacing w:after="0" w:line="200"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Changes in the components of accumulated other comprehensive income (loss) (“AOCI”), net of tax, for the periods indicated are summarized in the table below.</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40" w:type="dxa"/>
            <w:vAlign w:val="bottom"/>
            <w:gridSpan w:val="4"/>
          </w:tcPr>
          <w:p>
            <w:pPr>
              <w:ind w:left="140"/>
              <w:spacing w:after="0"/>
              <w:rPr>
                <w:sz w:val="20"/>
                <w:szCs w:val="20"/>
                <w:color w:val="auto"/>
              </w:rPr>
            </w:pPr>
            <w:r>
              <w:rPr>
                <w:rFonts w:ascii="Arial" w:cs="Arial" w:eastAsia="Arial" w:hAnsi="Arial"/>
                <w:sz w:val="16"/>
                <w:szCs w:val="16"/>
                <w:color w:val="auto"/>
                <w:w w:val="99"/>
              </w:rPr>
              <w:t>For the year ended December 31, 2025</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3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jc w:val="center"/>
              <w:ind w:right="180"/>
              <w:spacing w:after="0"/>
              <w:rPr>
                <w:sz w:val="20"/>
                <w:szCs w:val="20"/>
                <w:color w:val="auto"/>
              </w:rPr>
            </w:pPr>
            <w:r>
              <w:rPr>
                <w:rFonts w:ascii="Arial" w:cs="Arial" w:eastAsia="Arial" w:hAnsi="Arial"/>
                <w:sz w:val="16"/>
                <w:szCs w:val="16"/>
                <w:color w:val="auto"/>
                <w:w w:val="90"/>
              </w:rPr>
              <w:t>Net Unrealized</w:t>
            </w:r>
          </w:p>
        </w:tc>
        <w:tc>
          <w:tcPr>
            <w:tcW w:w="1420" w:type="dxa"/>
            <w:vAlign w:val="bottom"/>
            <w:gridSpan w:val="2"/>
          </w:tcPr>
          <w:p>
            <w:pPr>
              <w:ind w:left="140"/>
              <w:spacing w:after="0"/>
              <w:rPr>
                <w:sz w:val="20"/>
                <w:szCs w:val="20"/>
                <w:color w:val="auto"/>
              </w:rPr>
            </w:pPr>
            <w:r>
              <w:rPr>
                <w:rFonts w:ascii="Arial" w:cs="Arial" w:eastAsia="Arial" w:hAnsi="Arial"/>
                <w:sz w:val="16"/>
                <w:szCs w:val="16"/>
                <w:color w:val="auto"/>
              </w:rPr>
              <w:t>Unrealized Loss</w:t>
            </w:r>
          </w:p>
        </w:tc>
        <w:tc>
          <w:tcPr>
            <w:tcW w:w="1520" w:type="dxa"/>
            <w:vAlign w:val="bottom"/>
            <w:gridSpan w:val="2"/>
          </w:tcPr>
          <w:p>
            <w:pPr>
              <w:ind w:left="80"/>
              <w:spacing w:after="0"/>
              <w:rPr>
                <w:sz w:val="20"/>
                <w:szCs w:val="20"/>
                <w:color w:val="auto"/>
              </w:rPr>
            </w:pPr>
            <w:r>
              <w:rPr>
                <w:rFonts w:ascii="Arial" w:cs="Arial" w:eastAsia="Arial" w:hAnsi="Arial"/>
                <w:sz w:val="16"/>
                <w:szCs w:val="16"/>
                <w:color w:val="auto"/>
              </w:rPr>
              <w:t>Unrealized Gain on</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40"/>
        </w:trPr>
        <w:tc>
          <w:tcPr>
            <w:tcW w:w="3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center"/>
              <w:ind w:right="200"/>
              <w:spacing w:after="0"/>
              <w:rPr>
                <w:sz w:val="20"/>
                <w:szCs w:val="20"/>
                <w:color w:val="auto"/>
              </w:rPr>
            </w:pPr>
            <w:r>
              <w:rPr>
                <w:rFonts w:ascii="Arial" w:cs="Arial" w:eastAsia="Arial" w:hAnsi="Arial"/>
                <w:sz w:val="16"/>
                <w:szCs w:val="16"/>
                <w:color w:val="auto"/>
                <w:w w:val="89"/>
              </w:rPr>
              <w:t>Loss on</w:t>
            </w:r>
          </w:p>
        </w:tc>
        <w:tc>
          <w:tcPr>
            <w:tcW w:w="1420" w:type="dxa"/>
            <w:vAlign w:val="bottom"/>
            <w:gridSpan w:val="2"/>
          </w:tcPr>
          <w:p>
            <w:pPr>
              <w:ind w:left="120"/>
              <w:spacing w:after="0"/>
              <w:rPr>
                <w:sz w:val="20"/>
                <w:szCs w:val="20"/>
                <w:color w:val="auto"/>
              </w:rPr>
            </w:pPr>
            <w:r>
              <w:rPr>
                <w:rFonts w:ascii="Arial" w:cs="Arial" w:eastAsia="Arial" w:hAnsi="Arial"/>
                <w:sz w:val="16"/>
                <w:szCs w:val="16"/>
                <w:color w:val="auto"/>
              </w:rPr>
              <w:t>on Available-for-</w:t>
            </w:r>
          </w:p>
        </w:tc>
        <w:tc>
          <w:tcPr>
            <w:tcW w:w="180" w:type="dxa"/>
            <w:vAlign w:val="bottom"/>
          </w:tcPr>
          <w:p>
            <w:pPr>
              <w:spacing w:after="0"/>
              <w:rPr>
                <w:sz w:val="20"/>
                <w:szCs w:val="20"/>
                <w:color w:val="auto"/>
              </w:rPr>
            </w:pPr>
          </w:p>
        </w:tc>
        <w:tc>
          <w:tcPr>
            <w:tcW w:w="1340" w:type="dxa"/>
            <w:vAlign w:val="bottom"/>
          </w:tcPr>
          <w:p>
            <w:pPr>
              <w:jc w:val="right"/>
              <w:ind w:right="220"/>
              <w:spacing w:after="0"/>
              <w:rPr>
                <w:sz w:val="20"/>
                <w:szCs w:val="20"/>
                <w:color w:val="auto"/>
              </w:rPr>
            </w:pPr>
            <w:r>
              <w:rPr>
                <w:rFonts w:ascii="Arial" w:cs="Arial" w:eastAsia="Arial" w:hAnsi="Arial"/>
                <w:sz w:val="16"/>
                <w:szCs w:val="16"/>
                <w:color w:val="auto"/>
                <w:w w:val="92"/>
              </w:rPr>
              <w:t>Derivatives and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Retirement Plans</w:t>
            </w:r>
          </w:p>
        </w:tc>
        <w:tc>
          <w:tcPr>
            <w:tcW w:w="180" w:type="dxa"/>
            <w:vAlign w:val="bottom"/>
          </w:tcPr>
          <w:p>
            <w:pPr>
              <w:spacing w:after="0"/>
              <w:rPr>
                <w:sz w:val="20"/>
                <w:szCs w:val="20"/>
                <w:color w:val="auto"/>
              </w:rPr>
            </w:pPr>
          </w:p>
        </w:tc>
        <w:tc>
          <w:tcPr>
            <w:tcW w:w="1240" w:type="dxa"/>
            <w:vAlign w:val="bottom"/>
          </w:tcPr>
          <w:p>
            <w:pPr>
              <w:jc w:val="right"/>
              <w:ind w:right="180"/>
              <w:spacing w:after="0"/>
              <w:rPr>
                <w:sz w:val="20"/>
                <w:szCs w:val="20"/>
                <w:color w:val="auto"/>
              </w:rPr>
            </w:pPr>
            <w:r>
              <w:rPr>
                <w:rFonts w:ascii="Arial" w:cs="Arial" w:eastAsia="Arial" w:hAnsi="Arial"/>
                <w:sz w:val="16"/>
                <w:szCs w:val="16"/>
                <w:color w:val="auto"/>
                <w:w w:val="89"/>
              </w:rPr>
              <w:t>Sale Securities</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Hedging Activities</w:t>
            </w:r>
          </w:p>
        </w:tc>
        <w:tc>
          <w:tcPr>
            <w:tcW w:w="300" w:type="dxa"/>
            <w:vAlign w:val="bottom"/>
          </w:tcPr>
          <w:p>
            <w:pPr>
              <w:spacing w:after="0"/>
              <w:rPr>
                <w:sz w:val="20"/>
                <w:szCs w:val="20"/>
                <w:color w:val="auto"/>
              </w:rPr>
            </w:pPr>
          </w:p>
        </w:tc>
        <w:tc>
          <w:tcPr>
            <w:tcW w:w="1000" w:type="dxa"/>
            <w:vAlign w:val="bottom"/>
          </w:tcPr>
          <w:p>
            <w:pPr>
              <w:jc w:val="right"/>
              <w:ind w:right="420"/>
              <w:spacing w:after="0"/>
              <w:rPr>
                <w:sz w:val="20"/>
                <w:szCs w:val="20"/>
                <w:color w:val="auto"/>
              </w:rPr>
            </w:pPr>
            <w:r>
              <w:rPr>
                <w:rFonts w:ascii="Arial" w:cs="Arial" w:eastAsia="Arial" w:hAnsi="Arial"/>
                <w:sz w:val="16"/>
                <w:szCs w:val="16"/>
                <w:color w:val="auto"/>
              </w:rPr>
              <w:t>Total</w:t>
            </w:r>
          </w:p>
        </w:tc>
      </w:tr>
      <w:tr>
        <w:trPr>
          <w:trHeight w:val="324"/>
        </w:trPr>
        <w:tc>
          <w:tcPr>
            <w:tcW w:w="3260" w:type="dxa"/>
            <w:vAlign w:val="bottom"/>
          </w:tcPr>
          <w:p>
            <w:pPr>
              <w:spacing w:after="0"/>
              <w:rPr>
                <w:sz w:val="20"/>
                <w:szCs w:val="20"/>
                <w:color w:val="auto"/>
              </w:rPr>
            </w:pPr>
            <w:r>
              <w:rPr>
                <w:rFonts w:ascii="Arial" w:cs="Arial" w:eastAsia="Arial" w:hAnsi="Arial"/>
                <w:sz w:val="16"/>
                <w:szCs w:val="16"/>
                <w:color w:val="auto"/>
              </w:rPr>
              <w:t>Beginning balance</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(1,992)</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(7,548)</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396</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(9,144)</w:t>
            </w:r>
          </w:p>
        </w:tc>
      </w:tr>
      <w:tr>
        <w:trPr>
          <w:trHeight w:val="32"/>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2"/>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(loss) before</w:t>
            </w:r>
          </w:p>
        </w:tc>
        <w:tc>
          <w:tcPr>
            <w:tcW w:w="6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52"/>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reclassifications</w:t>
            </w:r>
          </w:p>
        </w:tc>
        <w:tc>
          <w:tcPr>
            <w:tcW w:w="6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674</w:t>
            </w: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3,241</w:t>
            </w:r>
          </w:p>
        </w:tc>
        <w:tc>
          <w:tcPr>
            <w:tcW w:w="1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3,673</w:t>
            </w:r>
          </w:p>
        </w:tc>
      </w:tr>
      <w:tr>
        <w:trPr>
          <w:trHeight w:val="282"/>
        </w:trPr>
        <w:tc>
          <w:tcPr>
            <w:tcW w:w="3260" w:type="dxa"/>
            <w:vAlign w:val="bottom"/>
          </w:tcPr>
          <w:p>
            <w:pPr>
              <w:spacing w:after="0"/>
              <w:rPr>
                <w:sz w:val="20"/>
                <w:szCs w:val="20"/>
                <w:color w:val="auto"/>
              </w:rPr>
            </w:pPr>
            <w:r>
              <w:rPr>
                <w:rFonts w:ascii="Arial" w:cs="Arial" w:eastAsia="Arial" w:hAnsi="Arial"/>
                <w:sz w:val="16"/>
                <w:szCs w:val="16"/>
                <w:color w:val="auto"/>
              </w:rPr>
              <w:t>Amounts reclassified from AOCI</w:t>
            </w:r>
          </w:p>
        </w:tc>
        <w:tc>
          <w:tcPr>
            <w:tcW w:w="640" w:type="dxa"/>
            <w:vAlign w:val="bottom"/>
          </w:tcPr>
          <w:p>
            <w:pPr>
              <w:spacing w:after="0"/>
              <w:rPr>
                <w:sz w:val="24"/>
                <w:szCs w:val="24"/>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4"/>
                <w:szCs w:val="24"/>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4"/>
                <w:szCs w:val="24"/>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104</w:t>
            </w:r>
          </w:p>
        </w:tc>
      </w:tr>
      <w:tr>
        <w:trPr>
          <w:trHeight w:val="42"/>
        </w:trPr>
        <w:tc>
          <w:tcPr>
            <w:tcW w:w="3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2"/>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(4,303)</w:t>
            </w:r>
          </w:p>
        </w:tc>
        <w:tc>
          <w:tcPr>
            <w:tcW w:w="180" w:type="dxa"/>
            <w:vAlign w:val="bottom"/>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154</w:t>
            </w:r>
          </w:p>
        </w:tc>
        <w:tc>
          <w:tcPr>
            <w:tcW w:w="3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(5,367)</w:t>
            </w:r>
          </w:p>
        </w:tc>
      </w:tr>
      <w:tr>
        <w:trPr>
          <w:trHeight w:val="77"/>
        </w:trPr>
        <w:tc>
          <w:tcPr>
            <w:tcW w:w="326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60" w:type="dxa"/>
            <w:vAlign w:val="bottom"/>
            <w:shd w:val="clear" w:color="auto" w:fill="CFF0FC"/>
          </w:tcPr>
          <w:p>
            <w:pPr>
              <w:spacing w:after="0"/>
              <w:rPr>
                <w:sz w:val="6"/>
                <w:szCs w:val="6"/>
                <w:color w:val="auto"/>
              </w:rPr>
            </w:pPr>
          </w:p>
        </w:tc>
        <w:tc>
          <w:tcPr>
            <w:tcW w:w="2940" w:type="dxa"/>
            <w:vAlign w:val="bottom"/>
            <w:gridSpan w:val="4"/>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r>
      <w:tr>
        <w:trPr>
          <w:trHeight w:val="552"/>
        </w:trPr>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40" w:type="dxa"/>
            <w:vAlign w:val="bottom"/>
            <w:gridSpan w:val="4"/>
          </w:tcPr>
          <w:p>
            <w:pPr>
              <w:ind w:left="140"/>
              <w:spacing w:after="0"/>
              <w:rPr>
                <w:sz w:val="20"/>
                <w:szCs w:val="20"/>
                <w:color w:val="auto"/>
              </w:rPr>
            </w:pPr>
            <w:r>
              <w:rPr>
                <w:rFonts w:ascii="Arial" w:cs="Arial" w:eastAsia="Arial" w:hAnsi="Arial"/>
                <w:sz w:val="16"/>
                <w:szCs w:val="16"/>
                <w:color w:val="auto"/>
                <w:w w:val="99"/>
              </w:rPr>
              <w:t>For the year ended December 31, 2024</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3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jc w:val="center"/>
              <w:ind w:right="200"/>
              <w:spacing w:after="0"/>
              <w:rPr>
                <w:sz w:val="20"/>
                <w:szCs w:val="20"/>
                <w:color w:val="auto"/>
              </w:rPr>
            </w:pPr>
            <w:r>
              <w:rPr>
                <w:rFonts w:ascii="Arial" w:cs="Arial" w:eastAsia="Arial" w:hAnsi="Arial"/>
                <w:sz w:val="16"/>
                <w:szCs w:val="16"/>
                <w:color w:val="auto"/>
                <w:w w:val="92"/>
              </w:rPr>
              <w:t>Net Unrealized</w:t>
            </w:r>
          </w:p>
        </w:tc>
        <w:tc>
          <w:tcPr>
            <w:tcW w:w="1420" w:type="dxa"/>
            <w:vAlign w:val="bottom"/>
            <w:gridSpan w:val="2"/>
          </w:tcPr>
          <w:p>
            <w:pPr>
              <w:ind w:left="140"/>
              <w:spacing w:after="0"/>
              <w:rPr>
                <w:sz w:val="20"/>
                <w:szCs w:val="20"/>
                <w:color w:val="auto"/>
              </w:rPr>
            </w:pPr>
            <w:r>
              <w:rPr>
                <w:rFonts w:ascii="Arial" w:cs="Arial" w:eastAsia="Arial" w:hAnsi="Arial"/>
                <w:sz w:val="16"/>
                <w:szCs w:val="16"/>
                <w:color w:val="auto"/>
              </w:rPr>
              <w:t>Unrealized Loss</w:t>
            </w:r>
          </w:p>
        </w:tc>
        <w:tc>
          <w:tcPr>
            <w:tcW w:w="1520" w:type="dxa"/>
            <w:vAlign w:val="bottom"/>
            <w:gridSpan w:val="2"/>
          </w:tcPr>
          <w:p>
            <w:pPr>
              <w:ind w:left="80"/>
              <w:spacing w:after="0"/>
              <w:rPr>
                <w:sz w:val="20"/>
                <w:szCs w:val="20"/>
                <w:color w:val="auto"/>
              </w:rPr>
            </w:pPr>
            <w:r>
              <w:rPr>
                <w:rFonts w:ascii="Arial" w:cs="Arial" w:eastAsia="Arial" w:hAnsi="Arial"/>
                <w:sz w:val="16"/>
                <w:szCs w:val="16"/>
                <w:color w:val="auto"/>
              </w:rPr>
              <w:t>Unrealized Gain on</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40"/>
        </w:trPr>
        <w:tc>
          <w:tcPr>
            <w:tcW w:w="3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center"/>
              <w:ind w:right="200"/>
              <w:spacing w:after="0"/>
              <w:rPr>
                <w:sz w:val="20"/>
                <w:szCs w:val="20"/>
                <w:color w:val="auto"/>
              </w:rPr>
            </w:pPr>
            <w:r>
              <w:rPr>
                <w:rFonts w:ascii="Arial" w:cs="Arial" w:eastAsia="Arial" w:hAnsi="Arial"/>
                <w:sz w:val="16"/>
                <w:szCs w:val="16"/>
                <w:color w:val="auto"/>
                <w:w w:val="89"/>
              </w:rPr>
              <w:t>Loss on</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on Available-for-</w:t>
            </w:r>
          </w:p>
        </w:tc>
        <w:tc>
          <w:tcPr>
            <w:tcW w:w="180" w:type="dxa"/>
            <w:vAlign w:val="bottom"/>
          </w:tcPr>
          <w:p>
            <w:pPr>
              <w:spacing w:after="0"/>
              <w:rPr>
                <w:sz w:val="20"/>
                <w:szCs w:val="20"/>
                <w:color w:val="auto"/>
              </w:rPr>
            </w:pPr>
          </w:p>
        </w:tc>
        <w:tc>
          <w:tcPr>
            <w:tcW w:w="1340" w:type="dxa"/>
            <w:vAlign w:val="bottom"/>
          </w:tcPr>
          <w:p>
            <w:pPr>
              <w:jc w:val="right"/>
              <w:ind w:right="220"/>
              <w:spacing w:after="0"/>
              <w:rPr>
                <w:sz w:val="20"/>
                <w:szCs w:val="20"/>
                <w:color w:val="auto"/>
              </w:rPr>
            </w:pPr>
            <w:r>
              <w:rPr>
                <w:rFonts w:ascii="Arial" w:cs="Arial" w:eastAsia="Arial" w:hAnsi="Arial"/>
                <w:sz w:val="16"/>
                <w:szCs w:val="16"/>
                <w:color w:val="auto"/>
                <w:w w:val="92"/>
              </w:rPr>
              <w:t>Derivatives and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Retirement Plans</w:t>
            </w:r>
          </w:p>
        </w:tc>
        <w:tc>
          <w:tcPr>
            <w:tcW w:w="180" w:type="dxa"/>
            <w:vAlign w:val="bottom"/>
          </w:tcPr>
          <w:p>
            <w:pPr>
              <w:spacing w:after="0"/>
              <w:rPr>
                <w:sz w:val="20"/>
                <w:szCs w:val="20"/>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w w:val="88"/>
              </w:rPr>
              <w:t>Sale Securities</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Hedging Activities</w:t>
            </w:r>
          </w:p>
        </w:tc>
        <w:tc>
          <w:tcPr>
            <w:tcW w:w="300" w:type="dxa"/>
            <w:vAlign w:val="bottom"/>
          </w:tcPr>
          <w:p>
            <w:pPr>
              <w:spacing w:after="0"/>
              <w:rPr>
                <w:sz w:val="20"/>
                <w:szCs w:val="20"/>
                <w:color w:val="auto"/>
              </w:rPr>
            </w:pPr>
          </w:p>
        </w:tc>
        <w:tc>
          <w:tcPr>
            <w:tcW w:w="1000" w:type="dxa"/>
            <w:vAlign w:val="bottom"/>
          </w:tcPr>
          <w:p>
            <w:pPr>
              <w:jc w:val="right"/>
              <w:ind w:right="420"/>
              <w:spacing w:after="0"/>
              <w:rPr>
                <w:sz w:val="20"/>
                <w:szCs w:val="20"/>
                <w:color w:val="auto"/>
              </w:rPr>
            </w:pPr>
            <w:r>
              <w:rPr>
                <w:rFonts w:ascii="Arial" w:cs="Arial" w:eastAsia="Arial" w:hAnsi="Arial"/>
                <w:sz w:val="16"/>
                <w:szCs w:val="16"/>
                <w:color w:val="auto"/>
              </w:rPr>
              <w:t>Total</w:t>
            </w:r>
          </w:p>
        </w:tc>
      </w:tr>
      <w:tr>
        <w:trPr>
          <w:trHeight w:val="324"/>
        </w:trPr>
        <w:tc>
          <w:tcPr>
            <w:tcW w:w="3260" w:type="dxa"/>
            <w:vAlign w:val="bottom"/>
          </w:tcPr>
          <w:p>
            <w:pPr>
              <w:spacing w:after="0"/>
              <w:rPr>
                <w:sz w:val="20"/>
                <w:szCs w:val="20"/>
                <w:color w:val="auto"/>
              </w:rPr>
            </w:pPr>
            <w:r>
              <w:rPr>
                <w:rFonts w:ascii="Arial" w:cs="Arial" w:eastAsia="Arial" w:hAnsi="Arial"/>
                <w:sz w:val="16"/>
                <w:szCs w:val="16"/>
                <w:color w:val="auto"/>
              </w:rPr>
              <w:t>Beginning balance</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(2,073)</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(7,564)</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(9,605)</w:t>
            </w:r>
          </w:p>
        </w:tc>
      </w:tr>
      <w:tr>
        <w:trPr>
          <w:trHeight w:val="32"/>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2"/>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 income before</w:t>
            </w:r>
          </w:p>
        </w:tc>
        <w:tc>
          <w:tcPr>
            <w:tcW w:w="6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52"/>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reclassifications</w:t>
            </w:r>
          </w:p>
        </w:tc>
        <w:tc>
          <w:tcPr>
            <w:tcW w:w="6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364</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249</w:t>
            </w:r>
          </w:p>
        </w:tc>
      </w:tr>
      <w:tr>
        <w:trPr>
          <w:trHeight w:val="282"/>
        </w:trPr>
        <w:tc>
          <w:tcPr>
            <w:tcW w:w="3260" w:type="dxa"/>
            <w:vAlign w:val="bottom"/>
          </w:tcPr>
          <w:p>
            <w:pPr>
              <w:spacing w:after="0"/>
              <w:rPr>
                <w:sz w:val="20"/>
                <w:szCs w:val="20"/>
                <w:color w:val="auto"/>
              </w:rPr>
            </w:pPr>
            <w:r>
              <w:rPr>
                <w:rFonts w:ascii="Arial" w:cs="Arial" w:eastAsia="Arial" w:hAnsi="Arial"/>
                <w:sz w:val="16"/>
                <w:szCs w:val="16"/>
                <w:color w:val="auto"/>
              </w:rPr>
              <w:t>Amounts reclassified from AOCI</w:t>
            </w:r>
          </w:p>
        </w:tc>
        <w:tc>
          <w:tcPr>
            <w:tcW w:w="640" w:type="dxa"/>
            <w:vAlign w:val="bottom"/>
          </w:tcPr>
          <w:p>
            <w:pPr>
              <w:spacing w:after="0"/>
              <w:rPr>
                <w:sz w:val="24"/>
                <w:szCs w:val="24"/>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24"/>
                <w:szCs w:val="24"/>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24"/>
                <w:szCs w:val="24"/>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212</w:t>
            </w:r>
          </w:p>
        </w:tc>
      </w:tr>
      <w:tr>
        <w:trPr>
          <w:trHeight w:val="42"/>
        </w:trPr>
        <w:tc>
          <w:tcPr>
            <w:tcW w:w="3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2"/>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(1,992)</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(7,548)</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396</w:t>
            </w:r>
          </w:p>
        </w:tc>
        <w:tc>
          <w:tcPr>
            <w:tcW w:w="3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(9,144)</w:t>
            </w:r>
          </w:p>
        </w:tc>
      </w:tr>
      <w:tr>
        <w:trPr>
          <w:trHeight w:val="77"/>
        </w:trPr>
        <w:tc>
          <w:tcPr>
            <w:tcW w:w="326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6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2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3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-3223895</wp:posOffset>
            </wp:positionV>
            <wp:extent cx="3545840" cy="63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54584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-2751455</wp:posOffset>
            </wp:positionV>
            <wp:extent cx="5967730" cy="63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-2032000</wp:posOffset>
            </wp:positionV>
            <wp:extent cx="5967730" cy="63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-1825625</wp:posOffset>
            </wp:positionV>
            <wp:extent cx="5967730" cy="2857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-1426210</wp:posOffset>
            </wp:positionV>
            <wp:extent cx="3547110" cy="63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54711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-953770</wp:posOffset>
            </wp:positionV>
            <wp:extent cx="5967730" cy="635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The following table presents the amounts reclassified out of each component of AOCI for the indicated annual period: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25</w:t>
      </w:r>
    </w:p>
    <w:p>
      <w:pPr>
        <w:sectPr>
          <w:pgSz w:w="11900" w:h="16838" w:orient="portrait"/>
          <w:cols w:equalWidth="0" w:num="1">
            <w:col w:w="9400"/>
          </w:cols>
          <w:pgMar w:left="1260" w:top="1440" w:right="1246" w:bottom="0" w:gutter="0" w:footer="0" w:header="0"/>
          <w:type w:val="continuous"/>
        </w:sectPr>
      </w:pPr>
    </w:p>
    <w:bookmarkStart w:id="250" w:name="page251"/>
    <w:bookmarkEnd w:id="250"/>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Amount Reclassified</w:t>
            </w:r>
          </w:p>
        </w:tc>
      </w:tr>
      <w:tr>
        <w:trPr>
          <w:trHeight w:val="311"/>
        </w:trPr>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 xml:space="preserve">from AOCI </w:t>
            </w:r>
            <w:r>
              <w:rPr>
                <w:rFonts w:ascii="Arial" w:cs="Arial" w:eastAsia="Arial" w:hAnsi="Arial"/>
                <w:sz w:val="21"/>
                <w:szCs w:val="21"/>
                <w:color w:val="auto"/>
                <w:w w:val="94"/>
                <w:vertAlign w:val="superscript"/>
              </w:rPr>
              <w:t>(1)</w:t>
            </w:r>
          </w:p>
        </w:tc>
      </w:tr>
      <w:tr>
        <w:trPr>
          <w:trHeight w:val="198"/>
        </w:trPr>
        <w:tc>
          <w:tcPr>
            <w:tcW w:w="2840" w:type="dxa"/>
            <w:vAlign w:val="bottom"/>
            <w:gridSpan w:val="3"/>
          </w:tcPr>
          <w:p>
            <w:pPr>
              <w:spacing w:after="0"/>
              <w:rPr>
                <w:sz w:val="20"/>
                <w:szCs w:val="20"/>
                <w:color w:val="auto"/>
              </w:rPr>
            </w:pPr>
            <w:r>
              <w:rPr>
                <w:rFonts w:ascii="Arial" w:cs="Arial" w:eastAsia="Arial" w:hAnsi="Arial"/>
                <w:sz w:val="16"/>
                <w:szCs w:val="16"/>
                <w:i w:val="1"/>
                <w:iCs w:val="1"/>
                <w:color w:val="auto"/>
              </w:rPr>
              <w:t>(In thousands)</w:t>
            </w: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gridSpan w:val="3"/>
          </w:tcPr>
          <w:p>
            <w:pPr>
              <w:jc w:val="center"/>
              <w:ind w:right="180"/>
              <w:spacing w:after="0"/>
              <w:rPr>
                <w:sz w:val="20"/>
                <w:szCs w:val="20"/>
                <w:color w:val="auto"/>
              </w:rPr>
            </w:pPr>
            <w:r>
              <w:rPr>
                <w:rFonts w:ascii="Arial" w:cs="Arial" w:eastAsia="Arial" w:hAnsi="Arial"/>
                <w:sz w:val="16"/>
                <w:szCs w:val="16"/>
                <w:color w:val="auto"/>
                <w:w w:val="86"/>
              </w:rPr>
              <w:t>For the years ended</w:t>
            </w:r>
          </w:p>
        </w:tc>
      </w:tr>
      <w:tr>
        <w:trPr>
          <w:trHeight w:val="264"/>
        </w:trPr>
        <w:tc>
          <w:tcPr>
            <w:tcW w:w="1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w w:val="93"/>
              </w:rPr>
              <w:t>December 31,</w:t>
            </w:r>
          </w:p>
        </w:tc>
        <w:tc>
          <w:tcPr>
            <w:tcW w:w="22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w w:val="93"/>
              </w:rPr>
              <w:t>December 31,</w:t>
            </w:r>
          </w:p>
        </w:tc>
      </w:tr>
      <w:tr>
        <w:trPr>
          <w:trHeight w:val="282"/>
        </w:trPr>
        <w:tc>
          <w:tcPr>
            <w:tcW w:w="2840" w:type="dxa"/>
            <w:vAlign w:val="bottom"/>
            <w:gridSpan w:val="3"/>
          </w:tcPr>
          <w:p>
            <w:pPr>
              <w:spacing w:after="0"/>
              <w:rPr>
                <w:sz w:val="20"/>
                <w:szCs w:val="20"/>
                <w:color w:val="auto"/>
              </w:rPr>
            </w:pPr>
            <w:r>
              <w:rPr>
                <w:rFonts w:ascii="Arial" w:cs="Arial" w:eastAsia="Arial" w:hAnsi="Arial"/>
                <w:sz w:val="16"/>
                <w:szCs w:val="16"/>
                <w:color w:val="auto"/>
              </w:rPr>
              <w:t xml:space="preserve">Details about AOCI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components</w:t>
            </w:r>
          </w:p>
        </w:tc>
        <w:tc>
          <w:tcPr>
            <w:tcW w:w="3720" w:type="dxa"/>
            <w:vAlign w:val="bottom"/>
          </w:tcPr>
          <w:p>
            <w:pPr>
              <w:ind w:left="540"/>
              <w:spacing w:after="0"/>
              <w:rPr>
                <w:sz w:val="20"/>
                <w:szCs w:val="20"/>
                <w:color w:val="auto"/>
              </w:rPr>
            </w:pPr>
            <w:r>
              <w:rPr>
                <w:rFonts w:ascii="Arial" w:cs="Arial" w:eastAsia="Arial" w:hAnsi="Arial"/>
                <w:sz w:val="16"/>
                <w:szCs w:val="16"/>
                <w:color w:val="auto"/>
                <w:w w:val="97"/>
              </w:rPr>
              <w:t>Affected Line Item in the Statement of Income</w:t>
            </w:r>
          </w:p>
        </w:tc>
        <w:tc>
          <w:tcPr>
            <w:tcW w:w="340" w:type="dxa"/>
            <w:vAlign w:val="bottom"/>
          </w:tcPr>
          <w:p>
            <w:pPr>
              <w:spacing w:after="0"/>
              <w:rPr>
                <w:sz w:val="24"/>
                <w:szCs w:val="24"/>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2024</w:t>
            </w:r>
          </w:p>
        </w:tc>
      </w:tr>
      <w:tr>
        <w:trPr>
          <w:trHeight w:val="206"/>
        </w:trPr>
        <w:tc>
          <w:tcPr>
            <w:tcW w:w="28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Retirement plan items</w:t>
            </w:r>
          </w:p>
        </w:tc>
        <w:tc>
          <w:tcPr>
            <w:tcW w:w="3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9"/>
        </w:trPr>
        <w:tc>
          <w:tcPr>
            <w:tcW w:w="1400" w:type="dxa"/>
            <w:vAlign w:val="bottom"/>
            <w:tcBorders>
              <w:top w:val="single" w:sz="8" w:color="auto"/>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7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11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222"/>
        </w:trPr>
        <w:tc>
          <w:tcPr>
            <w:tcW w:w="2840" w:type="dxa"/>
            <w:vAlign w:val="bottom"/>
            <w:gridSpan w:val="3"/>
          </w:tcPr>
          <w:p>
            <w:pPr>
              <w:ind w:left="40"/>
              <w:spacing w:after="0"/>
              <w:rPr>
                <w:sz w:val="20"/>
                <w:szCs w:val="20"/>
                <w:color w:val="auto"/>
              </w:rPr>
            </w:pPr>
            <w:r>
              <w:rPr>
                <w:rFonts w:ascii="Arial" w:cs="Arial" w:eastAsia="Arial" w:hAnsi="Arial"/>
                <w:sz w:val="16"/>
                <w:szCs w:val="16"/>
                <w:color w:val="auto"/>
              </w:rPr>
              <w:t>Retirement plan net losses</w:t>
            </w:r>
          </w:p>
        </w:tc>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2"/>
        </w:trPr>
        <w:tc>
          <w:tcPr>
            <w:tcW w:w="2840" w:type="dxa"/>
            <w:vAlign w:val="bottom"/>
            <w:gridSpan w:val="3"/>
          </w:tcPr>
          <w:p>
            <w:pPr>
              <w:ind w:left="120"/>
              <w:spacing w:after="0"/>
              <w:rPr>
                <w:sz w:val="20"/>
                <w:szCs w:val="20"/>
                <w:color w:val="auto"/>
              </w:rPr>
            </w:pPr>
            <w:r>
              <w:rPr>
                <w:rFonts w:ascii="Arial" w:cs="Arial" w:eastAsia="Arial" w:hAnsi="Arial"/>
                <w:sz w:val="16"/>
                <w:szCs w:val="16"/>
                <w:color w:val="auto"/>
              </w:rPr>
              <w:t xml:space="preserve">recognized in plan expenses </w:t>
            </w:r>
            <w:r>
              <w:rPr>
                <w:rFonts w:ascii="Arial" w:cs="Arial" w:eastAsia="Arial" w:hAnsi="Arial"/>
                <w:sz w:val="21"/>
                <w:szCs w:val="21"/>
                <w:color w:val="auto"/>
                <w:vertAlign w:val="superscript"/>
              </w:rPr>
              <w:t>(2)</w:t>
            </w:r>
          </w:p>
        </w:tc>
        <w:tc>
          <w:tcPr>
            <w:tcW w:w="3720" w:type="dxa"/>
            <w:vAlign w:val="bottom"/>
          </w:tcPr>
          <w:p>
            <w:pPr>
              <w:ind w:left="580"/>
              <w:spacing w:after="0"/>
              <w:rPr>
                <w:sz w:val="20"/>
                <w:szCs w:val="20"/>
                <w:color w:val="auto"/>
              </w:rPr>
            </w:pPr>
            <w:r>
              <w:rPr>
                <w:rFonts w:ascii="Arial" w:cs="Arial" w:eastAsia="Arial" w:hAnsi="Arial"/>
                <w:sz w:val="16"/>
                <w:szCs w:val="16"/>
                <w:color w:val="auto"/>
              </w:rPr>
              <w:t>Salaries and employee benefits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304"/>
        </w:trPr>
        <w:tc>
          <w:tcPr>
            <w:tcW w:w="28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Tax effect</w:t>
            </w:r>
          </w:p>
        </w:tc>
        <w:tc>
          <w:tcPr>
            <w:tcW w:w="372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39</w:t>
            </w:r>
          </w:p>
        </w:tc>
      </w:tr>
      <w:tr>
        <w:trPr>
          <w:trHeight w:val="282"/>
        </w:trPr>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20" w:type="dxa"/>
            <w:vAlign w:val="bottom"/>
          </w:tcPr>
          <w:p>
            <w:pPr>
              <w:ind w:left="5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77"/>
        </w:trPr>
        <w:tc>
          <w:tcPr>
            <w:tcW w:w="1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34"/>
        </w:trPr>
        <w:tc>
          <w:tcPr>
            <w:tcW w:w="28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Available-for-sale securities</w:t>
            </w:r>
          </w:p>
        </w:tc>
        <w:tc>
          <w:tcPr>
            <w:tcW w:w="37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22"/>
        </w:trPr>
        <w:tc>
          <w:tcPr>
            <w:tcW w:w="14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CFF0FC"/>
            </w:tcBorders>
          </w:tcPr>
          <w:p>
            <w:pPr>
              <w:spacing w:after="0"/>
              <w:rPr>
                <w:sz w:val="19"/>
                <w:szCs w:val="19"/>
                <w:color w:val="auto"/>
              </w:rPr>
            </w:pPr>
          </w:p>
        </w:tc>
        <w:tc>
          <w:tcPr>
            <w:tcW w:w="3720" w:type="dxa"/>
            <w:vAlign w:val="bottom"/>
            <w:tcBorders>
              <w:top w:val="single" w:sz="8" w:color="CFF0FC"/>
            </w:tcBorders>
          </w:tcPr>
          <w:p>
            <w:pPr>
              <w:ind w:left="580"/>
              <w:spacing w:after="0"/>
              <w:rPr>
                <w:sz w:val="20"/>
                <w:szCs w:val="20"/>
                <w:color w:val="auto"/>
              </w:rPr>
            </w:pPr>
            <w:r>
              <w:rPr>
                <w:rFonts w:ascii="Arial" w:cs="Arial" w:eastAsia="Arial" w:hAnsi="Arial"/>
                <w:sz w:val="16"/>
                <w:szCs w:val="16"/>
                <w:color w:val="auto"/>
              </w:rPr>
              <w:t>Net realized gains (losses) on sales and</w:t>
            </w:r>
          </w:p>
        </w:tc>
        <w:tc>
          <w:tcPr>
            <w:tcW w:w="340" w:type="dxa"/>
            <w:vAlign w:val="bottom"/>
            <w:tcBorders>
              <w:top w:val="single" w:sz="8" w:color="CFF0FC"/>
            </w:tcBorders>
          </w:tcPr>
          <w:p>
            <w:pPr>
              <w:spacing w:after="0"/>
              <w:rPr>
                <w:sz w:val="19"/>
                <w:szCs w:val="19"/>
                <w:color w:val="auto"/>
              </w:rPr>
            </w:pPr>
          </w:p>
        </w:tc>
        <w:tc>
          <w:tcPr>
            <w:tcW w:w="11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r>
      <w:tr>
        <w:trPr>
          <w:trHeight w:val="240"/>
        </w:trPr>
        <w:tc>
          <w:tcPr>
            <w:tcW w:w="2840" w:type="dxa"/>
            <w:vAlign w:val="bottom"/>
            <w:gridSpan w:val="3"/>
          </w:tcPr>
          <w:p>
            <w:pPr>
              <w:spacing w:after="0"/>
              <w:rPr>
                <w:sz w:val="20"/>
                <w:szCs w:val="20"/>
                <w:color w:val="auto"/>
              </w:rPr>
            </w:pPr>
            <w:r>
              <w:rPr>
                <w:rFonts w:ascii="Arial" w:cs="Arial" w:eastAsia="Arial" w:hAnsi="Arial"/>
                <w:sz w:val="16"/>
                <w:szCs w:val="16"/>
                <w:color w:val="auto"/>
              </w:rPr>
              <w:t>Realized losses on sale of securities</w:t>
            </w:r>
          </w:p>
        </w:tc>
        <w:tc>
          <w:tcPr>
            <w:tcW w:w="3720" w:type="dxa"/>
            <w:vAlign w:val="bottom"/>
          </w:tcPr>
          <w:p>
            <w:pPr>
              <w:ind w:left="660"/>
              <w:spacing w:after="0"/>
              <w:rPr>
                <w:sz w:val="20"/>
                <w:szCs w:val="20"/>
                <w:color w:val="auto"/>
              </w:rPr>
            </w:pPr>
            <w:r>
              <w:rPr>
                <w:rFonts w:ascii="Arial" w:cs="Arial" w:eastAsia="Arial" w:hAnsi="Arial"/>
                <w:sz w:val="16"/>
                <w:szCs w:val="16"/>
                <w:color w:val="auto"/>
              </w:rPr>
              <w:t>redemptions of investment securities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2"/>
        </w:trPr>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4"/>
        </w:trPr>
        <w:tc>
          <w:tcPr>
            <w:tcW w:w="28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Tax effect</w:t>
            </w:r>
          </w:p>
        </w:tc>
        <w:tc>
          <w:tcPr>
            <w:tcW w:w="372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36</w:t>
            </w:r>
          </w:p>
        </w:tc>
      </w:tr>
      <w:tr>
        <w:trPr>
          <w:trHeight w:val="282"/>
        </w:trPr>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20" w:type="dxa"/>
            <w:vAlign w:val="bottom"/>
          </w:tcPr>
          <w:p>
            <w:pPr>
              <w:ind w:left="5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-2096770</wp:posOffset>
            </wp:positionV>
            <wp:extent cx="5967730" cy="63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-1776095</wp:posOffset>
            </wp:positionV>
            <wp:extent cx="5967730" cy="63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5967730" cy="63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5967730" cy="2857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96773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-184785</wp:posOffset>
            </wp:positionV>
            <wp:extent cx="5967730" cy="63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2857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369" w:lineRule="exact"/>
        <w:rPr>
          <w:sz w:val="20"/>
          <w:szCs w:val="20"/>
          <w:color w:val="auto"/>
        </w:rPr>
      </w:pPr>
    </w:p>
    <w:p>
      <w:pPr>
        <w:ind w:left="80"/>
        <w:spacing w:after="0"/>
        <w:rPr>
          <w:sz w:val="20"/>
          <w:szCs w:val="20"/>
          <w:color w:val="auto"/>
        </w:rPr>
      </w:pPr>
      <w:r>
        <w:rPr>
          <w:rFonts w:ascii="Arial" w:cs="Arial" w:eastAsia="Arial" w:hAnsi="Arial"/>
          <w:sz w:val="8"/>
          <w:szCs w:val="8"/>
          <w:color w:val="auto"/>
        </w:rPr>
        <w:t>(1)</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Amounts in parentheses indicates debits in net income.</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8"/>
          <w:szCs w:val="8"/>
          <w:color w:val="auto"/>
        </w:rPr>
        <w:t>(2)</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These items are included in net periodic pension cost. See Note 14 for additional information.</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25</w:t>
      </w:r>
    </w:p>
    <w:p>
      <w:pPr>
        <w:sectPr>
          <w:pgSz w:w="11900" w:h="16838" w:orient="portrait"/>
          <w:cols w:equalWidth="0" w:num="1">
            <w:col w:w="9400"/>
          </w:cols>
          <w:pgMar w:left="1260" w:top="1172" w:right="1246" w:bottom="0" w:gutter="0" w:footer="0" w:header="0"/>
          <w:type w:val="continuous"/>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26: NONINTEREST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included the following table regarding the Company’s noninterest income for the years ended</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60" w:type="dxa"/>
            <w:vAlign w:val="bottom"/>
            <w:gridSpan w:val="3"/>
          </w:tcPr>
          <w:p>
            <w:pPr>
              <w:jc w:val="right"/>
              <w:ind w:right="990"/>
              <w:spacing w:after="0"/>
              <w:rPr>
                <w:sz w:val="20"/>
                <w:szCs w:val="20"/>
                <w:color w:val="auto"/>
              </w:rPr>
            </w:pPr>
            <w:r>
              <w:rPr>
                <w:rFonts w:ascii="Arial" w:cs="Arial" w:eastAsia="Arial" w:hAnsi="Arial"/>
                <w:sz w:val="18"/>
                <w:szCs w:val="18"/>
                <w:color w:val="auto"/>
              </w:rPr>
              <w:t>For the year ended</w:t>
            </w:r>
          </w:p>
        </w:tc>
      </w:tr>
      <w:tr>
        <w:trPr>
          <w:trHeight w:val="294"/>
        </w:trPr>
        <w:tc>
          <w:tcPr>
            <w:tcW w:w="5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December 31, 2025</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w w:val="88"/>
              </w:rPr>
              <w:t>December 31, 2024</w:t>
            </w:r>
          </w:p>
        </w:tc>
      </w:tr>
      <w:tr>
        <w:trPr>
          <w:trHeight w:val="294"/>
        </w:trPr>
        <w:tc>
          <w:tcPr>
            <w:tcW w:w="554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Insufficient funds fees</w:t>
            </w:r>
          </w:p>
        </w:tc>
        <w:tc>
          <w:tcPr>
            <w:tcW w:w="100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874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819</w:t>
            </w:r>
          </w:p>
        </w:tc>
      </w:tr>
      <w:tr>
        <w:trPr>
          <w:trHeight w:val="278"/>
        </w:trPr>
        <w:tc>
          <w:tcPr>
            <w:tcW w:w="5540" w:type="dxa"/>
            <w:vAlign w:val="bottom"/>
          </w:tcPr>
          <w:p>
            <w:pPr>
              <w:ind w:left="100"/>
              <w:spacing w:after="0"/>
              <w:rPr>
                <w:sz w:val="20"/>
                <w:szCs w:val="20"/>
                <w:color w:val="auto"/>
              </w:rPr>
            </w:pPr>
            <w:r>
              <w:rPr>
                <w:rFonts w:ascii="Arial" w:cs="Arial" w:eastAsia="Arial" w:hAnsi="Arial"/>
                <w:sz w:val="18"/>
                <w:szCs w:val="18"/>
                <w:color w:val="auto"/>
              </w:rPr>
              <w:t>Deposit related fees</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534</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30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ATM fees</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r>
      <w:tr>
        <w:trPr>
          <w:trHeight w:val="278"/>
        </w:trPr>
        <w:tc>
          <w:tcPr>
            <w:tcW w:w="5540" w:type="dxa"/>
            <w:vAlign w:val="bottom"/>
          </w:tcPr>
          <w:p>
            <w:pPr>
              <w:ind w:left="200"/>
              <w:spacing w:after="0"/>
              <w:rPr>
                <w:sz w:val="20"/>
                <w:szCs w:val="20"/>
                <w:color w:val="auto"/>
              </w:rPr>
            </w:pPr>
            <w:r>
              <w:rPr>
                <w:rFonts w:ascii="Arial" w:cs="Arial" w:eastAsia="Arial" w:hAnsi="Arial"/>
                <w:sz w:val="18"/>
                <w:szCs w:val="18"/>
                <w:color w:val="auto"/>
              </w:rPr>
              <w:t>Total service charges on deposit accounts</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1,539</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1,436</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64"/>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Fee Income</w:t>
            </w:r>
          </w:p>
        </w:tc>
        <w:tc>
          <w:tcPr>
            <w:tcW w:w="10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r>
      <w:tr>
        <w:trPr>
          <w:trHeight w:val="278"/>
        </w:trPr>
        <w:tc>
          <w:tcPr>
            <w:tcW w:w="5540" w:type="dxa"/>
            <w:vAlign w:val="bottom"/>
          </w:tcPr>
          <w:p>
            <w:pPr>
              <w:ind w:left="100"/>
              <w:spacing w:after="0"/>
              <w:rPr>
                <w:sz w:val="20"/>
                <w:szCs w:val="20"/>
                <w:color w:val="auto"/>
              </w:rPr>
            </w:pPr>
            <w:r>
              <w:rPr>
                <w:rFonts w:ascii="Arial" w:cs="Arial" w:eastAsia="Arial" w:hAnsi="Arial"/>
                <w:sz w:val="18"/>
                <w:szCs w:val="18"/>
                <w:color w:val="auto"/>
              </w:rPr>
              <w:t>Insurance agency revenue</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1,073</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Investment services revenue</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470</w:t>
            </w:r>
          </w:p>
        </w:tc>
      </w:tr>
      <w:tr>
        <w:trPr>
          <w:trHeight w:val="278"/>
        </w:trPr>
        <w:tc>
          <w:tcPr>
            <w:tcW w:w="5540" w:type="dxa"/>
            <w:vAlign w:val="bottom"/>
          </w:tcPr>
          <w:p>
            <w:pPr>
              <w:ind w:left="100"/>
              <w:spacing w:after="0"/>
              <w:rPr>
                <w:sz w:val="20"/>
                <w:szCs w:val="20"/>
                <w:color w:val="auto"/>
              </w:rPr>
            </w:pPr>
            <w:r>
              <w:rPr>
                <w:rFonts w:ascii="Arial" w:cs="Arial" w:eastAsia="Arial" w:hAnsi="Arial"/>
                <w:sz w:val="18"/>
                <w:szCs w:val="18"/>
                <w:color w:val="auto"/>
              </w:rPr>
              <w:t>ATM fees surcharge</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242</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30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Banking house rents collected</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372</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194</w:t>
            </w:r>
          </w:p>
        </w:tc>
      </w:tr>
      <w:tr>
        <w:trPr>
          <w:trHeight w:val="278"/>
        </w:trPr>
        <w:tc>
          <w:tcPr>
            <w:tcW w:w="5540" w:type="dxa"/>
            <w:vAlign w:val="bottom"/>
          </w:tcPr>
          <w:p>
            <w:pPr>
              <w:ind w:left="380"/>
              <w:spacing w:after="0"/>
              <w:rPr>
                <w:sz w:val="20"/>
                <w:szCs w:val="20"/>
                <w:color w:val="auto"/>
              </w:rPr>
            </w:pPr>
            <w:r>
              <w:rPr>
                <w:rFonts w:ascii="Arial" w:cs="Arial" w:eastAsia="Arial" w:hAnsi="Arial"/>
                <w:sz w:val="18"/>
                <w:szCs w:val="18"/>
                <w:color w:val="auto"/>
              </w:rPr>
              <w:t>Total fee income</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1,979</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64"/>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Card income</w:t>
            </w:r>
          </w:p>
        </w:tc>
        <w:tc>
          <w:tcPr>
            <w:tcW w:w="10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r>
      <w:tr>
        <w:trPr>
          <w:trHeight w:val="278"/>
        </w:trPr>
        <w:tc>
          <w:tcPr>
            <w:tcW w:w="5540" w:type="dxa"/>
            <w:vAlign w:val="bottom"/>
          </w:tcPr>
          <w:p>
            <w:pPr>
              <w:ind w:left="100"/>
              <w:spacing w:after="0"/>
              <w:rPr>
                <w:sz w:val="20"/>
                <w:szCs w:val="20"/>
                <w:color w:val="auto"/>
              </w:rPr>
            </w:pPr>
            <w:r>
              <w:rPr>
                <w:rFonts w:ascii="Arial" w:cs="Arial" w:eastAsia="Arial" w:hAnsi="Arial"/>
                <w:sz w:val="18"/>
                <w:szCs w:val="18"/>
                <w:color w:val="auto"/>
              </w:rPr>
              <w:t>Debit card interchange fees</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875</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30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Merchant card fees</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r>
      <w:tr>
        <w:trPr>
          <w:trHeight w:val="278"/>
        </w:trPr>
        <w:tc>
          <w:tcPr>
            <w:tcW w:w="5540" w:type="dxa"/>
            <w:vAlign w:val="bottom"/>
          </w:tcPr>
          <w:p>
            <w:pPr>
              <w:ind w:left="380"/>
              <w:spacing w:after="0"/>
              <w:rPr>
                <w:sz w:val="20"/>
                <w:szCs w:val="20"/>
                <w:color w:val="auto"/>
              </w:rPr>
            </w:pPr>
            <w:r>
              <w:rPr>
                <w:rFonts w:ascii="Arial" w:cs="Arial" w:eastAsia="Arial" w:hAnsi="Arial"/>
                <w:sz w:val="18"/>
                <w:szCs w:val="18"/>
                <w:color w:val="auto"/>
              </w:rPr>
              <w:t>Total card income</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936</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48"/>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Mortgage fee income and realized gains on sales of loans</w:t>
            </w:r>
          </w:p>
        </w:tc>
        <w:tc>
          <w:tcPr>
            <w:tcW w:w="10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r>
      <w:tr>
        <w:trPr>
          <w:trHeight w:val="286"/>
        </w:trPr>
        <w:tc>
          <w:tcPr>
            <w:tcW w:w="55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and foreclosed real estate</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spacing w:after="0"/>
              <w:rPr>
                <w:sz w:val="24"/>
                <w:szCs w:val="24"/>
                <w:color w:val="auto"/>
              </w:rPr>
            </w:pPr>
          </w:p>
        </w:tc>
      </w:tr>
      <w:tr>
        <w:trPr>
          <w:trHeight w:val="278"/>
        </w:trPr>
        <w:tc>
          <w:tcPr>
            <w:tcW w:w="5540" w:type="dxa"/>
            <w:vAlign w:val="bottom"/>
          </w:tcPr>
          <w:p>
            <w:pPr>
              <w:ind w:left="100"/>
              <w:spacing w:after="0"/>
              <w:rPr>
                <w:sz w:val="20"/>
                <w:szCs w:val="20"/>
                <w:color w:val="auto"/>
              </w:rPr>
            </w:pPr>
            <w:r>
              <w:rPr>
                <w:rFonts w:ascii="Arial" w:cs="Arial" w:eastAsia="Arial" w:hAnsi="Arial"/>
                <w:sz w:val="18"/>
                <w:szCs w:val="18"/>
                <w:color w:val="auto"/>
              </w:rPr>
              <w:t>Loan servicing fees</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375</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30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Net gains on sales of loans and foreclosed real estate</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402</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187</w:t>
            </w:r>
          </w:p>
        </w:tc>
      </w:tr>
      <w:tr>
        <w:trPr>
          <w:trHeight w:val="248"/>
        </w:trPr>
        <w:tc>
          <w:tcPr>
            <w:tcW w:w="5540" w:type="dxa"/>
            <w:vAlign w:val="bottom"/>
          </w:tcPr>
          <w:p>
            <w:pPr>
              <w:ind w:left="200"/>
              <w:spacing w:after="0"/>
              <w:rPr>
                <w:sz w:val="20"/>
                <w:szCs w:val="20"/>
                <w:color w:val="auto"/>
              </w:rPr>
            </w:pPr>
            <w:r>
              <w:rPr>
                <w:rFonts w:ascii="Arial" w:cs="Arial" w:eastAsia="Arial" w:hAnsi="Arial"/>
                <w:sz w:val="18"/>
                <w:szCs w:val="18"/>
                <w:color w:val="auto"/>
              </w:rPr>
              <w:t>Total mortgage fee income and realized gains on</w:t>
            </w: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0"/>
        </w:trPr>
        <w:tc>
          <w:tcPr>
            <w:tcW w:w="5540" w:type="dxa"/>
            <w:vAlign w:val="bottom"/>
          </w:tcPr>
          <w:p>
            <w:pPr>
              <w:ind w:left="340"/>
              <w:spacing w:after="0"/>
              <w:rPr>
                <w:sz w:val="20"/>
                <w:szCs w:val="20"/>
                <w:color w:val="auto"/>
              </w:rPr>
            </w:pPr>
            <w:r>
              <w:rPr>
                <w:rFonts w:ascii="Arial" w:cs="Arial" w:eastAsia="Arial" w:hAnsi="Arial"/>
                <w:sz w:val="18"/>
                <w:szCs w:val="18"/>
                <w:color w:val="auto"/>
              </w:rPr>
              <w:t>sale of loans and foreclosed real estate</w:t>
            </w:r>
          </w:p>
        </w:tc>
        <w:tc>
          <w:tcPr>
            <w:tcW w:w="100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562</w:t>
            </w:r>
          </w:p>
        </w:tc>
      </w:tr>
      <w:tr>
        <w:trPr>
          <w:trHeight w:val="46"/>
        </w:trPr>
        <w:tc>
          <w:tcPr>
            <w:tcW w:w="5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94"/>
        </w:trPr>
        <w:tc>
          <w:tcPr>
            <w:tcW w:w="5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Subtotal</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3,687</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4,913</w:t>
            </w:r>
          </w:p>
        </w:tc>
      </w:tr>
      <w:tr>
        <w:trPr>
          <w:trHeight w:val="278"/>
        </w:trPr>
        <w:tc>
          <w:tcPr>
            <w:tcW w:w="5540" w:type="dxa"/>
            <w:vAlign w:val="bottom"/>
          </w:tcPr>
          <w:p>
            <w:pPr>
              <w:ind w:left="100"/>
              <w:spacing w:after="0"/>
              <w:rPr>
                <w:sz w:val="20"/>
                <w:szCs w:val="20"/>
                <w:color w:val="auto"/>
              </w:rPr>
            </w:pPr>
            <w:r>
              <w:rPr>
                <w:rFonts w:ascii="Arial" w:cs="Arial" w:eastAsia="Arial" w:hAnsi="Arial"/>
                <w:sz w:val="18"/>
                <w:szCs w:val="18"/>
                <w:color w:val="auto"/>
              </w:rPr>
              <w:t>Earnings and gains on bank owned life insurance</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854</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w w:val="97"/>
              </w:rPr>
              <w:t>Net realized losses on sales and redemptions of investment securities</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w:t>
            </w:r>
          </w:p>
        </w:tc>
      </w:tr>
      <w:tr>
        <w:trPr>
          <w:trHeight w:val="278"/>
        </w:trPr>
        <w:tc>
          <w:tcPr>
            <w:tcW w:w="5540" w:type="dxa"/>
            <w:vAlign w:val="bottom"/>
          </w:tcPr>
          <w:p>
            <w:pPr>
              <w:ind w:left="100"/>
              <w:spacing w:after="0"/>
              <w:rPr>
                <w:sz w:val="20"/>
                <w:szCs w:val="20"/>
                <w:color w:val="auto"/>
              </w:rPr>
            </w:pPr>
            <w:r>
              <w:rPr>
                <w:rFonts w:ascii="Arial" w:cs="Arial" w:eastAsia="Arial" w:hAnsi="Arial"/>
                <w:sz w:val="18"/>
                <w:szCs w:val="18"/>
                <w:color w:val="auto"/>
              </w:rPr>
              <w:t>Net unrealized gains on marketable equity securities</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197</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Fair value adjustment to loans held-for-sale</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(3,462)</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5540" w:type="dxa"/>
            <w:vAlign w:val="bottom"/>
          </w:tcPr>
          <w:p>
            <w:pPr>
              <w:ind w:left="100"/>
              <w:spacing w:after="0"/>
              <w:rPr>
                <w:sz w:val="20"/>
                <w:szCs w:val="20"/>
                <w:color w:val="auto"/>
              </w:rPr>
            </w:pPr>
            <w:r>
              <w:rPr>
                <w:rFonts w:ascii="Arial" w:cs="Arial" w:eastAsia="Arial" w:hAnsi="Arial"/>
                <w:sz w:val="18"/>
                <w:szCs w:val="18"/>
                <w:color w:val="auto"/>
              </w:rPr>
              <w:t>(Loss) gain on asset sale</w:t>
            </w:r>
          </w:p>
        </w:tc>
        <w:tc>
          <w:tcPr>
            <w:tcW w:w="10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3,169</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Losses on sales of premises and equipment</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78"/>
        </w:trPr>
        <w:tc>
          <w:tcPr>
            <w:tcW w:w="5540" w:type="dxa"/>
            <w:vAlign w:val="bottom"/>
          </w:tcPr>
          <w:p>
            <w:pPr>
              <w:ind w:left="100"/>
              <w:spacing w:after="0"/>
              <w:rPr>
                <w:sz w:val="20"/>
                <w:szCs w:val="20"/>
                <w:color w:val="auto"/>
              </w:rPr>
            </w:pPr>
            <w:r>
              <w:rPr>
                <w:rFonts w:ascii="Arial" w:cs="Arial" w:eastAsia="Arial" w:hAnsi="Arial"/>
                <w:sz w:val="18"/>
                <w:szCs w:val="18"/>
                <w:color w:val="auto"/>
              </w:rPr>
              <w:t>Non-recurring gain on lease renegotiations</w:t>
            </w:r>
          </w:p>
        </w:tc>
        <w:tc>
          <w:tcPr>
            <w:tcW w:w="100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36"/>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304"/>
        </w:trPr>
        <w:tc>
          <w:tcPr>
            <w:tcW w:w="5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Other miscellaneous income</w:t>
            </w:r>
          </w:p>
        </w:tc>
        <w:tc>
          <w:tcPr>
            <w:tcW w:w="10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267</w:t>
            </w:r>
          </w:p>
        </w:tc>
      </w:tr>
      <w:tr>
        <w:trPr>
          <w:trHeight w:val="278"/>
        </w:trPr>
        <w:tc>
          <w:tcPr>
            <w:tcW w:w="554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2,495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-6245225</wp:posOffset>
            </wp:positionV>
            <wp:extent cx="2258060" cy="6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25806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-6057900</wp:posOffset>
            </wp:positionV>
            <wp:extent cx="5967730" cy="6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-5272405</wp:posOffset>
            </wp:positionV>
            <wp:extent cx="5967730" cy="63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-4086860</wp:posOffset>
            </wp:positionV>
            <wp:extent cx="5967730" cy="6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-3301365</wp:posOffset>
            </wp:positionV>
            <wp:extent cx="5967730" cy="6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-2343785</wp:posOffset>
            </wp:positionV>
            <wp:extent cx="5967730" cy="6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-1985645</wp:posOffset>
            </wp:positionV>
            <wp:extent cx="5967730" cy="635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-182245</wp:posOffset>
            </wp:positionV>
            <wp:extent cx="5967730" cy="635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857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discussion of key revenues within the scope of ASC 606:</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25</w:t>
      </w:r>
    </w:p>
    <w:p>
      <w:pPr>
        <w:sectPr>
          <w:pgSz w:w="11900" w:h="16838" w:orient="portrait"/>
          <w:cols w:equalWidth="0" w:num="1">
            <w:col w:w="9400"/>
          </w:cols>
          <w:pgMar w:left="1260" w:top="1440" w:right="1246" w:bottom="0" w:gutter="0" w:footer="0" w:header="0"/>
          <w:type w:val="continuous"/>
        </w:sectPr>
      </w:pPr>
    </w:p>
    <w:bookmarkStart w:id="252" w:name="page253"/>
    <w:bookmarkEnd w:id="252"/>
    <w:p>
      <w:pPr>
        <w:jc w:val="both"/>
        <w:ind w:left="440" w:hanging="313"/>
        <w:spacing w:after="0" w:line="330" w:lineRule="auto"/>
        <w:tabs>
          <w:tab w:leader="none" w:pos="440"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 xml:space="preserve">Service charges on deposit accounts – </w:t>
      </w:r>
      <w:r>
        <w:rPr>
          <w:rFonts w:ascii="Arial" w:cs="Arial" w:eastAsia="Arial" w:hAnsi="Arial"/>
          <w:sz w:val="19"/>
          <w:szCs w:val="19"/>
          <w:color w:val="auto"/>
        </w:rPr>
        <w:t>Revenue is earned through insufficient funds fees, customer initiated</w:t>
      </w:r>
      <w:r>
        <w:rPr>
          <w:rFonts w:ascii="Arial" w:cs="Arial" w:eastAsia="Arial" w:hAnsi="Arial"/>
          <w:sz w:val="19"/>
          <w:szCs w:val="19"/>
          <w:i w:val="1"/>
          <w:iCs w:val="1"/>
          <w:color w:val="auto"/>
        </w:rPr>
        <w:t xml:space="preserve"> </w:t>
      </w:r>
      <w:r>
        <w:rPr>
          <w:rFonts w:ascii="Arial" w:cs="Arial" w:eastAsia="Arial" w:hAnsi="Arial"/>
          <w:sz w:val="19"/>
          <w:szCs w:val="19"/>
          <w:color w:val="auto"/>
        </w:rPr>
        <w:t>activities or passage of 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157" w:lineRule="exact"/>
        <w:rPr>
          <w:rFonts w:ascii="Arial" w:cs="Arial" w:eastAsia="Arial" w:hAnsi="Arial"/>
          <w:sz w:val="19"/>
          <w:szCs w:val="19"/>
          <w:color w:val="auto"/>
        </w:rPr>
      </w:pPr>
    </w:p>
    <w:p>
      <w:pPr>
        <w:jc w:val="both"/>
        <w:ind w:left="440" w:hanging="313"/>
        <w:spacing w:after="0" w:line="351"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Fee income – </w:t>
      </w:r>
      <w:r>
        <w:rPr>
          <w:rFonts w:ascii="Arial" w:cs="Arial" w:eastAsia="Arial" w:hAnsi="Arial"/>
          <w:sz w:val="18"/>
          <w:szCs w:val="18"/>
          <w:color w:val="auto"/>
        </w:rPr>
        <w:t>Revenue is earned through commissions on insurance and securities sales, ATM surcharge</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banking house 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spacing w:after="0" w:line="146" w:lineRule="exact"/>
        <w:rPr>
          <w:rFonts w:ascii="Arial" w:cs="Arial" w:eastAsia="Arial" w:hAnsi="Arial"/>
          <w:sz w:val="18"/>
          <w:szCs w:val="18"/>
          <w:color w:val="auto"/>
        </w:rPr>
      </w:pPr>
    </w:p>
    <w:p>
      <w:pPr>
        <w:jc w:val="both"/>
        <w:ind w:left="440" w:right="20" w:hanging="313"/>
        <w:spacing w:after="0" w:line="355"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Card income – </w:t>
      </w:r>
      <w:r>
        <w:rPr>
          <w:rFonts w:ascii="Arial" w:cs="Arial" w:eastAsia="Arial" w:hAnsi="Arial"/>
          <w:sz w:val="18"/>
          <w:szCs w:val="18"/>
          <w:color w:val="auto"/>
        </w:rPr>
        <w:t>Card income consists of interchange fees from consumer debit card networks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services. Interchange rates are set by unaffiliated card processing networks. Interchange fees are based on purchase volumes transacted and certain other factors and are recognized as transactions occur.</w:t>
      </w:r>
    </w:p>
    <w:p>
      <w:pPr>
        <w:spacing w:after="0" w:line="132" w:lineRule="exact"/>
        <w:rPr>
          <w:sz w:val="20"/>
          <w:szCs w:val="20"/>
          <w:color w:val="auto"/>
        </w:rPr>
      </w:pPr>
    </w:p>
    <w:p>
      <w:pPr>
        <w:ind w:left="120"/>
        <w:spacing w:after="0"/>
        <w:tabs>
          <w:tab w:leader="none" w:pos="420" w:val="left"/>
          <w:tab w:leader="none" w:pos="1420" w:val="left"/>
          <w:tab w:leader="none" w:pos="1880" w:val="left"/>
          <w:tab w:leader="none" w:pos="2680" w:val="left"/>
          <w:tab w:leader="none" w:pos="3200" w:val="left"/>
          <w:tab w:leader="none" w:pos="4060" w:val="left"/>
          <w:tab w:leader="none" w:pos="4640" w:val="left"/>
          <w:tab w:leader="none" w:pos="5040" w:val="left"/>
          <w:tab w:leader="none" w:pos="5580" w:val="left"/>
          <w:tab w:leader="none" w:pos="5960" w:val="left"/>
          <w:tab w:leader="none" w:pos="6620" w:val="left"/>
          <w:tab w:leader="none" w:pos="7140" w:val="left"/>
          <w:tab w:leader="none" w:pos="81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Mortgage</w:t>
        <w:tab/>
        <w:t>fee</w:t>
        <w:tab/>
        <w:t>income</w:t>
        <w:tab/>
        <w:t>and</w:t>
        <w:tab/>
        <w:t>realized</w:t>
        <w:tab/>
        <w:t>gain</w:t>
        <w:tab/>
        <w:t>on</w:t>
        <w:tab/>
        <w:t>sale</w:t>
        <w:tab/>
        <w:t>of</w:t>
        <w:tab/>
        <w:t>loans</w:t>
        <w:tab/>
        <w:t>and</w:t>
        <w:tab/>
        <w:t>foreclosed</w:t>
      </w:r>
      <w:r>
        <w:rPr>
          <w:sz w:val="20"/>
          <w:szCs w:val="20"/>
          <w:color w:val="auto"/>
        </w:rPr>
        <w:tab/>
      </w:r>
      <w:r>
        <w:rPr>
          <w:rFonts w:ascii="Arial" w:cs="Arial" w:eastAsia="Arial" w:hAnsi="Arial"/>
          <w:sz w:val="19"/>
          <w:szCs w:val="19"/>
          <w:i w:val="1"/>
          <w:iCs w:val="1"/>
          <w:color w:val="auto"/>
        </w:rPr>
        <w:t>real</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estate </w:t>
      </w:r>
      <w:r>
        <w:rPr>
          <w:rFonts w:ascii="Arial" w:cs="Arial" w:eastAsia="Arial" w:hAnsi="Arial"/>
          <w:sz w:val="18"/>
          <w:szCs w:val="18"/>
          <w:color w:val="auto"/>
        </w:rPr>
        <w:t>– Revenue from mortgage fee income and realized gain on sale of loans and foreclosed real estate is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earned through the origination of residential and commercial mortgage loans, sales of one-to-four family</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residential mortgage loans, sales of government guarantees portions of SBA loans, and sales of foreclosed</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real estate, and is earned as the individual transactions occur.</w:t>
      </w:r>
    </w:p>
    <w:p>
      <w:pPr>
        <w:spacing w:after="0" w:line="35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561975</wp:posOffset>
            </wp:positionV>
            <wp:extent cx="5967730" cy="1905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11 / 25</w:t>
      </w:r>
    </w:p>
    <w:p>
      <w:pPr>
        <w:sectPr>
          <w:pgSz w:w="11900" w:h="16838" w:orient="portrait"/>
          <w:cols w:equalWidth="0" w:num="1">
            <w:col w:w="9160"/>
          </w:cols>
          <w:pgMar w:left="1440" w:top="1173" w:right="1306" w:bottom="0" w:gutter="0" w:footer="0" w:header="0"/>
          <w:type w:val="continuous"/>
        </w:sectPr>
      </w:pPr>
    </w:p>
    <w:bookmarkStart w:id="253" w:name="page254"/>
    <w:bookmarkEnd w:id="2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27: LEASES</w:t>
      </w:r>
    </w:p>
    <w:p>
      <w:pPr>
        <w:spacing w:after="0" w:line="190" w:lineRule="exact"/>
        <w:rPr>
          <w:sz w:val="20"/>
          <w:szCs w:val="20"/>
          <w:color w:val="auto"/>
        </w:rPr>
      </w:pPr>
    </w:p>
    <w:p>
      <w:pPr>
        <w:spacing w:after="0"/>
        <w:tabs>
          <w:tab w:leader="none" w:pos="2960" w:val="left"/>
          <w:tab w:leader="none" w:pos="6420" w:val="left"/>
        </w:tabs>
        <w:rPr>
          <w:sz w:val="20"/>
          <w:szCs w:val="20"/>
          <w:color w:val="auto"/>
        </w:rPr>
      </w:pP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Company</w:t>
      </w:r>
      <w:r>
        <w:rPr>
          <w:sz w:val="20"/>
          <w:szCs w:val="20"/>
          <w:color w:val="auto"/>
        </w:rPr>
        <w:tab/>
      </w:r>
      <w:r>
        <w:rPr>
          <w:rFonts w:ascii="Arial" w:cs="Arial" w:eastAsia="Arial" w:hAnsi="Arial"/>
          <w:sz w:val="17"/>
          <w:szCs w:val="17"/>
          <w:color w:val="auto"/>
        </w:rPr>
        <w:t>has</w:t>
      </w:r>
    </w:p>
    <w:p>
      <w:pPr>
        <w:spacing w:after="0" w:line="80"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operating and finance leases for certain banking offices and land under noncancelable agreements. Our leases have remaining lease terms that vary from less than one year up to twenty-eight years, some of which include options to extend the leases for various renewal periods. All options to renew are included in the current lease term when it is reasonably certain that the renewal options will be exercised.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20"/>
                <w:szCs w:val="20"/>
                <w:color w:val="auto"/>
              </w:rPr>
              <w:t>The components of lease expense are as follows:</w:t>
            </w:r>
          </w:p>
        </w:tc>
        <w:tc>
          <w:tcPr>
            <w:tcW w:w="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64"/>
        </w:trPr>
        <w:tc>
          <w:tcPr>
            <w:tcW w:w="4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80" w:type="dxa"/>
            <w:vAlign w:val="bottom"/>
            <w:gridSpan w:val="3"/>
          </w:tcPr>
          <w:p>
            <w:pPr>
              <w:jc w:val="right"/>
              <w:ind w:right="1200"/>
              <w:spacing w:after="0"/>
              <w:rPr>
                <w:sz w:val="20"/>
                <w:szCs w:val="20"/>
                <w:color w:val="auto"/>
              </w:rPr>
            </w:pPr>
            <w:r>
              <w:rPr>
                <w:rFonts w:ascii="Arial" w:cs="Arial" w:eastAsia="Arial" w:hAnsi="Arial"/>
                <w:sz w:val="20"/>
                <w:szCs w:val="20"/>
                <w:color w:val="auto"/>
              </w:rPr>
              <w:t>For the years ended</w:t>
            </w:r>
          </w:p>
        </w:tc>
      </w:tr>
      <w:tr>
        <w:trPr>
          <w:trHeight w:val="324"/>
        </w:trPr>
        <w:tc>
          <w:tcPr>
            <w:tcW w:w="462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900" w:type="dxa"/>
            <w:vAlign w:val="bottom"/>
          </w:tcPr>
          <w:p>
            <w:pPr>
              <w:spacing w:after="0"/>
              <w:rPr>
                <w:sz w:val="24"/>
                <w:szCs w:val="24"/>
                <w:color w:val="auto"/>
              </w:rPr>
            </w:pPr>
          </w:p>
        </w:tc>
        <w:tc>
          <w:tcPr>
            <w:tcW w:w="1820" w:type="dxa"/>
            <w:vAlign w:val="bottom"/>
          </w:tcPr>
          <w:p>
            <w:pPr>
              <w:jc w:val="right"/>
              <w:ind w:right="80"/>
              <w:spacing w:after="0"/>
              <w:rPr>
                <w:sz w:val="20"/>
                <w:szCs w:val="20"/>
                <w:color w:val="auto"/>
              </w:rPr>
            </w:pPr>
            <w:r>
              <w:rPr>
                <w:rFonts w:ascii="Arial" w:cs="Arial" w:eastAsia="Arial" w:hAnsi="Arial"/>
                <w:sz w:val="20"/>
                <w:szCs w:val="20"/>
                <w:color w:val="auto"/>
                <w:w w:val="92"/>
              </w:rPr>
              <w:t>December 31, 2025</w:t>
            </w:r>
          </w:p>
        </w:tc>
        <w:tc>
          <w:tcPr>
            <w:tcW w:w="320" w:type="dxa"/>
            <w:vAlign w:val="bottom"/>
          </w:tcPr>
          <w:p>
            <w:pPr>
              <w:spacing w:after="0"/>
              <w:rPr>
                <w:sz w:val="24"/>
                <w:szCs w:val="24"/>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w w:val="91"/>
              </w:rPr>
              <w:t>December 31, 2024</w:t>
            </w:r>
          </w:p>
        </w:tc>
      </w:tr>
      <w:tr>
        <w:trPr>
          <w:trHeight w:val="51"/>
        </w:trPr>
        <w:tc>
          <w:tcPr>
            <w:tcW w:w="4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94"/>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Operating lease cost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169</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198</w:t>
            </w:r>
          </w:p>
        </w:tc>
      </w:tr>
      <w:tr>
        <w:trPr>
          <w:trHeight w:val="274"/>
        </w:trPr>
        <w:tc>
          <w:tcPr>
            <w:tcW w:w="4620" w:type="dxa"/>
            <w:vAlign w:val="bottom"/>
          </w:tcPr>
          <w:p>
            <w:pPr>
              <w:spacing w:after="0"/>
              <w:rPr>
                <w:sz w:val="20"/>
                <w:szCs w:val="20"/>
                <w:color w:val="auto"/>
              </w:rPr>
            </w:pPr>
            <w:r>
              <w:rPr>
                <w:rFonts w:ascii="Arial" w:cs="Arial" w:eastAsia="Arial" w:hAnsi="Arial"/>
                <w:sz w:val="20"/>
                <w:szCs w:val="20"/>
                <w:color w:val="auto"/>
              </w:rPr>
              <w:t>Finance lease cost</w:t>
            </w:r>
          </w:p>
        </w:tc>
        <w:tc>
          <w:tcPr>
            <w:tcW w:w="900" w:type="dxa"/>
            <w:vAlign w:val="bottom"/>
          </w:tcPr>
          <w:p>
            <w:pPr>
              <w:spacing w:after="0"/>
              <w:rPr>
                <w:sz w:val="23"/>
                <w:szCs w:val="23"/>
                <w:color w:val="auto"/>
              </w:rPr>
            </w:pPr>
          </w:p>
        </w:tc>
        <w:tc>
          <w:tcPr>
            <w:tcW w:w="1820" w:type="dxa"/>
            <w:vAlign w:val="bottom"/>
          </w:tcPr>
          <w:p>
            <w:pPr>
              <w:jc w:val="right"/>
              <w:ind w:right="80"/>
              <w:spacing w:after="0"/>
              <w:rPr>
                <w:sz w:val="20"/>
                <w:szCs w:val="20"/>
                <w:color w:val="auto"/>
              </w:rPr>
            </w:pPr>
            <w:r>
              <w:rPr>
                <w:rFonts w:ascii="Arial" w:cs="Arial" w:eastAsia="Arial" w:hAnsi="Arial"/>
                <w:sz w:val="20"/>
                <w:szCs w:val="20"/>
                <w:color w:val="auto"/>
              </w:rPr>
              <w:t>1,721</w:t>
            </w:r>
          </w:p>
        </w:tc>
        <w:tc>
          <w:tcPr>
            <w:tcW w:w="32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1,019</w:t>
            </w:r>
          </w:p>
        </w:tc>
      </w:tr>
      <w:tr>
        <w:trPr>
          <w:trHeight w:val="51"/>
        </w:trPr>
        <w:tc>
          <w:tcPr>
            <w:tcW w:w="4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4"/>
        </w:trPr>
        <w:tc>
          <w:tcPr>
            <w:tcW w:w="4620" w:type="dxa"/>
            <w:vAlign w:val="bottom"/>
            <w:shd w:val="clear" w:color="auto" w:fill="CFF0FC"/>
          </w:tcPr>
          <w:p>
            <w:pPr>
              <w:ind w:left="40"/>
              <w:spacing w:after="0"/>
              <w:rPr>
                <w:sz w:val="20"/>
                <w:szCs w:val="20"/>
                <w:color w:val="auto"/>
              </w:rPr>
            </w:pPr>
            <w:r>
              <w:rPr>
                <w:rFonts w:ascii="Arial" w:cs="Arial" w:eastAsia="Arial" w:hAnsi="Arial"/>
                <w:sz w:val="20"/>
                <w:szCs w:val="20"/>
                <w:color w:val="auto"/>
              </w:rPr>
              <w:t>Total</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1,890</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1,217</w:t>
            </w:r>
          </w:p>
        </w:tc>
      </w:tr>
      <w:tr>
        <w:trPr>
          <w:trHeight w:val="86"/>
        </w:trPr>
        <w:tc>
          <w:tcPr>
            <w:tcW w:w="46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18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7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-845820</wp:posOffset>
            </wp:positionV>
            <wp:extent cx="2564765" cy="635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56476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-639445</wp:posOffset>
            </wp:positionV>
            <wp:extent cx="5967730" cy="635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information related to leases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80" w:type="dxa"/>
            <w:vAlign w:val="bottom"/>
            <w:gridSpan w:val="3"/>
          </w:tcPr>
          <w:p>
            <w:pPr>
              <w:jc w:val="right"/>
              <w:ind w:right="1200"/>
              <w:spacing w:after="0"/>
              <w:rPr>
                <w:sz w:val="20"/>
                <w:szCs w:val="20"/>
                <w:color w:val="auto"/>
              </w:rPr>
            </w:pPr>
            <w:r>
              <w:rPr>
                <w:rFonts w:ascii="Arial" w:cs="Arial" w:eastAsia="Arial" w:hAnsi="Arial"/>
                <w:sz w:val="20"/>
                <w:szCs w:val="20"/>
                <w:color w:val="auto"/>
              </w:rPr>
              <w:t>For the years ended</w:t>
            </w:r>
          </w:p>
        </w:tc>
      </w:tr>
      <w:tr>
        <w:trPr>
          <w:trHeight w:val="324"/>
        </w:trPr>
        <w:tc>
          <w:tcPr>
            <w:tcW w:w="508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440" w:type="dxa"/>
            <w:vAlign w:val="bottom"/>
          </w:tcPr>
          <w:p>
            <w:pPr>
              <w:spacing w:after="0"/>
              <w:rPr>
                <w:sz w:val="24"/>
                <w:szCs w:val="24"/>
                <w:color w:val="auto"/>
              </w:rPr>
            </w:pPr>
          </w:p>
        </w:tc>
        <w:tc>
          <w:tcPr>
            <w:tcW w:w="1820" w:type="dxa"/>
            <w:vAlign w:val="bottom"/>
          </w:tcPr>
          <w:p>
            <w:pPr>
              <w:jc w:val="right"/>
              <w:ind w:right="80"/>
              <w:spacing w:after="0"/>
              <w:rPr>
                <w:sz w:val="20"/>
                <w:szCs w:val="20"/>
                <w:color w:val="auto"/>
              </w:rPr>
            </w:pPr>
            <w:r>
              <w:rPr>
                <w:rFonts w:ascii="Arial" w:cs="Arial" w:eastAsia="Arial" w:hAnsi="Arial"/>
                <w:sz w:val="20"/>
                <w:szCs w:val="20"/>
                <w:color w:val="auto"/>
                <w:w w:val="92"/>
              </w:rPr>
              <w:t>December 31, 2025</w:t>
            </w:r>
          </w:p>
        </w:tc>
        <w:tc>
          <w:tcPr>
            <w:tcW w:w="320" w:type="dxa"/>
            <w:vAlign w:val="bottom"/>
          </w:tcPr>
          <w:p>
            <w:pPr>
              <w:spacing w:after="0"/>
              <w:rPr>
                <w:sz w:val="24"/>
                <w:szCs w:val="24"/>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w w:val="91"/>
              </w:rPr>
              <w:t>December 31, 2024</w:t>
            </w:r>
          </w:p>
        </w:tc>
      </w:tr>
      <w:tr>
        <w:trPr>
          <w:trHeight w:val="51"/>
        </w:trPr>
        <w:tc>
          <w:tcPr>
            <w:tcW w:w="5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4"/>
        </w:trPr>
        <w:tc>
          <w:tcPr>
            <w:tcW w:w="5080" w:type="dxa"/>
            <w:vAlign w:val="bottom"/>
            <w:shd w:val="clear" w:color="auto" w:fill="CFF0FC"/>
          </w:tcPr>
          <w:p>
            <w:pPr>
              <w:spacing w:after="0"/>
              <w:rPr>
                <w:sz w:val="20"/>
                <w:szCs w:val="20"/>
                <w:color w:val="auto"/>
              </w:rPr>
            </w:pPr>
            <w:r>
              <w:rPr>
                <w:rFonts w:ascii="Arial" w:cs="Arial" w:eastAsia="Arial" w:hAnsi="Arial"/>
                <w:sz w:val="20"/>
                <w:szCs w:val="20"/>
                <w:color w:val="auto"/>
                <w:w w:val="93"/>
              </w:rPr>
              <w:t>Cash paid for amounts included in the measurement of lease</w:t>
            </w:r>
          </w:p>
        </w:tc>
        <w:tc>
          <w:tcPr>
            <w:tcW w:w="440" w:type="dxa"/>
            <w:vAlign w:val="bottom"/>
            <w:shd w:val="clear" w:color="auto" w:fill="CFF0FC"/>
          </w:tcPr>
          <w:p>
            <w:pPr>
              <w:spacing w:after="0"/>
              <w:rPr>
                <w:sz w:val="23"/>
                <w:szCs w:val="23"/>
                <w:color w:val="auto"/>
              </w:rPr>
            </w:pPr>
          </w:p>
        </w:tc>
        <w:tc>
          <w:tcPr>
            <w:tcW w:w="18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740" w:type="dxa"/>
            <w:vAlign w:val="bottom"/>
            <w:shd w:val="clear" w:color="auto" w:fill="CFF0FC"/>
          </w:tcPr>
          <w:p>
            <w:pPr>
              <w:spacing w:after="0"/>
              <w:rPr>
                <w:sz w:val="23"/>
                <w:szCs w:val="23"/>
                <w:color w:val="auto"/>
              </w:rPr>
            </w:pPr>
          </w:p>
        </w:tc>
      </w:tr>
      <w:tr>
        <w:trPr>
          <w:trHeight w:val="321"/>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liabilities:</w:t>
            </w:r>
          </w:p>
        </w:tc>
        <w:tc>
          <w:tcPr>
            <w:tcW w:w="44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r>
      <w:tr>
        <w:trPr>
          <w:trHeight w:val="274"/>
        </w:trPr>
        <w:tc>
          <w:tcPr>
            <w:tcW w:w="5080" w:type="dxa"/>
            <w:vAlign w:val="bottom"/>
          </w:tcPr>
          <w:p>
            <w:pPr>
              <w:ind w:left="240"/>
              <w:spacing w:after="0"/>
              <w:rPr>
                <w:sz w:val="20"/>
                <w:szCs w:val="20"/>
                <w:color w:val="auto"/>
              </w:rPr>
            </w:pPr>
            <w:r>
              <w:rPr>
                <w:rFonts w:ascii="Arial" w:cs="Arial" w:eastAsia="Arial" w:hAnsi="Arial"/>
                <w:sz w:val="20"/>
                <w:szCs w:val="20"/>
                <w:color w:val="auto"/>
              </w:rPr>
              <w:t>Operating cash flows from operating leases</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820" w:type="dxa"/>
            <w:vAlign w:val="bottom"/>
          </w:tcPr>
          <w:p>
            <w:pPr>
              <w:jc w:val="right"/>
              <w:ind w:right="80"/>
              <w:spacing w:after="0"/>
              <w:rPr>
                <w:sz w:val="20"/>
                <w:szCs w:val="20"/>
                <w:color w:val="auto"/>
              </w:rPr>
            </w:pPr>
            <w:r>
              <w:rPr>
                <w:rFonts w:ascii="Arial" w:cs="Arial" w:eastAsia="Arial" w:hAnsi="Arial"/>
                <w:sz w:val="20"/>
                <w:szCs w:val="20"/>
                <w:color w:val="auto"/>
              </w:rPr>
              <w:t>154</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182</w:t>
            </w:r>
          </w:p>
        </w:tc>
      </w:tr>
      <w:tr>
        <w:trPr>
          <w:trHeight w:val="41"/>
        </w:trPr>
        <w:tc>
          <w:tcPr>
            <w:tcW w:w="5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94"/>
        </w:trPr>
        <w:tc>
          <w:tcPr>
            <w:tcW w:w="5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Operating cash flows from finance leases</w:t>
            </w:r>
          </w:p>
        </w:tc>
        <w:tc>
          <w:tcPr>
            <w:tcW w:w="44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1,721</w:t>
            </w:r>
          </w:p>
        </w:tc>
        <w:tc>
          <w:tcPr>
            <w:tcW w:w="3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1,019</w:t>
            </w:r>
          </w:p>
        </w:tc>
      </w:tr>
      <w:tr>
        <w:trPr>
          <w:trHeight w:val="274"/>
        </w:trPr>
        <w:tc>
          <w:tcPr>
            <w:tcW w:w="5080" w:type="dxa"/>
            <w:vAlign w:val="bottom"/>
          </w:tcPr>
          <w:p>
            <w:pPr>
              <w:ind w:left="240"/>
              <w:spacing w:after="0"/>
              <w:rPr>
                <w:sz w:val="20"/>
                <w:szCs w:val="20"/>
                <w:color w:val="auto"/>
              </w:rPr>
            </w:pPr>
            <w:r>
              <w:rPr>
                <w:rFonts w:ascii="Arial" w:cs="Arial" w:eastAsia="Arial" w:hAnsi="Arial"/>
                <w:sz w:val="20"/>
                <w:szCs w:val="20"/>
                <w:color w:val="auto"/>
              </w:rPr>
              <w:t>Financing cash flows from finance leases</w:t>
            </w:r>
          </w:p>
        </w:tc>
        <w:tc>
          <w:tcPr>
            <w:tcW w:w="440" w:type="dxa"/>
            <w:vAlign w:val="bottom"/>
          </w:tcPr>
          <w:p>
            <w:pPr>
              <w:spacing w:after="0"/>
              <w:rPr>
                <w:sz w:val="23"/>
                <w:szCs w:val="23"/>
                <w:color w:val="auto"/>
              </w:rPr>
            </w:pPr>
          </w:p>
        </w:tc>
        <w:tc>
          <w:tcPr>
            <w:tcW w:w="1820" w:type="dxa"/>
            <w:vAlign w:val="bottom"/>
          </w:tcPr>
          <w:p>
            <w:pPr>
              <w:jc w:val="right"/>
              <w:ind w:right="80"/>
              <w:spacing w:after="0"/>
              <w:rPr>
                <w:sz w:val="20"/>
                <w:szCs w:val="20"/>
                <w:color w:val="auto"/>
              </w:rPr>
            </w:pPr>
            <w:r>
              <w:rPr>
                <w:rFonts w:ascii="Arial" w:cs="Arial" w:eastAsia="Arial" w:hAnsi="Arial"/>
                <w:sz w:val="20"/>
                <w:szCs w:val="20"/>
                <w:color w:val="auto"/>
              </w:rPr>
              <w:t>442</w:t>
            </w:r>
          </w:p>
        </w:tc>
        <w:tc>
          <w:tcPr>
            <w:tcW w:w="32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-1174750</wp:posOffset>
            </wp:positionV>
            <wp:extent cx="2564130" cy="63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5641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-969010</wp:posOffset>
            </wp:positionV>
            <wp:extent cx="5967730" cy="635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5967730" cy="635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Supplemental balance sheet information related to leases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80" w:type="dxa"/>
            <w:vAlign w:val="bottom"/>
          </w:tcPr>
          <w:p>
            <w:pPr>
              <w:jc w:val="right"/>
              <w:ind w:right="180"/>
              <w:spacing w:after="0"/>
              <w:rPr>
                <w:sz w:val="20"/>
                <w:szCs w:val="20"/>
                <w:color w:val="auto"/>
              </w:rPr>
            </w:pPr>
            <w:r>
              <w:rPr>
                <w:rFonts w:ascii="Arial" w:cs="Arial" w:eastAsia="Arial" w:hAnsi="Arial"/>
                <w:sz w:val="20"/>
                <w:szCs w:val="20"/>
                <w:color w:val="auto"/>
                <w:w w:val="95"/>
              </w:rPr>
              <w:t>As of December 31,</w:t>
            </w:r>
          </w:p>
        </w:tc>
        <w:tc>
          <w:tcPr>
            <w:tcW w:w="220" w:type="dxa"/>
            <w:vAlign w:val="bottom"/>
          </w:tcPr>
          <w:p>
            <w:pPr>
              <w:spacing w:after="0"/>
              <w:rPr>
                <w:sz w:val="19"/>
                <w:szCs w:val="19"/>
                <w:color w:val="auto"/>
              </w:rPr>
            </w:pPr>
          </w:p>
        </w:tc>
        <w:tc>
          <w:tcPr>
            <w:tcW w:w="1920" w:type="dxa"/>
            <w:vAlign w:val="bottom"/>
          </w:tcPr>
          <w:p>
            <w:pPr>
              <w:jc w:val="right"/>
              <w:ind w:right="160"/>
              <w:spacing w:after="0"/>
              <w:rPr>
                <w:sz w:val="20"/>
                <w:szCs w:val="20"/>
                <w:color w:val="auto"/>
              </w:rPr>
            </w:pPr>
            <w:r>
              <w:rPr>
                <w:rFonts w:ascii="Arial" w:cs="Arial" w:eastAsia="Arial" w:hAnsi="Arial"/>
                <w:sz w:val="20"/>
                <w:szCs w:val="20"/>
                <w:color w:val="auto"/>
                <w:w w:val="92"/>
              </w:rPr>
              <w:t>As of December 31,</w:t>
            </w:r>
          </w:p>
        </w:tc>
      </w:tr>
      <w:tr>
        <w:trPr>
          <w:trHeight w:val="300"/>
        </w:trPr>
        <w:tc>
          <w:tcPr>
            <w:tcW w:w="4600" w:type="dxa"/>
            <w:vAlign w:val="bottom"/>
          </w:tcPr>
          <w:p>
            <w:pPr>
              <w:spacing w:after="0"/>
              <w:rPr>
                <w:sz w:val="20"/>
                <w:szCs w:val="20"/>
                <w:color w:val="auto"/>
              </w:rPr>
            </w:pPr>
            <w:r>
              <w:rPr>
                <w:rFonts w:ascii="Arial" w:cs="Arial" w:eastAsia="Arial" w:hAnsi="Arial"/>
                <w:sz w:val="20"/>
                <w:szCs w:val="20"/>
                <w:i w:val="1"/>
                <w:iCs w:val="1"/>
                <w:color w:val="auto"/>
              </w:rPr>
              <w:t>(In thousands, except lease term and discount rate)</w:t>
            </w:r>
          </w:p>
        </w:tc>
        <w:tc>
          <w:tcPr>
            <w:tcW w:w="680" w:type="dxa"/>
            <w:vAlign w:val="bottom"/>
          </w:tcPr>
          <w:p>
            <w:pPr>
              <w:spacing w:after="0"/>
              <w:rPr>
                <w:sz w:val="24"/>
                <w:szCs w:val="24"/>
                <w:color w:val="auto"/>
              </w:rPr>
            </w:pPr>
          </w:p>
        </w:tc>
        <w:tc>
          <w:tcPr>
            <w:tcW w:w="1980" w:type="dxa"/>
            <w:vAlign w:val="bottom"/>
          </w:tcPr>
          <w:p>
            <w:pPr>
              <w:jc w:val="right"/>
              <w:ind w:right="140"/>
              <w:spacing w:after="0"/>
              <w:rPr>
                <w:sz w:val="20"/>
                <w:szCs w:val="20"/>
                <w:color w:val="auto"/>
              </w:rPr>
            </w:pPr>
            <w:r>
              <w:rPr>
                <w:rFonts w:ascii="Arial" w:cs="Arial" w:eastAsia="Arial" w:hAnsi="Arial"/>
                <w:sz w:val="20"/>
                <w:szCs w:val="20"/>
                <w:color w:val="auto"/>
              </w:rPr>
              <w:t>2025</w:t>
            </w:r>
          </w:p>
        </w:tc>
        <w:tc>
          <w:tcPr>
            <w:tcW w:w="220" w:type="dxa"/>
            <w:vAlign w:val="bottom"/>
          </w:tcPr>
          <w:p>
            <w:pPr>
              <w:spacing w:after="0"/>
              <w:rPr>
                <w:sz w:val="24"/>
                <w:szCs w:val="24"/>
                <w:color w:val="auto"/>
              </w:rPr>
            </w:pPr>
          </w:p>
        </w:tc>
        <w:tc>
          <w:tcPr>
            <w:tcW w:w="1920" w:type="dxa"/>
            <w:vAlign w:val="bottom"/>
          </w:tcPr>
          <w:p>
            <w:pPr>
              <w:jc w:val="right"/>
              <w:ind w:right="100"/>
              <w:spacing w:after="0"/>
              <w:rPr>
                <w:sz w:val="20"/>
                <w:szCs w:val="20"/>
                <w:color w:val="auto"/>
              </w:rPr>
            </w:pPr>
            <w:r>
              <w:rPr>
                <w:rFonts w:ascii="Arial" w:cs="Arial" w:eastAsia="Arial" w:hAnsi="Arial"/>
                <w:sz w:val="20"/>
                <w:szCs w:val="20"/>
                <w:color w:val="auto"/>
              </w:rPr>
              <w:t>2024</w:t>
            </w:r>
          </w:p>
        </w:tc>
      </w:tr>
      <w:tr>
        <w:trPr>
          <w:trHeight w:val="51"/>
        </w:trPr>
        <w:tc>
          <w:tcPr>
            <w:tcW w:w="4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94"/>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Operating Leases:</w:t>
            </w:r>
          </w:p>
        </w:tc>
        <w:tc>
          <w:tcPr>
            <w:tcW w:w="6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spacing w:after="0"/>
              <w:rPr>
                <w:sz w:val="24"/>
                <w:szCs w:val="24"/>
                <w:color w:val="auto"/>
              </w:rPr>
            </w:pPr>
          </w:p>
        </w:tc>
      </w:tr>
      <w:tr>
        <w:trPr>
          <w:trHeight w:val="274"/>
        </w:trPr>
        <w:tc>
          <w:tcPr>
            <w:tcW w:w="4600" w:type="dxa"/>
            <w:vAlign w:val="bottom"/>
          </w:tcPr>
          <w:p>
            <w:pPr>
              <w:ind w:left="40"/>
              <w:spacing w:after="0"/>
              <w:rPr>
                <w:sz w:val="20"/>
                <w:szCs w:val="20"/>
                <w:color w:val="auto"/>
              </w:rPr>
            </w:pPr>
            <w:r>
              <w:rPr>
                <w:rFonts w:ascii="Arial" w:cs="Arial" w:eastAsia="Arial" w:hAnsi="Arial"/>
                <w:sz w:val="20"/>
                <w:szCs w:val="20"/>
                <w:color w:val="auto"/>
              </w:rPr>
              <w:t>Operating lease right-of-use assets</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980" w:type="dxa"/>
            <w:vAlign w:val="bottom"/>
          </w:tcPr>
          <w:p>
            <w:pPr>
              <w:jc w:val="right"/>
              <w:ind w:right="140"/>
              <w:spacing w:after="0"/>
              <w:rPr>
                <w:sz w:val="20"/>
                <w:szCs w:val="20"/>
                <w:color w:val="auto"/>
              </w:rPr>
            </w:pPr>
            <w:r>
              <w:rPr>
                <w:rFonts w:ascii="Arial" w:cs="Arial" w:eastAsia="Arial" w:hAnsi="Arial"/>
                <w:sz w:val="20"/>
                <w:szCs w:val="20"/>
                <w:color w:val="auto"/>
              </w:rPr>
              <w:t>1,098</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920" w:type="dxa"/>
            <w:vAlign w:val="bottom"/>
          </w:tcPr>
          <w:p>
            <w:pPr>
              <w:jc w:val="right"/>
              <w:ind w:right="100"/>
              <w:spacing w:after="0"/>
              <w:rPr>
                <w:sz w:val="20"/>
                <w:szCs w:val="20"/>
                <w:color w:val="auto"/>
              </w:rPr>
            </w:pPr>
            <w:r>
              <w:rPr>
                <w:rFonts w:ascii="Arial" w:cs="Arial" w:eastAsia="Arial" w:hAnsi="Arial"/>
                <w:sz w:val="20"/>
                <w:szCs w:val="20"/>
                <w:color w:val="auto"/>
              </w:rPr>
              <w:t>1,391</w:t>
            </w:r>
          </w:p>
        </w:tc>
      </w:tr>
      <w:tr>
        <w:trPr>
          <w:trHeight w:val="41"/>
        </w:trPr>
        <w:tc>
          <w:tcPr>
            <w:tcW w:w="4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94"/>
        </w:trPr>
        <w:tc>
          <w:tcPr>
            <w:tcW w:w="4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Operating lease liabilities</w:t>
            </w:r>
          </w:p>
        </w:tc>
        <w:tc>
          <w:tcPr>
            <w:tcW w:w="6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1,304</w:t>
            </w:r>
          </w:p>
        </w:tc>
        <w:tc>
          <w:tcPr>
            <w:tcW w:w="22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1,591</w:t>
            </w:r>
          </w:p>
        </w:tc>
      </w:tr>
      <w:tr>
        <w:trPr>
          <w:trHeight w:val="314"/>
        </w:trPr>
        <w:tc>
          <w:tcPr>
            <w:tcW w:w="4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94"/>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Finance Leases:</w:t>
            </w:r>
          </w:p>
        </w:tc>
        <w:tc>
          <w:tcPr>
            <w:tcW w:w="6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spacing w:after="0"/>
              <w:rPr>
                <w:sz w:val="24"/>
                <w:szCs w:val="24"/>
                <w:color w:val="auto"/>
              </w:rPr>
            </w:pPr>
          </w:p>
        </w:tc>
      </w:tr>
      <w:tr>
        <w:trPr>
          <w:trHeight w:val="274"/>
        </w:trPr>
        <w:tc>
          <w:tcPr>
            <w:tcW w:w="4600" w:type="dxa"/>
            <w:vAlign w:val="bottom"/>
          </w:tcPr>
          <w:p>
            <w:pPr>
              <w:ind w:left="40"/>
              <w:spacing w:after="0"/>
              <w:rPr>
                <w:sz w:val="20"/>
                <w:szCs w:val="20"/>
                <w:color w:val="auto"/>
              </w:rPr>
            </w:pPr>
            <w:r>
              <w:rPr>
                <w:rFonts w:ascii="Arial" w:cs="Arial" w:eastAsia="Arial" w:hAnsi="Arial"/>
                <w:sz w:val="20"/>
                <w:szCs w:val="20"/>
                <w:color w:val="auto"/>
              </w:rPr>
              <w:t>Finance lease right-of-use assets</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980" w:type="dxa"/>
            <w:vAlign w:val="bottom"/>
          </w:tcPr>
          <w:p>
            <w:pPr>
              <w:jc w:val="right"/>
              <w:ind w:right="140"/>
              <w:spacing w:after="0"/>
              <w:rPr>
                <w:sz w:val="20"/>
                <w:szCs w:val="20"/>
                <w:color w:val="auto"/>
              </w:rPr>
            </w:pPr>
            <w:r>
              <w:rPr>
                <w:rFonts w:ascii="Arial" w:cs="Arial" w:eastAsia="Arial" w:hAnsi="Arial"/>
                <w:sz w:val="20"/>
                <w:szCs w:val="20"/>
                <w:color w:val="auto"/>
              </w:rPr>
              <w:t>15,885</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920" w:type="dxa"/>
            <w:vAlign w:val="bottom"/>
          </w:tcPr>
          <w:p>
            <w:pPr>
              <w:jc w:val="right"/>
              <w:ind w:right="100"/>
              <w:spacing w:after="0"/>
              <w:rPr>
                <w:sz w:val="20"/>
                <w:szCs w:val="20"/>
                <w:color w:val="auto"/>
              </w:rPr>
            </w:pPr>
            <w:r>
              <w:rPr>
                <w:rFonts w:ascii="Arial" w:cs="Arial" w:eastAsia="Arial" w:hAnsi="Arial"/>
                <w:sz w:val="20"/>
                <w:szCs w:val="20"/>
                <w:color w:val="auto"/>
              </w:rPr>
              <w:t>16,676</w:t>
            </w:r>
          </w:p>
        </w:tc>
      </w:tr>
      <w:tr>
        <w:trPr>
          <w:trHeight w:val="41"/>
        </w:trPr>
        <w:tc>
          <w:tcPr>
            <w:tcW w:w="4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94"/>
        </w:trPr>
        <w:tc>
          <w:tcPr>
            <w:tcW w:w="4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Finance lease liabilities</w:t>
            </w:r>
          </w:p>
        </w:tc>
        <w:tc>
          <w:tcPr>
            <w:tcW w:w="6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16,390</w:t>
            </w:r>
          </w:p>
        </w:tc>
        <w:tc>
          <w:tcPr>
            <w:tcW w:w="22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16,745</w:t>
            </w:r>
          </w:p>
        </w:tc>
      </w:tr>
      <w:tr>
        <w:trPr>
          <w:trHeight w:val="314"/>
        </w:trPr>
        <w:tc>
          <w:tcPr>
            <w:tcW w:w="4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94"/>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Weighted Average Remaining Lease Term:</w:t>
            </w:r>
          </w:p>
        </w:tc>
        <w:tc>
          <w:tcPr>
            <w:tcW w:w="6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spacing w:after="0"/>
              <w:rPr>
                <w:sz w:val="24"/>
                <w:szCs w:val="24"/>
                <w:color w:val="auto"/>
              </w:rPr>
            </w:pPr>
          </w:p>
        </w:tc>
      </w:tr>
      <w:tr>
        <w:trPr>
          <w:trHeight w:val="274"/>
        </w:trPr>
        <w:tc>
          <w:tcPr>
            <w:tcW w:w="4600" w:type="dxa"/>
            <w:vAlign w:val="bottom"/>
          </w:tcPr>
          <w:p>
            <w:pPr>
              <w:ind w:left="40"/>
              <w:spacing w:after="0"/>
              <w:rPr>
                <w:sz w:val="20"/>
                <w:szCs w:val="20"/>
                <w:color w:val="auto"/>
              </w:rPr>
            </w:pPr>
            <w:r>
              <w:rPr>
                <w:rFonts w:ascii="Arial" w:cs="Arial" w:eastAsia="Arial" w:hAnsi="Arial"/>
                <w:sz w:val="20"/>
                <w:szCs w:val="20"/>
                <w:color w:val="auto"/>
              </w:rPr>
              <w:t>Operating leases</w:t>
            </w:r>
          </w:p>
        </w:tc>
        <w:tc>
          <w:tcPr>
            <w:tcW w:w="680" w:type="dxa"/>
            <w:vAlign w:val="bottom"/>
          </w:tcPr>
          <w:p>
            <w:pPr>
              <w:spacing w:after="0"/>
              <w:rPr>
                <w:sz w:val="23"/>
                <w:szCs w:val="23"/>
                <w:color w:val="auto"/>
              </w:rPr>
            </w:pPr>
          </w:p>
        </w:tc>
        <w:tc>
          <w:tcPr>
            <w:tcW w:w="1980" w:type="dxa"/>
            <w:vAlign w:val="bottom"/>
          </w:tcPr>
          <w:p>
            <w:pPr>
              <w:jc w:val="right"/>
              <w:ind w:right="140"/>
              <w:spacing w:after="0"/>
              <w:rPr>
                <w:sz w:val="20"/>
                <w:szCs w:val="20"/>
                <w:color w:val="auto"/>
              </w:rPr>
            </w:pPr>
            <w:r>
              <w:rPr>
                <w:rFonts w:ascii="Arial" w:cs="Arial" w:eastAsia="Arial" w:hAnsi="Arial"/>
                <w:sz w:val="20"/>
                <w:szCs w:val="20"/>
                <w:color w:val="auto"/>
              </w:rPr>
              <w:t>18.11 years</w:t>
            </w:r>
          </w:p>
        </w:tc>
        <w:tc>
          <w:tcPr>
            <w:tcW w:w="220" w:type="dxa"/>
            <w:vAlign w:val="bottom"/>
          </w:tcPr>
          <w:p>
            <w:pPr>
              <w:spacing w:after="0"/>
              <w:rPr>
                <w:sz w:val="23"/>
                <w:szCs w:val="23"/>
                <w:color w:val="auto"/>
              </w:rPr>
            </w:pPr>
          </w:p>
        </w:tc>
        <w:tc>
          <w:tcPr>
            <w:tcW w:w="1920" w:type="dxa"/>
            <w:vAlign w:val="bottom"/>
          </w:tcPr>
          <w:p>
            <w:pPr>
              <w:jc w:val="right"/>
              <w:ind w:right="100"/>
              <w:spacing w:after="0"/>
              <w:rPr>
                <w:sz w:val="20"/>
                <w:szCs w:val="20"/>
                <w:color w:val="auto"/>
              </w:rPr>
            </w:pPr>
            <w:r>
              <w:rPr>
                <w:rFonts w:ascii="Arial" w:cs="Arial" w:eastAsia="Arial" w:hAnsi="Arial"/>
                <w:sz w:val="20"/>
                <w:szCs w:val="20"/>
                <w:color w:val="auto"/>
              </w:rPr>
              <w:t>17.08 years</w:t>
            </w:r>
          </w:p>
        </w:tc>
      </w:tr>
      <w:tr>
        <w:trPr>
          <w:trHeight w:val="41"/>
        </w:trPr>
        <w:tc>
          <w:tcPr>
            <w:tcW w:w="4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94"/>
        </w:trPr>
        <w:tc>
          <w:tcPr>
            <w:tcW w:w="46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Finance leases</w:t>
            </w:r>
          </w:p>
        </w:tc>
        <w:tc>
          <w:tcPr>
            <w:tcW w:w="6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21.02 years</w:t>
            </w:r>
          </w:p>
        </w:tc>
        <w:tc>
          <w:tcPr>
            <w:tcW w:w="22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22.01 years</w:t>
            </w:r>
          </w:p>
        </w:tc>
      </w:tr>
      <w:tr>
        <w:trPr>
          <w:trHeight w:val="314"/>
        </w:trPr>
        <w:tc>
          <w:tcPr>
            <w:tcW w:w="4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94"/>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Weighted Average Discount Rate:</w:t>
            </w:r>
          </w:p>
        </w:tc>
        <w:tc>
          <w:tcPr>
            <w:tcW w:w="6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spacing w:after="0"/>
              <w:rPr>
                <w:sz w:val="24"/>
                <w:szCs w:val="24"/>
                <w:color w:val="auto"/>
              </w:rPr>
            </w:pPr>
          </w:p>
        </w:tc>
      </w:tr>
      <w:tr>
        <w:trPr>
          <w:trHeight w:val="274"/>
        </w:trPr>
        <w:tc>
          <w:tcPr>
            <w:tcW w:w="4600" w:type="dxa"/>
            <w:vAlign w:val="bottom"/>
          </w:tcPr>
          <w:p>
            <w:pPr>
              <w:ind w:left="40"/>
              <w:spacing w:after="0"/>
              <w:rPr>
                <w:sz w:val="20"/>
                <w:szCs w:val="20"/>
                <w:color w:val="auto"/>
              </w:rPr>
            </w:pPr>
            <w:r>
              <w:rPr>
                <w:rFonts w:ascii="Arial" w:cs="Arial" w:eastAsia="Arial" w:hAnsi="Arial"/>
                <w:sz w:val="20"/>
                <w:szCs w:val="20"/>
                <w:color w:val="auto"/>
              </w:rPr>
              <w:t>Operating leases</w:t>
            </w:r>
          </w:p>
        </w:tc>
        <w:tc>
          <w:tcPr>
            <w:tcW w:w="68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4.02%</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3.90%</w:t>
            </w:r>
          </w:p>
        </w:tc>
      </w:tr>
      <w:tr>
        <w:trPr>
          <w:trHeight w:val="41"/>
        </w:trPr>
        <w:tc>
          <w:tcPr>
            <w:tcW w:w="4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74"/>
        </w:trPr>
        <w:tc>
          <w:tcPr>
            <w:tcW w:w="4600" w:type="dxa"/>
            <w:vAlign w:val="bottom"/>
            <w:shd w:val="clear" w:color="auto" w:fill="CFF0FC"/>
          </w:tcPr>
          <w:p>
            <w:pPr>
              <w:ind w:left="40"/>
              <w:spacing w:after="0"/>
              <w:rPr>
                <w:sz w:val="20"/>
                <w:szCs w:val="20"/>
                <w:color w:val="auto"/>
              </w:rPr>
            </w:pPr>
            <w:r>
              <w:rPr>
                <w:rFonts w:ascii="Arial" w:cs="Arial" w:eastAsia="Arial" w:hAnsi="Arial"/>
                <w:sz w:val="20"/>
                <w:szCs w:val="20"/>
                <w:color w:val="auto"/>
              </w:rPr>
              <w:t>Finance leases</w:t>
            </w:r>
          </w:p>
        </w:tc>
        <w:tc>
          <w:tcPr>
            <w:tcW w:w="680" w:type="dxa"/>
            <w:vAlign w:val="bottom"/>
            <w:shd w:val="clear" w:color="auto" w:fill="CFF0FC"/>
          </w:tcPr>
          <w:p>
            <w:pPr>
              <w:spacing w:after="0"/>
              <w:rPr>
                <w:sz w:val="23"/>
                <w:szCs w:val="23"/>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6.02%</w:t>
            </w:r>
          </w:p>
        </w:tc>
        <w:tc>
          <w:tcPr>
            <w:tcW w:w="220" w:type="dxa"/>
            <w:vAlign w:val="bottom"/>
            <w:shd w:val="clear" w:color="auto" w:fill="CFF0FC"/>
          </w:tcPr>
          <w:p>
            <w:pPr>
              <w:spacing w:after="0"/>
              <w:rPr>
                <w:sz w:val="23"/>
                <w:szCs w:val="2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6.01%</w:t>
            </w:r>
          </w:p>
        </w:tc>
      </w:tr>
      <w:tr>
        <w:trPr>
          <w:trHeight w:val="51"/>
        </w:trPr>
        <w:tc>
          <w:tcPr>
            <w:tcW w:w="460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1980" w:type="dxa"/>
            <w:vAlign w:val="bottom"/>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920" w:type="dxa"/>
            <w:vAlign w:val="bottom"/>
            <w:shd w:val="clear" w:color="auto" w:fill="CFF0F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-3006725</wp:posOffset>
            </wp:positionV>
            <wp:extent cx="5967730" cy="635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5967730" cy="635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25</w:t>
      </w:r>
    </w:p>
    <w:p>
      <w:pPr>
        <w:sectPr>
          <w:pgSz w:w="11900" w:h="16838" w:orient="portrait"/>
          <w:cols w:equalWidth="0" w:num="1">
            <w:col w:w="9400"/>
          </w:cols>
          <w:pgMar w:left="1260" w:top="1440" w:right="1246" w:bottom="0" w:gutter="0" w:footer="0" w:header="0"/>
          <w:type w:val="continuous"/>
        </w:sectPr>
      </w:pPr>
    </w:p>
    <w:bookmarkStart w:id="254" w:name="page255"/>
    <w:bookmarkEnd w:id="254"/>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20"/>
                <w:szCs w:val="20"/>
                <w:color w:val="auto"/>
                <w:w w:val="95"/>
              </w:rPr>
              <w:t>As of December 31, maturities of lease liabilities were as follows:</w:t>
            </w: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64"/>
        </w:trPr>
        <w:tc>
          <w:tcPr>
            <w:tcW w:w="5520" w:type="dxa"/>
            <w:vAlign w:val="bottom"/>
          </w:tcPr>
          <w:p>
            <w:pPr>
              <w:spacing w:after="0"/>
              <w:rPr>
                <w:sz w:val="20"/>
                <w:szCs w:val="20"/>
                <w:color w:val="auto"/>
              </w:rPr>
            </w:pPr>
            <w:r>
              <w:rPr>
                <w:rFonts w:ascii="Arial" w:cs="Arial" w:eastAsia="Arial" w:hAnsi="Arial"/>
                <w:sz w:val="20"/>
                <w:szCs w:val="20"/>
                <w:color w:val="auto"/>
              </w:rPr>
              <w:t>Twelve Months Ending December 31,</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552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Operating Leases</w:t>
            </w:r>
          </w:p>
        </w:tc>
        <w:tc>
          <w:tcPr>
            <w:tcW w:w="320" w:type="dxa"/>
            <w:vAlign w:val="bottom"/>
          </w:tcPr>
          <w:p>
            <w:pPr>
              <w:spacing w:after="0"/>
              <w:rPr>
                <w:sz w:val="24"/>
                <w:szCs w:val="24"/>
                <w:color w:val="auto"/>
              </w:rPr>
            </w:pPr>
          </w:p>
        </w:tc>
        <w:tc>
          <w:tcPr>
            <w:tcW w:w="1560" w:type="dxa"/>
            <w:vAlign w:val="bottom"/>
          </w:tcPr>
          <w:p>
            <w:pPr>
              <w:jc w:val="right"/>
              <w:ind w:right="200"/>
              <w:spacing w:after="0"/>
              <w:rPr>
                <w:sz w:val="20"/>
                <w:szCs w:val="20"/>
                <w:color w:val="auto"/>
              </w:rPr>
            </w:pPr>
            <w:r>
              <w:rPr>
                <w:rFonts w:ascii="Arial" w:cs="Arial" w:eastAsia="Arial" w:hAnsi="Arial"/>
                <w:sz w:val="20"/>
                <w:szCs w:val="20"/>
                <w:color w:val="auto"/>
                <w:w w:val="87"/>
              </w:rPr>
              <w:t>Finance Leases</w:t>
            </w:r>
          </w:p>
        </w:tc>
      </w:tr>
      <w:tr>
        <w:trPr>
          <w:trHeight w:val="51"/>
        </w:trPr>
        <w:tc>
          <w:tcPr>
            <w:tcW w:w="5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94"/>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860" w:type="dxa"/>
            <w:vAlign w:val="bottom"/>
            <w:tcBorders>
              <w:bottom w:val="single" w:sz="8" w:color="CFF0FC"/>
            </w:tcBorders>
            <w:shd w:val="clear" w:color="auto" w:fill="CFF0FC"/>
          </w:tcPr>
          <w:p>
            <w:pPr>
              <w:jc w:val="right"/>
              <w:ind w:right="42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91</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376</w:t>
            </w:r>
          </w:p>
        </w:tc>
      </w:tr>
      <w:tr>
        <w:trPr>
          <w:trHeight w:val="274"/>
        </w:trPr>
        <w:tc>
          <w:tcPr>
            <w:tcW w:w="5520" w:type="dxa"/>
            <w:vAlign w:val="bottom"/>
          </w:tcPr>
          <w:p>
            <w:pPr>
              <w:spacing w:after="0"/>
              <w:rPr>
                <w:sz w:val="20"/>
                <w:szCs w:val="20"/>
                <w:color w:val="auto"/>
              </w:rPr>
            </w:pPr>
            <w:r>
              <w:rPr>
                <w:rFonts w:ascii="Arial" w:cs="Arial" w:eastAsia="Arial" w:hAnsi="Arial"/>
                <w:sz w:val="20"/>
                <w:szCs w:val="20"/>
                <w:color w:val="auto"/>
              </w:rPr>
              <w:t>2027</w:t>
            </w:r>
          </w:p>
        </w:tc>
        <w:tc>
          <w:tcPr>
            <w:tcW w:w="8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color w:val="auto"/>
              </w:rPr>
              <w:t>87</w:t>
            </w:r>
          </w:p>
        </w:tc>
        <w:tc>
          <w:tcPr>
            <w:tcW w:w="320" w:type="dxa"/>
            <w:vAlign w:val="bottom"/>
          </w:tcPr>
          <w:p>
            <w:pPr>
              <w:spacing w:after="0"/>
              <w:rPr>
                <w:sz w:val="23"/>
                <w:szCs w:val="23"/>
                <w:color w:val="auto"/>
              </w:rPr>
            </w:pPr>
          </w:p>
        </w:tc>
        <w:tc>
          <w:tcPr>
            <w:tcW w:w="1560" w:type="dxa"/>
            <w:vAlign w:val="bottom"/>
          </w:tcPr>
          <w:p>
            <w:pPr>
              <w:jc w:val="right"/>
              <w:ind w:right="20"/>
              <w:spacing w:after="0"/>
              <w:rPr>
                <w:sz w:val="20"/>
                <w:szCs w:val="20"/>
                <w:color w:val="auto"/>
              </w:rPr>
            </w:pPr>
            <w:r>
              <w:rPr>
                <w:rFonts w:ascii="Arial" w:cs="Arial" w:eastAsia="Arial" w:hAnsi="Arial"/>
                <w:sz w:val="20"/>
                <w:szCs w:val="20"/>
                <w:color w:val="auto"/>
              </w:rPr>
              <w:t>397</w:t>
            </w:r>
          </w:p>
        </w:tc>
      </w:tr>
      <w:tr>
        <w:trPr>
          <w:trHeight w:val="41"/>
        </w:trPr>
        <w:tc>
          <w:tcPr>
            <w:tcW w:w="5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94"/>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8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85</w:t>
            </w:r>
          </w:p>
        </w:tc>
        <w:tc>
          <w:tcPr>
            <w:tcW w:w="32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418</w:t>
            </w:r>
          </w:p>
        </w:tc>
      </w:tr>
      <w:tr>
        <w:trPr>
          <w:trHeight w:val="274"/>
        </w:trPr>
        <w:tc>
          <w:tcPr>
            <w:tcW w:w="5520" w:type="dxa"/>
            <w:vAlign w:val="bottom"/>
          </w:tcPr>
          <w:p>
            <w:pPr>
              <w:spacing w:after="0"/>
              <w:rPr>
                <w:sz w:val="20"/>
                <w:szCs w:val="20"/>
                <w:color w:val="auto"/>
              </w:rPr>
            </w:pPr>
            <w:r>
              <w:rPr>
                <w:rFonts w:ascii="Arial" w:cs="Arial" w:eastAsia="Arial" w:hAnsi="Arial"/>
                <w:sz w:val="20"/>
                <w:szCs w:val="20"/>
                <w:color w:val="auto"/>
              </w:rPr>
              <w:t>2029</w:t>
            </w:r>
          </w:p>
        </w:tc>
        <w:tc>
          <w:tcPr>
            <w:tcW w:w="8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color w:val="auto"/>
              </w:rPr>
              <w:t>90</w:t>
            </w:r>
          </w:p>
        </w:tc>
        <w:tc>
          <w:tcPr>
            <w:tcW w:w="320" w:type="dxa"/>
            <w:vAlign w:val="bottom"/>
          </w:tcPr>
          <w:p>
            <w:pPr>
              <w:spacing w:after="0"/>
              <w:rPr>
                <w:sz w:val="23"/>
                <w:szCs w:val="23"/>
                <w:color w:val="auto"/>
              </w:rPr>
            </w:pPr>
          </w:p>
        </w:tc>
        <w:tc>
          <w:tcPr>
            <w:tcW w:w="1560" w:type="dxa"/>
            <w:vAlign w:val="bottom"/>
          </w:tcPr>
          <w:p>
            <w:pPr>
              <w:jc w:val="right"/>
              <w:ind w:right="20"/>
              <w:spacing w:after="0"/>
              <w:rPr>
                <w:sz w:val="20"/>
                <w:szCs w:val="20"/>
                <w:color w:val="auto"/>
              </w:rPr>
            </w:pPr>
            <w:r>
              <w:rPr>
                <w:rFonts w:ascii="Arial" w:cs="Arial" w:eastAsia="Arial" w:hAnsi="Arial"/>
                <w:sz w:val="20"/>
                <w:szCs w:val="20"/>
                <w:color w:val="auto"/>
              </w:rPr>
              <w:t>444</w:t>
            </w:r>
          </w:p>
        </w:tc>
      </w:tr>
      <w:tr>
        <w:trPr>
          <w:trHeight w:val="41"/>
        </w:trPr>
        <w:tc>
          <w:tcPr>
            <w:tcW w:w="5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94"/>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8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53</w:t>
            </w:r>
          </w:p>
        </w:tc>
        <w:tc>
          <w:tcPr>
            <w:tcW w:w="32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470</w:t>
            </w:r>
          </w:p>
        </w:tc>
      </w:tr>
      <w:tr>
        <w:trPr>
          <w:trHeight w:val="274"/>
        </w:trPr>
        <w:tc>
          <w:tcPr>
            <w:tcW w:w="5520" w:type="dxa"/>
            <w:vAlign w:val="bottom"/>
          </w:tcPr>
          <w:p>
            <w:pPr>
              <w:spacing w:after="0"/>
              <w:rPr>
                <w:sz w:val="20"/>
                <w:szCs w:val="20"/>
                <w:color w:val="auto"/>
              </w:rPr>
            </w:pPr>
            <w:r>
              <w:rPr>
                <w:rFonts w:ascii="Arial" w:cs="Arial" w:eastAsia="Arial" w:hAnsi="Arial"/>
                <w:sz w:val="20"/>
                <w:szCs w:val="20"/>
                <w:color w:val="auto"/>
              </w:rPr>
              <w:t>Thereafter</w:t>
            </w:r>
          </w:p>
        </w:tc>
        <w:tc>
          <w:tcPr>
            <w:tcW w:w="8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color w:val="auto"/>
              </w:rPr>
              <w:t>898</w:t>
            </w:r>
          </w:p>
        </w:tc>
        <w:tc>
          <w:tcPr>
            <w:tcW w:w="320" w:type="dxa"/>
            <w:vAlign w:val="bottom"/>
          </w:tcPr>
          <w:p>
            <w:pPr>
              <w:spacing w:after="0"/>
              <w:rPr>
                <w:sz w:val="23"/>
                <w:szCs w:val="23"/>
                <w:color w:val="auto"/>
              </w:rPr>
            </w:pPr>
          </w:p>
        </w:tc>
        <w:tc>
          <w:tcPr>
            <w:tcW w:w="1560" w:type="dxa"/>
            <w:vAlign w:val="bottom"/>
          </w:tcPr>
          <w:p>
            <w:pPr>
              <w:jc w:val="right"/>
              <w:ind w:right="20"/>
              <w:spacing w:after="0"/>
              <w:rPr>
                <w:sz w:val="20"/>
                <w:szCs w:val="20"/>
                <w:color w:val="auto"/>
              </w:rPr>
            </w:pPr>
            <w:r>
              <w:rPr>
                <w:rFonts w:ascii="Arial" w:cs="Arial" w:eastAsia="Arial" w:hAnsi="Arial"/>
                <w:sz w:val="20"/>
                <w:szCs w:val="20"/>
                <w:color w:val="auto"/>
              </w:rPr>
              <w:t>14,285</w:t>
            </w:r>
          </w:p>
        </w:tc>
      </w:tr>
      <w:tr>
        <w:trPr>
          <w:trHeight w:val="51"/>
        </w:trPr>
        <w:tc>
          <w:tcPr>
            <w:tcW w:w="5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74"/>
        </w:trPr>
        <w:tc>
          <w:tcPr>
            <w:tcW w:w="5520" w:type="dxa"/>
            <w:vAlign w:val="bottom"/>
            <w:shd w:val="clear" w:color="auto" w:fill="CFF0FC"/>
          </w:tcPr>
          <w:p>
            <w:pPr>
              <w:ind w:left="40"/>
              <w:spacing w:after="0"/>
              <w:rPr>
                <w:sz w:val="20"/>
                <w:szCs w:val="20"/>
                <w:color w:val="auto"/>
              </w:rPr>
            </w:pPr>
            <w:r>
              <w:rPr>
                <w:rFonts w:ascii="Arial" w:cs="Arial" w:eastAsia="Arial" w:hAnsi="Arial"/>
                <w:sz w:val="20"/>
                <w:szCs w:val="20"/>
                <w:color w:val="auto"/>
              </w:rPr>
              <w:t>Total future maturities of lease liabilities</w:t>
            </w:r>
          </w:p>
        </w:tc>
        <w:tc>
          <w:tcPr>
            <w:tcW w:w="860" w:type="dxa"/>
            <w:vAlign w:val="bottom"/>
            <w:shd w:val="clear" w:color="auto" w:fill="CFF0FC"/>
          </w:tcPr>
          <w:p>
            <w:pPr>
              <w:jc w:val="right"/>
              <w:ind w:right="42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1,304</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16,390</w:t>
            </w:r>
          </w:p>
        </w:tc>
      </w:tr>
      <w:tr>
        <w:trPr>
          <w:trHeight w:val="86"/>
        </w:trPr>
        <w:tc>
          <w:tcPr>
            <w:tcW w:w="55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5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-1644015</wp:posOffset>
            </wp:positionV>
            <wp:extent cx="5967730" cy="63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-1438275</wp:posOffset>
            </wp:positionV>
            <wp:extent cx="5967730" cy="635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5967730" cy="63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5967730" cy="2857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967730" cy="28575"/>
                    </a:xfrm>
                    <a:prstGeom prst="rect">
                      <a:avLst/>
                    </a:prstGeom>
                    <a:noFill/>
                  </pic:spPr>
                </pic:pic>
              </a:graphicData>
            </a:graphic>
          </wp:anchor>
        </w:drawing>
      </w:r>
    </w:p>
    <w:p>
      <w:pPr>
        <w:spacing w:after="0" w:line="259"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Company owns certain properties that it leases to unaffiliated third parties at market rates. Lease rental income was $372,000 and $194,000 for the years ended December 31, 2025 and 2024, respectively. All rental agreements with lessees are accounted for as operating leases.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25</w:t>
      </w:r>
    </w:p>
    <w:p>
      <w:pPr>
        <w:sectPr>
          <w:pgSz w:w="11900" w:h="16838" w:orient="portrait"/>
          <w:cols w:equalWidth="0" w:num="1">
            <w:col w:w="9400"/>
          </w:cols>
          <w:pgMar w:left="1260" w:top="1163" w:right="1246" w:bottom="0" w:gutter="0" w:footer="0" w:header="0"/>
          <w:type w:val="continuous"/>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28: SUBSEQUENT EVENTS</w:t>
      </w:r>
    </w:p>
    <w:p>
      <w:pPr>
        <w:spacing w:after="0" w:line="200"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On March 30, 2026, the Company announced that its Board of Directors had declared a cash dividend of $0.10 per common share, and a cash dividend of $0.10 per notional share for the issued Warrant. The dividend will be payable on May 8, 2026 to shareholders of record on April 17, 2026.</w:t>
      </w:r>
    </w:p>
    <w:p>
      <w:pPr>
        <w:spacing w:after="0" w:line="317" w:lineRule="exact"/>
        <w:rPr>
          <w:sz w:val="20"/>
          <w:szCs w:val="20"/>
          <w:color w:val="auto"/>
        </w:rPr>
      </w:pPr>
    </w:p>
    <w:p>
      <w:pPr>
        <w:ind w:right="540"/>
        <w:spacing w:after="0" w:line="302"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EVALUATION OF DISCLOSURE CONTROLS AND PROCEDURES</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Under the supervision and with the participation of our Chief Executive Officer (“CEO”) and our Chief Financial Officer (“CFO”) (the Company’s principal executive officer and principal financial officer), management conducted an evaluation (the “Evaluation”) of the effectiveness of the design and operation of our disclosure controls and procedures (as defined in Rule 13a-15(e) and 15d-15(e) under the Exchange Act) as of December 31, 2025.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126"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In connection with the filing of the Annual Report on Form 10-K as of December 31, 2025, our CEO and CFO concluded that the design and operation of our disclosure controls and procedures were effective at December 31, 2025.</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INTERNAL CONTROL OVER FINANCIAL REPORTING</w:t>
      </w:r>
    </w:p>
    <w:p>
      <w:pPr>
        <w:spacing w:after="0" w:line="200"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We did not make any changes in internal control over financial reporting during the quarter ended December 31, 2025 that materially affected, or are reasonably likely to materially affect, the Company’s internal control over financial reporting.</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00"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During the fourth quarter of 2025,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22" w:lineRule="exact"/>
        <w:rPr>
          <w:sz w:val="20"/>
          <w:szCs w:val="20"/>
          <w:color w:val="auto"/>
        </w:rPr>
      </w:pPr>
    </w:p>
    <w:p>
      <w:pPr>
        <w:ind w:right="200"/>
        <w:spacing w:after="0" w:line="428" w:lineRule="auto"/>
        <w:rPr>
          <w:sz w:val="20"/>
          <w:szCs w:val="20"/>
          <w:color w:val="auto"/>
        </w:rPr>
      </w:pPr>
      <w:r>
        <w:rPr>
          <w:rFonts w:ascii="Arial" w:cs="Arial" w:eastAsia="Arial" w:hAnsi="Arial"/>
          <w:sz w:val="20"/>
          <w:szCs w:val="20"/>
          <w:b w:val="1"/>
          <w:bCs w:val="1"/>
          <w:color w:val="auto"/>
        </w:rPr>
        <w:t xml:space="preserve">ITEM 9C: DISCLOSURE REGARDING FOREIGN JURISDICTIONS THAT PREVENT INSPECTIONS </w:t>
      </w:r>
      <w:r>
        <w:rPr>
          <w:rFonts w:ascii="Arial" w:cs="Arial" w:eastAsia="Arial" w:hAnsi="Arial"/>
          <w:sz w:val="20"/>
          <w:szCs w:val="20"/>
          <w:color w:val="auto"/>
        </w:rPr>
        <w:t>Not applicable.</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 / 25</w:t>
      </w:r>
    </w:p>
    <w:p>
      <w:pPr>
        <w:sectPr>
          <w:pgSz w:w="11900" w:h="16838" w:orient="portrait"/>
          <w:cols w:equalWidth="0" w:num="1">
            <w:col w:w="9360"/>
          </w:cols>
          <w:pgMar w:left="1260" w:top="1440" w:right="1286" w:bottom="0" w:gutter="0" w:footer="0" w:header="0"/>
          <w:type w:val="continuous"/>
        </w:sectPr>
      </w:pPr>
    </w:p>
    <w:bookmarkStart w:id="256" w:name="page257"/>
    <w:bookmarkEnd w:id="256"/>
    <w:p>
      <w:pPr>
        <w:spacing w:after="0"/>
        <w:rPr>
          <w:sz w:val="20"/>
          <w:szCs w:val="20"/>
          <w:color w:val="auto"/>
        </w:rPr>
      </w:pPr>
      <w:r>
        <w:rPr>
          <w:rFonts w:ascii="Arial" w:cs="Arial" w:eastAsia="Arial" w:hAnsi="Arial"/>
          <w:sz w:val="20"/>
          <w:szCs w:val="20"/>
          <w:b w:val="1"/>
          <w:bCs w:val="1"/>
          <w:color w:val="auto"/>
        </w:rPr>
        <w:t>PART III</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5" w:lineRule="exact"/>
        <w:rPr>
          <w:sz w:val="20"/>
          <w:szCs w:val="20"/>
          <w:color w:val="auto"/>
        </w:rPr>
      </w:pPr>
    </w:p>
    <w:p>
      <w:pPr>
        <w:ind w:left="840" w:hanging="420"/>
        <w:spacing w:after="0" w:line="365"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Information concerning the directors of the Company is incorporated herein by reference to Proposal 1 of the Company’s Proxy Statement for the Annual Meeting of Shareholders.</w:t>
      </w:r>
    </w:p>
    <w:p>
      <w:pPr>
        <w:spacing w:after="0" w:line="140" w:lineRule="exact"/>
        <w:rPr>
          <w:rFonts w:ascii="Arial" w:cs="Arial" w:eastAsia="Arial" w:hAnsi="Arial"/>
          <w:sz w:val="18"/>
          <w:szCs w:val="18"/>
          <w:color w:val="auto"/>
        </w:rPr>
      </w:pPr>
    </w:p>
    <w:p>
      <w:pPr>
        <w:jc w:val="both"/>
        <w:ind w:left="840" w:right="20" w:hanging="420"/>
        <w:spacing w:after="0" w:line="370"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Information concerning the officers and directors compliance with Section 16(a) of the Securities Exchange Act is incorporated herein by reference to the Company’s Proxy Statement for the Annual Meeting of Shareholders under the caption “Delinquent Section 16(a) Reports”.</w:t>
      </w:r>
    </w:p>
    <w:p>
      <w:pPr>
        <w:spacing w:after="0" w:line="136" w:lineRule="exact"/>
        <w:rPr>
          <w:rFonts w:ascii="Arial" w:cs="Arial" w:eastAsia="Arial" w:hAnsi="Arial"/>
          <w:sz w:val="18"/>
          <w:szCs w:val="18"/>
          <w:color w:val="auto"/>
        </w:rPr>
      </w:pPr>
    </w:p>
    <w:p>
      <w:pPr>
        <w:jc w:val="both"/>
        <w:ind w:left="840" w:right="40" w:hanging="420"/>
        <w:spacing w:after="0" w:line="432" w:lineRule="auto"/>
        <w:tabs>
          <w:tab w:leader="none" w:pos="840" w:val="left"/>
        </w:tabs>
        <w:numPr>
          <w:ilvl w:val="0"/>
          <w:numId w:val="32"/>
        </w:numPr>
        <w:rPr>
          <w:rFonts w:ascii="Arial" w:cs="Arial" w:eastAsia="Arial" w:hAnsi="Arial"/>
          <w:sz w:val="16"/>
          <w:szCs w:val="16"/>
          <w:color w:val="auto"/>
        </w:rPr>
      </w:pPr>
      <w:r>
        <w:rPr>
          <w:rFonts w:ascii="Arial" w:cs="Arial" w:eastAsia="Arial" w:hAnsi="Arial"/>
          <w:sz w:val="18"/>
          <w:szCs w:val="18"/>
          <w:color w:val="auto"/>
        </w:rPr>
        <w:t>Information concerning the Company’s Code of Ethics is incorporated herein by reference to the Company’s Proxy Statement for the Annual Meeting of Shareholders under the caption “Code of Ethics”.</w:t>
      </w:r>
    </w:p>
    <w:p>
      <w:pPr>
        <w:spacing w:after="0" w:line="94" w:lineRule="exact"/>
        <w:rPr>
          <w:rFonts w:ascii="Arial" w:cs="Arial" w:eastAsia="Arial" w:hAnsi="Arial"/>
          <w:sz w:val="16"/>
          <w:szCs w:val="16"/>
          <w:color w:val="auto"/>
        </w:rPr>
      </w:pPr>
    </w:p>
    <w:p>
      <w:pPr>
        <w:jc w:val="both"/>
        <w:ind w:left="840" w:hanging="420"/>
        <w:spacing w:after="0" w:line="370"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Information concerning the Company’s Audit Committee and “financial expert” thereof is incorporated herein by reference to the Company’s Proxy Statement for the Annual Meeting of Shareholders under the caption “Audit Committee”.</w:t>
      </w:r>
    </w:p>
    <w:p>
      <w:pPr>
        <w:spacing w:after="0" w:line="136" w:lineRule="exact"/>
        <w:rPr>
          <w:rFonts w:ascii="Arial" w:cs="Arial" w:eastAsia="Arial" w:hAnsi="Arial"/>
          <w:sz w:val="18"/>
          <w:szCs w:val="18"/>
          <w:color w:val="auto"/>
        </w:rPr>
      </w:pPr>
    </w:p>
    <w:p>
      <w:pPr>
        <w:ind w:left="840" w:hanging="420"/>
        <w:spacing w:after="0"/>
        <w:tabs>
          <w:tab w:leader="none" w:pos="840" w:val="left"/>
        </w:tabs>
        <w:numPr>
          <w:ilvl w:val="0"/>
          <w:numId w:val="32"/>
        </w:numPr>
        <w:rPr>
          <w:rFonts w:ascii="Arial" w:cs="Arial" w:eastAsia="Arial" w:hAnsi="Arial"/>
          <w:sz w:val="16"/>
          <w:szCs w:val="16"/>
          <w:color w:val="auto"/>
        </w:rPr>
      </w:pPr>
      <w:r>
        <w:rPr>
          <w:rFonts w:ascii="Arial" w:cs="Arial" w:eastAsia="Arial" w:hAnsi="Arial"/>
          <w:sz w:val="18"/>
          <w:szCs w:val="18"/>
          <w:color w:val="auto"/>
        </w:rPr>
        <w:t>Set forth below is information concerning the Executive Officers of the Company at December 31, 2025.</w:t>
      </w:r>
    </w:p>
    <w:p>
      <w:pPr>
        <w:spacing w:after="0" w:line="340" w:lineRule="exact"/>
        <w:rPr>
          <w:rFonts w:ascii="Arial" w:cs="Arial" w:eastAsia="Arial" w:hAnsi="Arial"/>
          <w:sz w:val="16"/>
          <w:szCs w:val="16"/>
          <w:color w:val="auto"/>
        </w:rPr>
      </w:pPr>
    </w:p>
    <w:p>
      <w:pPr>
        <w:ind w:left="4520" w:hanging="120"/>
        <w:spacing w:after="0"/>
        <w:tabs>
          <w:tab w:leader="none" w:pos="4520" w:val="left"/>
        </w:tabs>
        <w:numPr>
          <w:ilvl w:val="1"/>
          <w:numId w:val="32"/>
        </w:numPr>
        <w:rPr>
          <w:rFonts w:ascii="Arial" w:cs="Arial" w:eastAsia="Arial" w:hAnsi="Arial"/>
          <w:sz w:val="22"/>
          <w:szCs w:val="22"/>
          <w:color w:val="auto"/>
        </w:rPr>
      </w:pPr>
      <w:r>
        <w:rPr>
          <w:rFonts w:ascii="Arial" w:cs="Arial" w:eastAsia="Arial" w:hAnsi="Arial"/>
          <w:sz w:val="22"/>
          <w:szCs w:val="22"/>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5967730" cy="190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 / 25</w:t>
      </w:r>
    </w:p>
    <w:p>
      <w:pPr>
        <w:sectPr>
          <w:pgSz w:w="11900" w:h="16838" w:orient="portrait"/>
          <w:cols w:equalWidth="0" w:num="1">
            <w:col w:w="9340"/>
          </w:cols>
          <w:pgMar w:left="1260" w:top="1163" w:right="1306" w:bottom="0" w:gutter="0" w:footer="0" w:header="0"/>
          <w:type w:val="continuous"/>
        </w:sectPr>
      </w:pPr>
    </w:p>
    <w:bookmarkStart w:id="257" w:name="page258"/>
    <w:bookmarkEnd w:id="2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2760" w:type="dxa"/>
            <w:vAlign w:val="bottom"/>
          </w:tcPr>
          <w:p>
            <w:pPr>
              <w:ind w:left="1460"/>
              <w:spacing w:after="0"/>
              <w:rPr>
                <w:sz w:val="20"/>
                <w:szCs w:val="20"/>
                <w:color w:val="auto"/>
              </w:rPr>
            </w:pPr>
            <w:r>
              <w:rPr>
                <w:rFonts w:ascii="Arial" w:cs="Arial" w:eastAsia="Arial" w:hAnsi="Arial"/>
                <w:sz w:val="20"/>
                <w:szCs w:val="20"/>
                <w:b w:val="1"/>
                <w:bCs w:val="1"/>
                <w:color w:val="auto"/>
              </w:rPr>
              <w:t>Name</w:t>
            </w:r>
          </w:p>
        </w:tc>
        <w:tc>
          <w:tcPr>
            <w:tcW w:w="1220" w:type="dxa"/>
            <w:vAlign w:val="bottom"/>
          </w:tcPr>
          <w:p>
            <w:pPr>
              <w:jc w:val="center"/>
              <w:ind w:left="620"/>
              <w:spacing w:after="0"/>
              <w:rPr>
                <w:sz w:val="20"/>
                <w:szCs w:val="20"/>
                <w:color w:val="auto"/>
              </w:rPr>
            </w:pPr>
            <w:r>
              <w:rPr>
                <w:rFonts w:ascii="Arial" w:cs="Arial" w:eastAsia="Arial" w:hAnsi="Arial"/>
                <w:sz w:val="20"/>
                <w:szCs w:val="20"/>
                <w:b w:val="1"/>
                <w:bCs w:val="1"/>
                <w:color w:val="auto"/>
                <w:w w:val="89"/>
              </w:rPr>
              <w:t>Age</w:t>
            </w:r>
          </w:p>
        </w:tc>
        <w:tc>
          <w:tcPr>
            <w:tcW w:w="5420" w:type="dxa"/>
            <w:vAlign w:val="bottom"/>
          </w:tcPr>
          <w:p>
            <w:pPr>
              <w:ind w:left="1280"/>
              <w:spacing w:after="0"/>
              <w:rPr>
                <w:sz w:val="20"/>
                <w:szCs w:val="20"/>
                <w:color w:val="auto"/>
              </w:rPr>
            </w:pPr>
            <w:r>
              <w:rPr>
                <w:rFonts w:ascii="Arial" w:cs="Arial" w:eastAsia="Arial" w:hAnsi="Arial"/>
                <w:sz w:val="20"/>
                <w:szCs w:val="20"/>
                <w:b w:val="1"/>
                <w:bCs w:val="1"/>
                <w:color w:val="auto"/>
              </w:rPr>
              <w:t>Positions Held With the Company</w:t>
            </w:r>
          </w:p>
        </w:tc>
      </w:tr>
      <w:tr>
        <w:trPr>
          <w:trHeight w:val="51"/>
        </w:trPr>
        <w:tc>
          <w:tcPr>
            <w:tcW w:w="2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420" w:type="dxa"/>
            <w:vAlign w:val="bottom"/>
          </w:tcPr>
          <w:p>
            <w:pPr>
              <w:spacing w:after="0"/>
              <w:rPr>
                <w:sz w:val="4"/>
                <w:szCs w:val="4"/>
                <w:color w:val="auto"/>
              </w:rPr>
            </w:pPr>
          </w:p>
        </w:tc>
      </w:tr>
      <w:tr>
        <w:trPr>
          <w:trHeight w:val="29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James A. Dowd, CPA</w:t>
            </w:r>
          </w:p>
        </w:tc>
        <w:tc>
          <w:tcPr>
            <w:tcW w:w="1220" w:type="dxa"/>
            <w:vAlign w:val="bottom"/>
            <w:tcBorders>
              <w:bottom w:val="single" w:sz="8" w:color="CFF0FC"/>
            </w:tcBorders>
            <w:shd w:val="clear" w:color="auto" w:fill="CFF0FC"/>
          </w:tcPr>
          <w:p>
            <w:pPr>
              <w:jc w:val="center"/>
              <w:ind w:left="600"/>
              <w:spacing w:after="0"/>
              <w:rPr>
                <w:sz w:val="20"/>
                <w:szCs w:val="20"/>
                <w:color w:val="auto"/>
              </w:rPr>
            </w:pPr>
            <w:r>
              <w:rPr>
                <w:rFonts w:ascii="Arial" w:cs="Arial" w:eastAsia="Arial" w:hAnsi="Arial"/>
                <w:sz w:val="20"/>
                <w:szCs w:val="20"/>
                <w:color w:val="auto"/>
                <w:w w:val="89"/>
              </w:rPr>
              <w:t>58</w:t>
            </w:r>
          </w:p>
        </w:tc>
        <w:tc>
          <w:tcPr>
            <w:tcW w:w="54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President and Chief Executive Officer</w:t>
            </w:r>
          </w:p>
        </w:tc>
      </w:tr>
      <w:tr>
        <w:trPr>
          <w:trHeight w:val="274"/>
        </w:trPr>
        <w:tc>
          <w:tcPr>
            <w:tcW w:w="2760" w:type="dxa"/>
            <w:vAlign w:val="bottom"/>
          </w:tcPr>
          <w:p>
            <w:pPr>
              <w:spacing w:after="0"/>
              <w:rPr>
                <w:sz w:val="20"/>
                <w:szCs w:val="20"/>
                <w:color w:val="auto"/>
              </w:rPr>
            </w:pPr>
            <w:r>
              <w:rPr>
                <w:rFonts w:ascii="Arial" w:cs="Arial" w:eastAsia="Arial" w:hAnsi="Arial"/>
                <w:sz w:val="20"/>
                <w:szCs w:val="20"/>
                <w:color w:val="auto"/>
              </w:rPr>
              <w:t>Justin K. Bigham, CPA</w:t>
            </w:r>
          </w:p>
        </w:tc>
        <w:tc>
          <w:tcPr>
            <w:tcW w:w="1220" w:type="dxa"/>
            <w:vAlign w:val="bottom"/>
          </w:tcPr>
          <w:p>
            <w:pPr>
              <w:jc w:val="center"/>
              <w:ind w:left="600"/>
              <w:spacing w:after="0"/>
              <w:rPr>
                <w:sz w:val="20"/>
                <w:szCs w:val="20"/>
                <w:color w:val="auto"/>
              </w:rPr>
            </w:pPr>
            <w:r>
              <w:rPr>
                <w:rFonts w:ascii="Arial" w:cs="Arial" w:eastAsia="Arial" w:hAnsi="Arial"/>
                <w:sz w:val="20"/>
                <w:szCs w:val="20"/>
                <w:color w:val="auto"/>
                <w:w w:val="89"/>
              </w:rPr>
              <w:t>52</w:t>
            </w:r>
          </w:p>
        </w:tc>
        <w:tc>
          <w:tcPr>
            <w:tcW w:w="5420" w:type="dxa"/>
            <w:vAlign w:val="bottom"/>
          </w:tcPr>
          <w:p>
            <w:pPr>
              <w:ind w:left="100"/>
              <w:spacing w:after="0"/>
              <w:rPr>
                <w:sz w:val="20"/>
                <w:szCs w:val="20"/>
                <w:color w:val="auto"/>
              </w:rPr>
            </w:pPr>
            <w:r>
              <w:rPr>
                <w:rFonts w:ascii="Arial" w:cs="Arial" w:eastAsia="Arial" w:hAnsi="Arial"/>
                <w:sz w:val="20"/>
                <w:szCs w:val="20"/>
                <w:color w:val="auto"/>
              </w:rPr>
              <w:t>Executive Vice President, Chief Financial Officer</w:t>
            </w:r>
          </w:p>
        </w:tc>
      </w:tr>
      <w:tr>
        <w:trPr>
          <w:trHeight w:val="41"/>
        </w:trPr>
        <w:tc>
          <w:tcPr>
            <w:tcW w:w="2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20" w:type="dxa"/>
            <w:vAlign w:val="bottom"/>
          </w:tcPr>
          <w:p>
            <w:pPr>
              <w:spacing w:after="0"/>
              <w:rPr>
                <w:sz w:val="3"/>
                <w:szCs w:val="3"/>
                <w:color w:val="auto"/>
              </w:rPr>
            </w:pPr>
          </w:p>
        </w:tc>
      </w:tr>
      <w:tr>
        <w:trPr>
          <w:trHeight w:val="29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Robert G. Butkowski</w:t>
            </w:r>
          </w:p>
        </w:tc>
        <w:tc>
          <w:tcPr>
            <w:tcW w:w="1220" w:type="dxa"/>
            <w:vAlign w:val="bottom"/>
            <w:tcBorders>
              <w:bottom w:val="single" w:sz="8" w:color="CFF0FC"/>
            </w:tcBorders>
            <w:shd w:val="clear" w:color="auto" w:fill="CFF0FC"/>
          </w:tcPr>
          <w:p>
            <w:pPr>
              <w:jc w:val="center"/>
              <w:ind w:left="600"/>
              <w:spacing w:after="0"/>
              <w:rPr>
                <w:sz w:val="20"/>
                <w:szCs w:val="20"/>
                <w:color w:val="auto"/>
              </w:rPr>
            </w:pPr>
            <w:r>
              <w:rPr>
                <w:rFonts w:ascii="Arial" w:cs="Arial" w:eastAsia="Arial" w:hAnsi="Arial"/>
                <w:sz w:val="20"/>
                <w:szCs w:val="20"/>
                <w:color w:val="auto"/>
                <w:w w:val="89"/>
              </w:rPr>
              <w:t>50</w:t>
            </w:r>
          </w:p>
        </w:tc>
        <w:tc>
          <w:tcPr>
            <w:tcW w:w="54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Senior Vice President, Chief Operating Officer</w:t>
            </w:r>
          </w:p>
        </w:tc>
      </w:tr>
      <w:tr>
        <w:trPr>
          <w:trHeight w:val="274"/>
        </w:trPr>
        <w:tc>
          <w:tcPr>
            <w:tcW w:w="2760" w:type="dxa"/>
            <w:vAlign w:val="bottom"/>
          </w:tcPr>
          <w:p>
            <w:pPr>
              <w:spacing w:after="0"/>
              <w:rPr>
                <w:sz w:val="20"/>
                <w:szCs w:val="20"/>
                <w:color w:val="auto"/>
              </w:rPr>
            </w:pPr>
            <w:r>
              <w:rPr>
                <w:rFonts w:ascii="Arial" w:cs="Arial" w:eastAsia="Arial" w:hAnsi="Arial"/>
                <w:sz w:val="20"/>
                <w:szCs w:val="20"/>
                <w:color w:val="auto"/>
              </w:rPr>
              <w:t>Joseph P. McManus</w:t>
            </w:r>
          </w:p>
        </w:tc>
        <w:tc>
          <w:tcPr>
            <w:tcW w:w="1220" w:type="dxa"/>
            <w:vAlign w:val="bottom"/>
          </w:tcPr>
          <w:p>
            <w:pPr>
              <w:jc w:val="center"/>
              <w:ind w:left="600"/>
              <w:spacing w:after="0"/>
              <w:rPr>
                <w:sz w:val="20"/>
                <w:szCs w:val="20"/>
                <w:color w:val="auto"/>
              </w:rPr>
            </w:pPr>
            <w:r>
              <w:rPr>
                <w:rFonts w:ascii="Arial" w:cs="Arial" w:eastAsia="Arial" w:hAnsi="Arial"/>
                <w:sz w:val="20"/>
                <w:szCs w:val="20"/>
                <w:color w:val="auto"/>
                <w:w w:val="89"/>
              </w:rPr>
              <w:t>44</w:t>
            </w:r>
          </w:p>
        </w:tc>
        <w:tc>
          <w:tcPr>
            <w:tcW w:w="5420" w:type="dxa"/>
            <w:vAlign w:val="bottom"/>
          </w:tcPr>
          <w:p>
            <w:pPr>
              <w:ind w:left="100"/>
              <w:spacing w:after="0"/>
              <w:rPr>
                <w:sz w:val="20"/>
                <w:szCs w:val="20"/>
                <w:color w:val="auto"/>
              </w:rPr>
            </w:pPr>
            <w:r>
              <w:rPr>
                <w:rFonts w:ascii="Arial" w:cs="Arial" w:eastAsia="Arial" w:hAnsi="Arial"/>
                <w:sz w:val="20"/>
                <w:szCs w:val="20"/>
                <w:color w:val="auto"/>
              </w:rPr>
              <w:t>Senior Vice President, Chief Information Officer</w:t>
            </w:r>
          </w:p>
        </w:tc>
      </w:tr>
      <w:tr>
        <w:trPr>
          <w:trHeight w:val="41"/>
        </w:trPr>
        <w:tc>
          <w:tcPr>
            <w:tcW w:w="2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20" w:type="dxa"/>
            <w:vAlign w:val="bottom"/>
          </w:tcPr>
          <w:p>
            <w:pPr>
              <w:spacing w:after="0"/>
              <w:rPr>
                <w:sz w:val="3"/>
                <w:szCs w:val="3"/>
                <w:color w:val="auto"/>
              </w:rPr>
            </w:pPr>
          </w:p>
        </w:tc>
      </w:tr>
      <w:tr>
        <w:trPr>
          <w:trHeight w:val="29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William D. O' Brien</w:t>
            </w:r>
          </w:p>
        </w:tc>
        <w:tc>
          <w:tcPr>
            <w:tcW w:w="1220" w:type="dxa"/>
            <w:vAlign w:val="bottom"/>
            <w:tcBorders>
              <w:bottom w:val="single" w:sz="8" w:color="CFF0FC"/>
            </w:tcBorders>
            <w:shd w:val="clear" w:color="auto" w:fill="CFF0FC"/>
          </w:tcPr>
          <w:p>
            <w:pPr>
              <w:jc w:val="center"/>
              <w:ind w:left="600"/>
              <w:spacing w:after="0"/>
              <w:rPr>
                <w:sz w:val="20"/>
                <w:szCs w:val="20"/>
                <w:color w:val="auto"/>
              </w:rPr>
            </w:pPr>
            <w:r>
              <w:rPr>
                <w:rFonts w:ascii="Arial" w:cs="Arial" w:eastAsia="Arial" w:hAnsi="Arial"/>
                <w:sz w:val="20"/>
                <w:szCs w:val="20"/>
                <w:color w:val="auto"/>
                <w:w w:val="89"/>
              </w:rPr>
              <w:t>60</w:t>
            </w:r>
          </w:p>
        </w:tc>
        <w:tc>
          <w:tcPr>
            <w:tcW w:w="54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Senior Vice President, Chief Risk Officer</w:t>
            </w:r>
          </w:p>
        </w:tc>
      </w:tr>
      <w:tr>
        <w:trPr>
          <w:trHeight w:val="274"/>
        </w:trPr>
        <w:tc>
          <w:tcPr>
            <w:tcW w:w="2760" w:type="dxa"/>
            <w:vAlign w:val="bottom"/>
          </w:tcPr>
          <w:p>
            <w:pPr>
              <w:spacing w:after="0"/>
              <w:rPr>
                <w:sz w:val="20"/>
                <w:szCs w:val="20"/>
                <w:color w:val="auto"/>
              </w:rPr>
            </w:pPr>
            <w:r>
              <w:rPr>
                <w:rFonts w:ascii="Arial" w:cs="Arial" w:eastAsia="Arial" w:hAnsi="Arial"/>
                <w:sz w:val="20"/>
                <w:szCs w:val="20"/>
                <w:color w:val="auto"/>
              </w:rPr>
              <w:t>Joseph Polniak</w:t>
            </w:r>
          </w:p>
        </w:tc>
        <w:tc>
          <w:tcPr>
            <w:tcW w:w="1220" w:type="dxa"/>
            <w:vAlign w:val="bottom"/>
          </w:tcPr>
          <w:p>
            <w:pPr>
              <w:jc w:val="center"/>
              <w:ind w:left="600"/>
              <w:spacing w:after="0"/>
              <w:rPr>
                <w:sz w:val="20"/>
                <w:szCs w:val="20"/>
                <w:color w:val="auto"/>
              </w:rPr>
            </w:pPr>
            <w:r>
              <w:rPr>
                <w:rFonts w:ascii="Arial" w:cs="Arial" w:eastAsia="Arial" w:hAnsi="Arial"/>
                <w:sz w:val="20"/>
                <w:szCs w:val="20"/>
                <w:color w:val="auto"/>
                <w:w w:val="89"/>
              </w:rPr>
              <w:t>43</w:t>
            </w:r>
          </w:p>
        </w:tc>
        <w:tc>
          <w:tcPr>
            <w:tcW w:w="5420" w:type="dxa"/>
            <w:vAlign w:val="bottom"/>
          </w:tcPr>
          <w:p>
            <w:pPr>
              <w:ind w:left="100"/>
              <w:spacing w:after="0"/>
              <w:rPr>
                <w:sz w:val="20"/>
                <w:szCs w:val="20"/>
                <w:color w:val="auto"/>
              </w:rPr>
            </w:pPr>
            <w:r>
              <w:rPr>
                <w:rFonts w:ascii="Arial" w:cs="Arial" w:eastAsia="Arial" w:hAnsi="Arial"/>
                <w:sz w:val="20"/>
                <w:szCs w:val="20"/>
                <w:color w:val="auto"/>
                <w:w w:val="98"/>
              </w:rPr>
              <w:t>First Vice President, General Counsel &amp; Corporate Secretary</w:t>
            </w:r>
          </w:p>
        </w:tc>
      </w:tr>
      <w:tr>
        <w:trPr>
          <w:trHeight w:val="41"/>
        </w:trPr>
        <w:tc>
          <w:tcPr>
            <w:tcW w:w="2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20" w:type="dxa"/>
            <w:vAlign w:val="bottom"/>
          </w:tcPr>
          <w:p>
            <w:pPr>
              <w:spacing w:after="0"/>
              <w:rPr>
                <w:sz w:val="3"/>
                <w:szCs w:val="3"/>
                <w:color w:val="auto"/>
              </w:rPr>
            </w:pPr>
          </w:p>
        </w:tc>
      </w:tr>
      <w:tr>
        <w:trPr>
          <w:trHeight w:val="29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Joseph F. Serbun</w:t>
            </w:r>
          </w:p>
        </w:tc>
        <w:tc>
          <w:tcPr>
            <w:tcW w:w="1220" w:type="dxa"/>
            <w:vAlign w:val="bottom"/>
            <w:tcBorders>
              <w:bottom w:val="single" w:sz="8" w:color="CFF0FC"/>
            </w:tcBorders>
            <w:shd w:val="clear" w:color="auto" w:fill="CFF0FC"/>
          </w:tcPr>
          <w:p>
            <w:pPr>
              <w:jc w:val="center"/>
              <w:ind w:left="600"/>
              <w:spacing w:after="0"/>
              <w:rPr>
                <w:sz w:val="20"/>
                <w:szCs w:val="20"/>
                <w:color w:val="auto"/>
              </w:rPr>
            </w:pPr>
            <w:r>
              <w:rPr>
                <w:rFonts w:ascii="Arial" w:cs="Arial" w:eastAsia="Arial" w:hAnsi="Arial"/>
                <w:sz w:val="20"/>
                <w:szCs w:val="20"/>
                <w:color w:val="auto"/>
                <w:w w:val="89"/>
              </w:rPr>
              <w:t>65</w:t>
            </w:r>
          </w:p>
        </w:tc>
        <w:tc>
          <w:tcPr>
            <w:tcW w:w="54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Senior Vice President, Chief Credit Officer</w:t>
            </w:r>
          </w:p>
        </w:tc>
      </w:tr>
      <w:tr>
        <w:trPr>
          <w:trHeight w:val="274"/>
        </w:trPr>
        <w:tc>
          <w:tcPr>
            <w:tcW w:w="2760" w:type="dxa"/>
            <w:vAlign w:val="bottom"/>
          </w:tcPr>
          <w:p>
            <w:pPr>
              <w:spacing w:after="0"/>
              <w:rPr>
                <w:sz w:val="20"/>
                <w:szCs w:val="20"/>
                <w:color w:val="auto"/>
              </w:rPr>
            </w:pPr>
            <w:r>
              <w:rPr>
                <w:rFonts w:ascii="Arial" w:cs="Arial" w:eastAsia="Arial" w:hAnsi="Arial"/>
                <w:sz w:val="20"/>
                <w:szCs w:val="20"/>
                <w:color w:val="auto"/>
              </w:rPr>
              <w:t>Ronald G. Tascarella</w:t>
            </w:r>
          </w:p>
        </w:tc>
        <w:tc>
          <w:tcPr>
            <w:tcW w:w="1220" w:type="dxa"/>
            <w:vAlign w:val="bottom"/>
          </w:tcPr>
          <w:p>
            <w:pPr>
              <w:jc w:val="center"/>
              <w:ind w:left="600"/>
              <w:spacing w:after="0"/>
              <w:rPr>
                <w:sz w:val="20"/>
                <w:szCs w:val="20"/>
                <w:color w:val="auto"/>
              </w:rPr>
            </w:pPr>
            <w:r>
              <w:rPr>
                <w:rFonts w:ascii="Arial" w:cs="Arial" w:eastAsia="Arial" w:hAnsi="Arial"/>
                <w:sz w:val="20"/>
                <w:szCs w:val="20"/>
                <w:color w:val="auto"/>
                <w:w w:val="89"/>
              </w:rPr>
              <w:t>41</w:t>
            </w:r>
          </w:p>
        </w:tc>
        <w:tc>
          <w:tcPr>
            <w:tcW w:w="5420" w:type="dxa"/>
            <w:vAlign w:val="bottom"/>
          </w:tcPr>
          <w:p>
            <w:pPr>
              <w:ind w:left="100"/>
              <w:spacing w:after="0"/>
              <w:rPr>
                <w:sz w:val="20"/>
                <w:szCs w:val="20"/>
                <w:color w:val="auto"/>
              </w:rPr>
            </w:pPr>
            <w:r>
              <w:rPr>
                <w:rFonts w:ascii="Arial" w:cs="Arial" w:eastAsia="Arial" w:hAnsi="Arial"/>
                <w:sz w:val="20"/>
                <w:szCs w:val="20"/>
                <w:color w:val="auto"/>
              </w:rPr>
              <w:t>Senior Vice President, Chief Lending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-1577340</wp:posOffset>
            </wp:positionV>
            <wp:extent cx="5967730" cy="63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11: EXECUTIVE COMPENSATION</w:t>
      </w:r>
    </w:p>
    <w:p>
      <w:pPr>
        <w:spacing w:after="0" w:line="245" w:lineRule="exact"/>
        <w:rPr>
          <w:sz w:val="20"/>
          <w:szCs w:val="20"/>
          <w:color w:val="auto"/>
        </w:rPr>
      </w:pPr>
    </w:p>
    <w:p>
      <w:pPr>
        <w:ind w:left="466" w:right="20" w:hanging="466"/>
        <w:spacing w:after="0" w:line="370" w:lineRule="auto"/>
        <w:tabs>
          <w:tab w:leader="none" w:pos="466"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Information with respect to management compensation and transactions required under this item is incorporated by reference hereunder in the Company's Proxy Materials for the Annual Meeting of Shareholders under the caption "Compensation Committee".</w:t>
      </w:r>
    </w:p>
    <w:p>
      <w:pPr>
        <w:spacing w:after="0" w:line="136" w:lineRule="exact"/>
        <w:rPr>
          <w:rFonts w:ascii="Arial" w:cs="Arial" w:eastAsia="Arial" w:hAnsi="Arial"/>
          <w:sz w:val="20"/>
          <w:szCs w:val="20"/>
          <w:color w:val="auto"/>
        </w:rPr>
      </w:pPr>
    </w:p>
    <w:p>
      <w:pPr>
        <w:ind w:left="466" w:right="80" w:hanging="466"/>
        <w:spacing w:after="0" w:line="397" w:lineRule="auto"/>
        <w:tabs>
          <w:tab w:leader="none" w:pos="466"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Information concerning director compensation is incorporated herein by reference to the Company’s Proxy Statement for the Annual Meeting of Shareholders under the caption “Directors Compensation”.</w:t>
      </w:r>
    </w:p>
    <w:p>
      <w:pPr>
        <w:spacing w:after="0" w:line="192" w:lineRule="exact"/>
        <w:rPr>
          <w:sz w:val="20"/>
          <w:szCs w:val="20"/>
          <w:color w:val="auto"/>
        </w:rPr>
      </w:pPr>
    </w:p>
    <w:p>
      <w:pPr>
        <w:jc w:val="both"/>
        <w:ind w:left="6" w:right="60"/>
        <w:spacing w:after="0" w:line="302"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41" w:lineRule="exact"/>
        <w:rPr>
          <w:sz w:val="20"/>
          <w:szCs w:val="20"/>
          <w:color w:val="auto"/>
        </w:rPr>
      </w:pPr>
    </w:p>
    <w:p>
      <w:pPr>
        <w:jc w:val="both"/>
        <w:ind w:left="6" w:right="60"/>
        <w:spacing w:after="0" w:line="331" w:lineRule="auto"/>
        <w:rPr>
          <w:sz w:val="20"/>
          <w:szCs w:val="20"/>
          <w:color w:val="auto"/>
        </w:rPr>
      </w:pPr>
      <w:r>
        <w:rPr>
          <w:rFonts w:ascii="Arial" w:cs="Arial" w:eastAsia="Arial" w:hAnsi="Arial"/>
          <w:sz w:val="19"/>
          <w:szCs w:val="19"/>
          <w:color w:val="auto"/>
        </w:rPr>
        <w:t>The information required by this item is incorporated by reference hereunder in the Company’s Proxy Materials for the Annual Meeting of Shareholders under the caption "Voting Securities and Principal Holders Thereof."</w:t>
      </w:r>
    </w:p>
    <w:p>
      <w:pPr>
        <w:spacing w:after="0" w:line="237" w:lineRule="exact"/>
        <w:rPr>
          <w:sz w:val="20"/>
          <w:szCs w:val="20"/>
          <w:color w:val="auto"/>
        </w:rPr>
      </w:pPr>
    </w:p>
    <w:p>
      <w:pPr>
        <w:ind w:left="6" w:right="180"/>
        <w:spacing w:after="0" w:line="302" w:lineRule="auto"/>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41" w:lineRule="exact"/>
        <w:rPr>
          <w:sz w:val="20"/>
          <w:szCs w:val="20"/>
          <w:color w:val="auto"/>
        </w:rPr>
      </w:pPr>
    </w:p>
    <w:p>
      <w:pPr>
        <w:jc w:val="both"/>
        <w:ind w:left="6" w:right="60"/>
        <w:spacing w:after="0" w:line="307" w:lineRule="auto"/>
        <w:rPr>
          <w:sz w:val="20"/>
          <w:szCs w:val="20"/>
          <w:color w:val="auto"/>
        </w:rPr>
      </w:pPr>
      <w:r>
        <w:rPr>
          <w:rFonts w:ascii="Arial" w:cs="Arial" w:eastAsia="Arial" w:hAnsi="Arial"/>
          <w:sz w:val="20"/>
          <w:szCs w:val="20"/>
          <w:color w:val="auto"/>
        </w:rPr>
        <w:t>The information required by this item is incorporated by reference hereunder in the Company’s Proxy Materials for the Annual Meeting of Shareholders under the captions “Independence and Diversity of Directors” and "Transactions with Certain Related Persons”.</w:t>
      </w:r>
    </w:p>
    <w:p>
      <w:pPr>
        <w:spacing w:after="0" w:line="24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00" w:lineRule="exact"/>
        <w:rPr>
          <w:sz w:val="20"/>
          <w:szCs w:val="20"/>
          <w:color w:val="auto"/>
        </w:rPr>
      </w:pPr>
    </w:p>
    <w:p>
      <w:pPr>
        <w:jc w:val="both"/>
        <w:ind w:left="6" w:right="60"/>
        <w:spacing w:after="0" w:line="307" w:lineRule="auto"/>
        <w:rPr>
          <w:sz w:val="20"/>
          <w:szCs w:val="20"/>
          <w:color w:val="auto"/>
        </w:rPr>
      </w:pPr>
      <w:r>
        <w:rPr>
          <w:rFonts w:ascii="Arial" w:cs="Arial" w:eastAsia="Arial" w:hAnsi="Arial"/>
          <w:sz w:val="20"/>
          <w:szCs w:val="20"/>
          <w:color w:val="auto"/>
        </w:rPr>
        <w:t>Our independent registered public accounting firm is Bonadio &amp; Co., LLP, Syracuse, NY, Auditor Firm ID 1884. The information required by this item is incorporated by reference hereunder in the Company’s Proxy Materials for the Annual Meeting of Shareholders under the caption "Audit and Related Fees".</w:t>
      </w: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22"/>
          <w:szCs w:val="22"/>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561975</wp:posOffset>
            </wp:positionV>
            <wp:extent cx="5967730" cy="190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16 / 25</w:t>
      </w:r>
    </w:p>
    <w:p>
      <w:pPr>
        <w:sectPr>
          <w:pgSz w:w="11900" w:h="16838" w:orient="portrait"/>
          <w:cols w:equalWidth="0" w:num="1">
            <w:col w:w="9406"/>
          </w:cols>
          <w:pgMar w:left="1254" w:top="1440" w:right="1246" w:bottom="0" w:gutter="0" w:footer="0" w:header="0"/>
          <w:type w:val="continuous"/>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PART IV</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00" w:lineRule="exact"/>
        <w:rPr>
          <w:sz w:val="20"/>
          <w:szCs w:val="20"/>
          <w:color w:val="auto"/>
        </w:rPr>
      </w:pPr>
    </w:p>
    <w:p>
      <w:pPr>
        <w:spacing w:after="0" w:line="210" w:lineRule="exact"/>
        <w:rPr>
          <w:sz w:val="20"/>
          <w:szCs w:val="20"/>
          <w:color w:val="auto"/>
        </w:rPr>
      </w:pPr>
    </w:p>
    <w:p>
      <w:pPr>
        <w:jc w:val="both"/>
        <w:ind w:left="946" w:hanging="939"/>
        <w:spacing w:after="0" w:line="355" w:lineRule="auto"/>
        <w:tabs>
          <w:tab w:leader="none" w:pos="926"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u w:val="single" w:color="auto"/>
          <w:color w:val="0000FF"/>
        </w:rPr>
        <w:t>Financial Statements - The Company’s consolidated financial statements, for the years ended December 31, 2025 and 2024, together with the Report of Independent Registered Public Accounting Firm are filed as part of this Form 10-K report. See “Item 8: Financial Statements and Supplementary Data.”</w:t>
      </w:r>
    </w:p>
    <w:p>
      <w:pPr>
        <w:spacing w:after="0" w:line="162" w:lineRule="exact"/>
        <w:rPr>
          <w:sz w:val="20"/>
          <w:szCs w:val="20"/>
          <w:color w:val="auto"/>
        </w:rPr>
      </w:pPr>
    </w:p>
    <w:p>
      <w:pPr>
        <w:jc w:val="both"/>
        <w:ind w:left="946" w:right="360" w:hanging="939"/>
        <w:spacing w:after="0" w:line="398" w:lineRule="auto"/>
        <w:tabs>
          <w:tab w:leader="none" w:pos="926"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7"/>
          <w:szCs w:val="17"/>
          <w:u w:val="single" w:color="auto"/>
          <w:color w:val="0000FF"/>
        </w:rPr>
        <w:t>Financial Statement Schedules - All financial statement schedules have been omitted as the required information is inapplicable or has been included in “Item 7: Management Discussion and Analysis.”</w:t>
      </w:r>
    </w:p>
    <w:p>
      <w:pPr>
        <w:spacing w:after="0" w:line="122" w:lineRule="exact"/>
        <w:rPr>
          <w:sz w:val="20"/>
          <w:szCs w:val="20"/>
          <w:color w:val="auto"/>
        </w:rPr>
      </w:pPr>
    </w:p>
    <w:p>
      <w:pPr>
        <w:ind w:left="946" w:hanging="946"/>
        <w:spacing w:after="0"/>
        <w:tabs>
          <w:tab w:leader="none" w:pos="946" w:val="left"/>
        </w:tabs>
        <w:numPr>
          <w:ilvl w:val="0"/>
          <w:numId w:val="34"/>
        </w:numPr>
        <w:rPr>
          <w:rFonts w:ascii="Arial" w:cs="Arial" w:eastAsia="Arial" w:hAnsi="Arial"/>
          <w:sz w:val="20"/>
          <w:szCs w:val="20"/>
          <w:color w:val="auto"/>
        </w:rPr>
      </w:pPr>
      <w:r>
        <w:rPr>
          <w:rFonts w:ascii="Arial" w:cs="Arial" w:eastAsia="Arial" w:hAnsi="Arial"/>
          <w:sz w:val="20"/>
          <w:szCs w:val="20"/>
          <w:color w:val="auto"/>
        </w:rPr>
        <w:t>Exhibits</w:t>
      </w:r>
    </w:p>
    <w:p>
      <w:pPr>
        <w:spacing w:after="0" w:line="260" w:lineRule="exact"/>
        <w:rPr>
          <w:sz w:val="20"/>
          <w:szCs w:val="20"/>
          <w:color w:val="auto"/>
        </w:rPr>
      </w:pPr>
    </w:p>
    <w:p>
      <w:pPr>
        <w:jc w:val="both"/>
        <w:ind w:left="946" w:right="80" w:hanging="839"/>
        <w:spacing w:after="0" w:line="307" w:lineRule="auto"/>
        <w:tabs>
          <w:tab w:leader="none" w:pos="926" w:val="left"/>
        </w:tabs>
        <w:rPr>
          <w:rFonts w:ascii="Arial" w:cs="Arial" w:eastAsia="Arial" w:hAnsi="Arial"/>
          <w:sz w:val="20"/>
          <w:szCs w:val="20"/>
          <w:u w:val="single" w:color="auto"/>
          <w:color w:val="0000FF"/>
        </w:rPr>
      </w:pPr>
      <w:r>
        <w:rPr>
          <w:rFonts w:ascii="Arial" w:cs="Arial" w:eastAsia="Arial" w:hAnsi="Arial"/>
          <w:sz w:val="20"/>
          <w:szCs w:val="20"/>
          <w:color w:val="auto"/>
        </w:rPr>
        <w:t>3.1</w:t>
      </w:r>
      <w:r>
        <w:rPr>
          <w:sz w:val="20"/>
          <w:szCs w:val="20"/>
          <w:color w:val="auto"/>
        </w:rPr>
        <w:tab/>
      </w:r>
      <w:hyperlink r:id="rId827">
        <w:r>
          <w:rPr>
            <w:rFonts w:ascii="Arial" w:cs="Arial" w:eastAsia="Arial" w:hAnsi="Arial"/>
            <w:sz w:val="20"/>
            <w:szCs w:val="20"/>
            <w:u w:val="single" w:color="auto"/>
            <w:color w:val="0000FF"/>
          </w:rPr>
          <w:t>Articles of Incorporation of Pathfinder Bancorp, Inc. (Incorporated herein by reference to Exhibit 3.1 to</w:t>
        </w:r>
      </w:hyperlink>
      <w:r>
        <w:rPr>
          <w:rFonts w:ascii="Arial" w:cs="Arial" w:eastAsia="Arial" w:hAnsi="Arial"/>
          <w:sz w:val="20"/>
          <w:szCs w:val="20"/>
          <w:u w:val="single" w:color="auto"/>
          <w:color w:val="0000FF"/>
        </w:rPr>
        <w:t xml:space="preserve"> </w:t>
      </w:r>
      <w:hyperlink r:id="rId827">
        <w:r>
          <w:rPr>
            <w:rFonts w:ascii="Arial" w:cs="Arial" w:eastAsia="Arial" w:hAnsi="Arial"/>
            <w:sz w:val="20"/>
            <w:szCs w:val="20"/>
            <w:u w:val="single" w:color="auto"/>
            <w:color w:val="0000FF"/>
          </w:rPr>
          <w:t>Pathfinder Bancorp, Inc.’s Registration Statement on Form S-1, file no. 333-196676, originally filed on</w:t>
        </w:r>
      </w:hyperlink>
      <w:r>
        <w:rPr>
          <w:rFonts w:ascii="Arial" w:cs="Arial" w:eastAsia="Arial" w:hAnsi="Arial"/>
          <w:sz w:val="20"/>
          <w:szCs w:val="20"/>
          <w:u w:val="single" w:color="auto"/>
          <w:color w:val="0000FF"/>
        </w:rPr>
        <w:t xml:space="preserve"> </w:t>
      </w:r>
      <w:hyperlink r:id="rId827">
        <w:r>
          <w:rPr>
            <w:rFonts w:ascii="Arial" w:cs="Arial" w:eastAsia="Arial" w:hAnsi="Arial"/>
            <w:sz w:val="20"/>
            <w:szCs w:val="20"/>
            <w:u w:val="single" w:color="auto"/>
            <w:color w:val="0000FF"/>
          </w:rPr>
          <w:t>June 11, 2014)</w:t>
        </w:r>
      </w:hyperlink>
    </w:p>
    <w:p>
      <w:pPr>
        <w:spacing w:after="0" w:line="317" w:lineRule="exact"/>
        <w:rPr>
          <w:rFonts w:ascii="Arial" w:cs="Arial" w:eastAsia="Arial" w:hAnsi="Arial"/>
          <w:sz w:val="20"/>
          <w:szCs w:val="20"/>
          <w:u w:val="single" w:color="auto"/>
          <w:color w:val="0000FF"/>
        </w:rPr>
      </w:pPr>
    </w:p>
    <w:p>
      <w:pPr>
        <w:jc w:val="right"/>
        <w:ind w:left="106" w:right="580"/>
        <w:spacing w:after="0" w:line="331" w:lineRule="auto"/>
        <w:rPr>
          <w:rFonts w:ascii="Arial" w:cs="Arial" w:eastAsia="Arial" w:hAnsi="Arial"/>
          <w:sz w:val="19"/>
          <w:szCs w:val="19"/>
          <w:u w:val="single" w:color="auto"/>
          <w:color w:val="0000FF"/>
        </w:rPr>
      </w:pPr>
      <w:r>
        <w:rPr>
          <w:rFonts w:ascii="Arial" w:cs="Arial" w:eastAsia="Arial" w:hAnsi="Arial"/>
          <w:sz w:val="19"/>
          <w:szCs w:val="19"/>
          <w:color w:val="auto"/>
        </w:rPr>
        <w:t xml:space="preserve">3.2      </w:t>
      </w:r>
      <w:hyperlink r:id="rId828">
        <w:r>
          <w:rPr>
            <w:rFonts w:ascii="Arial" w:cs="Arial" w:eastAsia="Arial" w:hAnsi="Arial"/>
            <w:sz w:val="19"/>
            <w:szCs w:val="19"/>
            <w:u w:val="single" w:color="auto"/>
            <w:color w:val="0000FF"/>
          </w:rPr>
          <w:t>Bylaws of Pathfinder Bancorp, Inc. (Incorporated herein by reference to Exhibit 3.2 to Pathfinder</w:t>
        </w:r>
      </w:hyperlink>
      <w:r>
        <w:rPr>
          <w:rFonts w:ascii="Arial" w:cs="Arial" w:eastAsia="Arial" w:hAnsi="Arial"/>
          <w:sz w:val="19"/>
          <w:szCs w:val="19"/>
          <w:color w:val="auto"/>
        </w:rPr>
        <w:t xml:space="preserve"> </w:t>
      </w:r>
      <w:hyperlink r:id="rId828">
        <w:r>
          <w:rPr>
            <w:rFonts w:ascii="Arial" w:cs="Arial" w:eastAsia="Arial" w:hAnsi="Arial"/>
            <w:sz w:val="19"/>
            <w:szCs w:val="19"/>
            <w:u w:val="single" w:color="auto"/>
            <w:color w:val="0000FF"/>
          </w:rPr>
          <w:t>Bancorp, Inc.’s Registration Statement on Form S-1, file no. 333-196676, filed on June 11, 2014)</w:t>
        </w:r>
      </w:hyperlink>
    </w:p>
    <w:p>
      <w:pPr>
        <w:spacing w:after="0" w:line="297" w:lineRule="exact"/>
        <w:rPr>
          <w:sz w:val="20"/>
          <w:szCs w:val="20"/>
          <w:color w:val="auto"/>
        </w:rPr>
      </w:pPr>
    </w:p>
    <w:p>
      <w:pPr>
        <w:jc w:val="both"/>
        <w:ind w:left="946" w:right="320" w:hanging="839"/>
        <w:spacing w:after="0" w:line="309" w:lineRule="auto"/>
        <w:tabs>
          <w:tab w:leader="none" w:pos="926" w:val="left"/>
        </w:tabs>
        <w:rPr>
          <w:rFonts w:ascii="Arial" w:cs="Arial" w:eastAsia="Arial" w:hAnsi="Arial"/>
          <w:sz w:val="20"/>
          <w:szCs w:val="20"/>
          <w:u w:val="single" w:color="auto"/>
          <w:color w:val="0000FF"/>
        </w:rPr>
      </w:pPr>
      <w:r>
        <w:rPr>
          <w:rFonts w:ascii="Arial" w:cs="Arial" w:eastAsia="Arial" w:hAnsi="Arial"/>
          <w:sz w:val="20"/>
          <w:szCs w:val="20"/>
          <w:color w:val="auto"/>
        </w:rPr>
        <w:t>3.3</w:t>
      </w:r>
      <w:r>
        <w:rPr>
          <w:sz w:val="20"/>
          <w:szCs w:val="20"/>
          <w:color w:val="auto"/>
        </w:rPr>
        <w:tab/>
      </w:r>
      <w:hyperlink r:id="rId829">
        <w:r>
          <w:rPr>
            <w:rFonts w:ascii="Arial" w:cs="Arial" w:eastAsia="Arial" w:hAnsi="Arial"/>
            <w:sz w:val="20"/>
            <w:szCs w:val="20"/>
            <w:u w:val="single" w:color="auto"/>
            <w:color w:val="0000FF"/>
          </w:rPr>
          <w:t>Articles Supplementary to the Articles of Incorporation of Pathfinder Bancorp, Inc. designating the</w:t>
        </w:r>
      </w:hyperlink>
      <w:r>
        <w:rPr>
          <w:rFonts w:ascii="Arial" w:cs="Arial" w:eastAsia="Arial" w:hAnsi="Arial"/>
          <w:sz w:val="20"/>
          <w:szCs w:val="20"/>
          <w:u w:val="single" w:color="auto"/>
          <w:color w:val="0000FF"/>
        </w:rPr>
        <w:t xml:space="preserve"> </w:t>
      </w:r>
      <w:hyperlink r:id="rId829">
        <w:r>
          <w:rPr>
            <w:rFonts w:ascii="Arial" w:cs="Arial" w:eastAsia="Arial" w:hAnsi="Arial"/>
            <w:sz w:val="20"/>
            <w:szCs w:val="20"/>
            <w:u w:val="single" w:color="auto"/>
            <w:color w:val="0000FF"/>
          </w:rPr>
          <w:t>Company’s Series B Convertible Perpetual Preferred Stock, par value $0.01 per share (Incorporated</w:t>
        </w:r>
      </w:hyperlink>
      <w:r>
        <w:rPr>
          <w:rFonts w:ascii="Arial" w:cs="Arial" w:eastAsia="Arial" w:hAnsi="Arial"/>
          <w:sz w:val="20"/>
          <w:szCs w:val="20"/>
          <w:u w:val="single" w:color="auto"/>
          <w:color w:val="0000FF"/>
        </w:rPr>
        <w:t xml:space="preserve"> </w:t>
      </w:r>
      <w:hyperlink r:id="rId829">
        <w:r>
          <w:rPr>
            <w:rFonts w:ascii="Arial" w:cs="Arial" w:eastAsia="Arial" w:hAnsi="Arial"/>
            <w:sz w:val="20"/>
            <w:szCs w:val="20"/>
            <w:u w:val="single" w:color="auto"/>
            <w:color w:val="0000FF"/>
          </w:rPr>
          <w:t>herein by reference to Exhibit 3.1 to Pathfinder Bancorp, Inc.’s Current Report on Form 8-K, file no.</w:t>
        </w:r>
      </w:hyperlink>
      <w:r>
        <w:rPr>
          <w:rFonts w:ascii="Arial" w:cs="Arial" w:eastAsia="Arial" w:hAnsi="Arial"/>
          <w:sz w:val="20"/>
          <w:szCs w:val="20"/>
          <w:u w:val="single" w:color="auto"/>
          <w:color w:val="0000FF"/>
        </w:rPr>
        <w:t xml:space="preserve"> </w:t>
      </w:r>
      <w:hyperlink r:id="rId829">
        <w:r>
          <w:rPr>
            <w:rFonts w:ascii="Arial" w:cs="Arial" w:eastAsia="Arial" w:hAnsi="Arial"/>
            <w:sz w:val="20"/>
            <w:szCs w:val="20"/>
            <w:u w:val="single" w:color="auto"/>
            <w:color w:val="0000FF"/>
          </w:rPr>
          <w:t>001-36695, filed on May 9, 2019)</w:t>
        </w:r>
      </w:hyperlink>
    </w:p>
    <w:p>
      <w:pPr>
        <w:spacing w:after="0" w:line="316" w:lineRule="exact"/>
        <w:rPr>
          <w:rFonts w:ascii="Arial" w:cs="Arial" w:eastAsia="Arial" w:hAnsi="Arial"/>
          <w:sz w:val="20"/>
          <w:szCs w:val="20"/>
          <w:u w:val="single" w:color="auto"/>
          <w:color w:val="0000FF"/>
        </w:rPr>
      </w:pPr>
    </w:p>
    <w:p>
      <w:pPr>
        <w:jc w:val="both"/>
        <w:ind w:left="946" w:right="100" w:hanging="889"/>
        <w:spacing w:after="0" w:line="368" w:lineRule="auto"/>
        <w:tabs>
          <w:tab w:leader="none" w:pos="926" w:val="left"/>
        </w:tabs>
        <w:rPr>
          <w:rFonts w:ascii="Arial" w:cs="Arial" w:eastAsia="Arial" w:hAnsi="Arial"/>
          <w:sz w:val="17"/>
          <w:szCs w:val="17"/>
          <w:u w:val="single" w:color="auto"/>
          <w:color w:val="0000FF"/>
        </w:rPr>
      </w:pPr>
      <w:r>
        <w:rPr>
          <w:rFonts w:ascii="Arial" w:cs="Arial" w:eastAsia="Arial" w:hAnsi="Arial"/>
          <w:sz w:val="20"/>
          <w:szCs w:val="20"/>
          <w:color w:val="auto"/>
        </w:rPr>
        <w:t>3.4</w:t>
      </w:r>
      <w:r>
        <w:rPr>
          <w:sz w:val="20"/>
          <w:szCs w:val="20"/>
          <w:color w:val="auto"/>
        </w:rPr>
        <w:tab/>
      </w:r>
      <w:hyperlink r:id="rId830">
        <w:r>
          <w:rPr>
            <w:rFonts w:ascii="Arial" w:cs="Arial" w:eastAsia="Arial" w:hAnsi="Arial"/>
            <w:sz w:val="17"/>
            <w:szCs w:val="17"/>
            <w:u w:val="single" w:color="auto"/>
            <w:color w:val="0000FF"/>
          </w:rPr>
          <w:t>Amendment to the Articles Supplementary to the Articles of Incorporation of Pathfinder Bancorp, Inc.</w:t>
        </w:r>
      </w:hyperlink>
      <w:r>
        <w:rPr>
          <w:rFonts w:ascii="Arial" w:cs="Arial" w:eastAsia="Arial" w:hAnsi="Arial"/>
          <w:sz w:val="17"/>
          <w:szCs w:val="17"/>
          <w:u w:val="single" w:color="auto"/>
          <w:color w:val="0000FF"/>
        </w:rPr>
        <w:t xml:space="preserve"> </w:t>
      </w:r>
      <w:hyperlink r:id="rId830">
        <w:r>
          <w:rPr>
            <w:rFonts w:ascii="Arial" w:cs="Arial" w:eastAsia="Arial" w:hAnsi="Arial"/>
            <w:sz w:val="17"/>
            <w:szCs w:val="17"/>
            <w:u w:val="single" w:color="auto"/>
            <w:color w:val="0000FF"/>
          </w:rPr>
          <w:t>designating the Series B Convertible Perpetual Preferred Stock, $0.01 par value per share (Incorporated</w:t>
        </w:r>
      </w:hyperlink>
      <w:r>
        <w:rPr>
          <w:rFonts w:ascii="Arial" w:cs="Arial" w:eastAsia="Arial" w:hAnsi="Arial"/>
          <w:sz w:val="17"/>
          <w:szCs w:val="17"/>
          <w:u w:val="single" w:color="auto"/>
          <w:color w:val="0000FF"/>
        </w:rPr>
        <w:t xml:space="preserve"> </w:t>
      </w:r>
      <w:hyperlink r:id="rId830">
        <w:r>
          <w:rPr>
            <w:rFonts w:ascii="Arial" w:cs="Arial" w:eastAsia="Arial" w:hAnsi="Arial"/>
            <w:sz w:val="17"/>
            <w:szCs w:val="17"/>
            <w:u w:val="single" w:color="auto"/>
            <w:color w:val="0000FF"/>
          </w:rPr>
          <w:t>by reference to Exhibit 3.1 to Pathfinder Bancorp, Inc.’s Current Report on Form 8-K, file no.</w:t>
        </w:r>
      </w:hyperlink>
    </w:p>
    <w:p>
      <w:pPr>
        <w:ind w:left="946"/>
        <w:spacing w:after="0" w:line="230" w:lineRule="auto"/>
        <w:rPr>
          <w:rFonts w:ascii="Arial" w:cs="Arial" w:eastAsia="Arial" w:hAnsi="Arial"/>
          <w:sz w:val="20"/>
          <w:szCs w:val="20"/>
          <w:u w:val="single" w:color="auto"/>
          <w:color w:val="0000FF"/>
        </w:rPr>
      </w:pPr>
      <w:hyperlink r:id="rId830">
        <w:r>
          <w:rPr>
            <w:rFonts w:ascii="Arial" w:cs="Arial" w:eastAsia="Arial" w:hAnsi="Arial"/>
            <w:sz w:val="20"/>
            <w:szCs w:val="20"/>
            <w:u w:val="single" w:color="auto"/>
            <w:color w:val="0000FF"/>
          </w:rPr>
          <w:t>001-36695, filed on November 17, 2020)</w:t>
        </w:r>
      </w:hyperlink>
    </w:p>
    <w:p>
      <w:pPr>
        <w:spacing w:after="0" w:line="380" w:lineRule="exact"/>
        <w:rPr>
          <w:rFonts w:ascii="Arial" w:cs="Arial" w:eastAsia="Arial" w:hAnsi="Arial"/>
          <w:sz w:val="17"/>
          <w:szCs w:val="17"/>
          <w:u w:val="single" w:color="auto"/>
          <w:color w:val="0000FF"/>
        </w:rPr>
      </w:pPr>
    </w:p>
    <w:p>
      <w:pPr>
        <w:ind w:left="946" w:right="340" w:hanging="889"/>
        <w:spacing w:after="0" w:line="355" w:lineRule="auto"/>
        <w:tabs>
          <w:tab w:leader="none" w:pos="926" w:val="left"/>
        </w:tabs>
        <w:rPr>
          <w:rFonts w:ascii="Arial" w:cs="Arial" w:eastAsia="Arial" w:hAnsi="Arial"/>
          <w:sz w:val="18"/>
          <w:szCs w:val="18"/>
          <w:u w:val="single" w:color="auto"/>
          <w:color w:val="0000FF"/>
        </w:rPr>
      </w:pPr>
      <w:r>
        <w:rPr>
          <w:rFonts w:ascii="Arial" w:cs="Arial" w:eastAsia="Arial" w:hAnsi="Arial"/>
          <w:sz w:val="20"/>
          <w:szCs w:val="20"/>
          <w:color w:val="auto"/>
        </w:rPr>
        <w:t>3.5</w:t>
      </w:r>
      <w:r>
        <w:rPr>
          <w:sz w:val="20"/>
          <w:szCs w:val="20"/>
          <w:color w:val="auto"/>
        </w:rPr>
        <w:tab/>
      </w:r>
      <w:hyperlink r:id="rId831">
        <w:r>
          <w:rPr>
            <w:rFonts w:ascii="Arial" w:cs="Arial" w:eastAsia="Arial" w:hAnsi="Arial"/>
            <w:sz w:val="18"/>
            <w:szCs w:val="18"/>
            <w:u w:val="single" w:color="auto"/>
            <w:color w:val="0000FF"/>
          </w:rPr>
          <w:t>Articles Supplementary to the Articles of Incorporation of Pathfinder Bancorp, Inc. creating Class A</w:t>
        </w:r>
      </w:hyperlink>
      <w:r>
        <w:rPr>
          <w:rFonts w:ascii="Arial" w:cs="Arial" w:eastAsia="Arial" w:hAnsi="Arial"/>
          <w:sz w:val="18"/>
          <w:szCs w:val="18"/>
          <w:u w:val="single" w:color="auto"/>
          <w:color w:val="0000FF"/>
        </w:rPr>
        <w:t xml:space="preserve"> </w:t>
      </w:r>
      <w:hyperlink r:id="rId831">
        <w:r>
          <w:rPr>
            <w:rFonts w:ascii="Arial" w:cs="Arial" w:eastAsia="Arial" w:hAnsi="Arial"/>
            <w:sz w:val="18"/>
            <w:szCs w:val="18"/>
            <w:u w:val="single" w:color="auto"/>
            <w:color w:val="0000FF"/>
          </w:rPr>
          <w:t>Non-Voting Common Stock, par value $0.01 per share (Incorporated by reference to Exhibit 3.1 to</w:t>
        </w:r>
      </w:hyperlink>
      <w:r>
        <w:rPr>
          <w:rFonts w:ascii="Arial" w:cs="Arial" w:eastAsia="Arial" w:hAnsi="Arial"/>
          <w:sz w:val="18"/>
          <w:szCs w:val="18"/>
          <w:u w:val="single" w:color="auto"/>
          <w:color w:val="0000FF"/>
        </w:rPr>
        <w:t xml:space="preserve"> </w:t>
      </w:r>
      <w:hyperlink r:id="rId831">
        <w:r>
          <w:rPr>
            <w:rFonts w:ascii="Arial" w:cs="Arial" w:eastAsia="Arial" w:hAnsi="Arial"/>
            <w:sz w:val="18"/>
            <w:szCs w:val="18"/>
            <w:u w:val="single" w:color="auto"/>
            <w:color w:val="0000FF"/>
          </w:rPr>
          <w:t>Pathfinder Bancorp Inc.’s Current Report on Form 8-K, file no. 001-36695, filed on June 10, 2021)</w:t>
        </w:r>
      </w:hyperlink>
    </w:p>
    <w:p>
      <w:pPr>
        <w:spacing w:after="0" w:line="282" w:lineRule="exact"/>
        <w:rPr>
          <w:rFonts w:ascii="Arial" w:cs="Arial" w:eastAsia="Arial" w:hAnsi="Arial"/>
          <w:sz w:val="18"/>
          <w:szCs w:val="18"/>
          <w:u w:val="single" w:color="auto"/>
          <w:color w:val="0000FF"/>
        </w:rPr>
      </w:pPr>
    </w:p>
    <w:p>
      <w:pPr>
        <w:jc w:val="both"/>
        <w:ind w:left="946" w:right="180" w:hanging="839"/>
        <w:spacing w:after="0" w:line="307" w:lineRule="auto"/>
        <w:tabs>
          <w:tab w:leader="none" w:pos="926" w:val="left"/>
        </w:tabs>
        <w:rPr>
          <w:rFonts w:ascii="Arial" w:cs="Arial" w:eastAsia="Arial" w:hAnsi="Arial"/>
          <w:sz w:val="20"/>
          <w:szCs w:val="20"/>
          <w:u w:val="single" w:color="auto"/>
          <w:color w:val="0000FF"/>
        </w:rPr>
      </w:pPr>
      <w:r>
        <w:rPr>
          <w:rFonts w:ascii="Arial" w:cs="Arial" w:eastAsia="Arial" w:hAnsi="Arial"/>
          <w:sz w:val="20"/>
          <w:szCs w:val="20"/>
          <w:color w:val="auto"/>
        </w:rPr>
        <w:t>4.1</w:t>
      </w:r>
      <w:r>
        <w:rPr>
          <w:sz w:val="20"/>
          <w:szCs w:val="20"/>
          <w:color w:val="auto"/>
        </w:rPr>
        <w:tab/>
      </w:r>
      <w:hyperlink r:id="rId832">
        <w:r>
          <w:rPr>
            <w:rFonts w:ascii="Arial" w:cs="Arial" w:eastAsia="Arial" w:hAnsi="Arial"/>
            <w:sz w:val="20"/>
            <w:szCs w:val="20"/>
            <w:u w:val="single" w:color="auto"/>
            <w:color w:val="0000FF"/>
          </w:rPr>
          <w:t>Form of Stock Certificate of Pathfinder Bancorp, Inc. (Incorporated herein by reference to Exhibit 4 to</w:t>
        </w:r>
      </w:hyperlink>
      <w:r>
        <w:rPr>
          <w:rFonts w:ascii="Arial" w:cs="Arial" w:eastAsia="Arial" w:hAnsi="Arial"/>
          <w:sz w:val="20"/>
          <w:szCs w:val="20"/>
          <w:u w:val="single" w:color="auto"/>
          <w:color w:val="0000FF"/>
        </w:rPr>
        <w:t xml:space="preserve"> </w:t>
      </w:r>
      <w:hyperlink r:id="rId832">
        <w:r>
          <w:rPr>
            <w:rFonts w:ascii="Arial" w:cs="Arial" w:eastAsia="Arial" w:hAnsi="Arial"/>
            <w:sz w:val="20"/>
            <w:szCs w:val="20"/>
            <w:u w:val="single" w:color="auto"/>
            <w:color w:val="0000FF"/>
          </w:rPr>
          <w:t>Pathfinder Bancorp, Inc.’s Registration Statement on Form S-1, file no. 333-196676, filed on June 11,</w:t>
        </w:r>
      </w:hyperlink>
      <w:r>
        <w:rPr>
          <w:rFonts w:ascii="Arial" w:cs="Arial" w:eastAsia="Arial" w:hAnsi="Arial"/>
          <w:sz w:val="20"/>
          <w:szCs w:val="20"/>
          <w:u w:val="single" w:color="auto"/>
          <w:color w:val="0000FF"/>
        </w:rPr>
        <w:t xml:space="preserve"> </w:t>
      </w:r>
      <w:hyperlink r:id="rId832">
        <w:r>
          <w:rPr>
            <w:rFonts w:ascii="Arial" w:cs="Arial" w:eastAsia="Arial" w:hAnsi="Arial"/>
            <w:sz w:val="20"/>
            <w:szCs w:val="20"/>
            <w:u w:val="single" w:color="auto"/>
            <w:color w:val="0000FF"/>
          </w:rPr>
          <w:t>2014)</w:t>
        </w:r>
      </w:hyperlink>
    </w:p>
    <w:p>
      <w:pPr>
        <w:spacing w:after="0" w:line="317" w:lineRule="exact"/>
        <w:rPr>
          <w:rFonts w:ascii="Arial" w:cs="Arial" w:eastAsia="Arial" w:hAnsi="Arial"/>
          <w:sz w:val="20"/>
          <w:szCs w:val="20"/>
          <w:u w:val="single" w:color="auto"/>
          <w:color w:val="0000FF"/>
        </w:rPr>
      </w:pPr>
    </w:p>
    <w:p>
      <w:pPr>
        <w:ind w:left="946" w:right="140" w:hanging="839"/>
        <w:spacing w:after="0" w:line="355" w:lineRule="auto"/>
        <w:tabs>
          <w:tab w:leader="none" w:pos="926" w:val="left"/>
        </w:tabs>
        <w:rPr>
          <w:rFonts w:ascii="Arial" w:cs="Arial" w:eastAsia="Arial" w:hAnsi="Arial"/>
          <w:sz w:val="18"/>
          <w:szCs w:val="18"/>
          <w:u w:val="single" w:color="auto"/>
          <w:color w:val="0000FF"/>
        </w:rPr>
      </w:pPr>
      <w:r>
        <w:rPr>
          <w:rFonts w:ascii="Arial" w:cs="Arial" w:eastAsia="Arial" w:hAnsi="Arial"/>
          <w:sz w:val="20"/>
          <w:szCs w:val="20"/>
          <w:color w:val="auto"/>
        </w:rPr>
        <w:t>4.2</w:t>
      </w:r>
      <w:r>
        <w:rPr>
          <w:sz w:val="20"/>
          <w:szCs w:val="20"/>
          <w:color w:val="auto"/>
        </w:rPr>
        <w:tab/>
      </w:r>
      <w:hyperlink r:id="rId833">
        <w:r>
          <w:rPr>
            <w:rFonts w:ascii="Arial" w:cs="Arial" w:eastAsia="Arial" w:hAnsi="Arial"/>
            <w:sz w:val="18"/>
            <w:szCs w:val="18"/>
            <w:u w:val="single" w:color="auto"/>
            <w:color w:val="0000FF"/>
          </w:rPr>
          <w:t>Indenture between Pathfinder Bancorp, Inc., a federal corporation, and Wilmington Trust Company, as</w:t>
        </w:r>
      </w:hyperlink>
      <w:r>
        <w:rPr>
          <w:rFonts w:ascii="Arial" w:cs="Arial" w:eastAsia="Arial" w:hAnsi="Arial"/>
          <w:sz w:val="18"/>
          <w:szCs w:val="18"/>
          <w:u w:val="single" w:color="auto"/>
          <w:color w:val="0000FF"/>
        </w:rPr>
        <w:t xml:space="preserve"> </w:t>
      </w:r>
      <w:hyperlink r:id="rId833">
        <w:r>
          <w:rPr>
            <w:rFonts w:ascii="Arial" w:cs="Arial" w:eastAsia="Arial" w:hAnsi="Arial"/>
            <w:sz w:val="18"/>
            <w:szCs w:val="18"/>
            <w:u w:val="single" w:color="auto"/>
            <w:color w:val="0000FF"/>
          </w:rPr>
          <w:t>trustee, dated March 22, 2007 (Incorporated herein by reference to Exhibit 4.1 to Pathfinder Bancorp,</w:t>
        </w:r>
      </w:hyperlink>
      <w:r>
        <w:rPr>
          <w:rFonts w:ascii="Arial" w:cs="Arial" w:eastAsia="Arial" w:hAnsi="Arial"/>
          <w:sz w:val="18"/>
          <w:szCs w:val="18"/>
          <w:u w:val="single" w:color="auto"/>
          <w:color w:val="0000FF"/>
        </w:rPr>
        <w:t xml:space="preserve"> </w:t>
      </w:r>
      <w:hyperlink r:id="rId833">
        <w:r>
          <w:rPr>
            <w:rFonts w:ascii="Arial" w:cs="Arial" w:eastAsia="Arial" w:hAnsi="Arial"/>
            <w:sz w:val="18"/>
            <w:szCs w:val="18"/>
            <w:u w:val="single" w:color="auto"/>
            <w:color w:val="0000FF"/>
          </w:rPr>
          <w:t>Inc.’s Current Report on Form 8-K, file no. 001-36695, filed on October 22, 2014)</w:t>
        </w:r>
      </w:hyperlink>
    </w:p>
    <w:p>
      <w:pPr>
        <w:spacing w:after="0" w:line="282" w:lineRule="exact"/>
        <w:rPr>
          <w:rFonts w:ascii="Arial" w:cs="Arial" w:eastAsia="Arial" w:hAnsi="Arial"/>
          <w:sz w:val="18"/>
          <w:szCs w:val="18"/>
          <w:u w:val="single" w:color="auto"/>
          <w:color w:val="0000FF"/>
        </w:rPr>
      </w:pPr>
    </w:p>
    <w:p>
      <w:pPr>
        <w:jc w:val="both"/>
        <w:ind w:left="946" w:right="180" w:hanging="839"/>
        <w:spacing w:after="0" w:line="330" w:lineRule="auto"/>
        <w:tabs>
          <w:tab w:leader="none" w:pos="926" w:val="left"/>
        </w:tabs>
        <w:rPr>
          <w:rFonts w:ascii="Arial" w:cs="Arial" w:eastAsia="Arial" w:hAnsi="Arial"/>
          <w:sz w:val="19"/>
          <w:szCs w:val="19"/>
          <w:u w:val="single" w:color="auto"/>
          <w:color w:val="0000FF"/>
        </w:rPr>
      </w:pPr>
      <w:r>
        <w:rPr>
          <w:rFonts w:ascii="Arial" w:cs="Arial" w:eastAsia="Arial" w:hAnsi="Arial"/>
          <w:sz w:val="20"/>
          <w:szCs w:val="20"/>
          <w:color w:val="auto"/>
        </w:rPr>
        <w:t>4.3</w:t>
      </w:r>
      <w:r>
        <w:rPr>
          <w:sz w:val="20"/>
          <w:szCs w:val="20"/>
          <w:color w:val="auto"/>
        </w:rPr>
        <w:tab/>
      </w:r>
      <w:hyperlink r:id="rId834">
        <w:r>
          <w:rPr>
            <w:rFonts w:ascii="Arial" w:cs="Arial" w:eastAsia="Arial" w:hAnsi="Arial"/>
            <w:sz w:val="19"/>
            <w:szCs w:val="19"/>
            <w:u w:val="single" w:color="auto"/>
            <w:color w:val="0000FF"/>
          </w:rPr>
          <w:t>Supplemental Indenture between Pathfinder Bancorp, Inc. and Wilmington Trust Company, as trustee,</w:t>
        </w:r>
      </w:hyperlink>
      <w:r>
        <w:rPr>
          <w:rFonts w:ascii="Arial" w:cs="Arial" w:eastAsia="Arial" w:hAnsi="Arial"/>
          <w:sz w:val="19"/>
          <w:szCs w:val="19"/>
          <w:u w:val="single" w:color="auto"/>
          <w:color w:val="0000FF"/>
        </w:rPr>
        <w:t xml:space="preserve"> </w:t>
      </w:r>
      <w:hyperlink r:id="rId834">
        <w:r>
          <w:rPr>
            <w:rFonts w:ascii="Arial" w:cs="Arial" w:eastAsia="Arial" w:hAnsi="Arial"/>
            <w:sz w:val="19"/>
            <w:szCs w:val="19"/>
            <w:u w:val="single" w:color="auto"/>
            <w:color w:val="0000FF"/>
          </w:rPr>
          <w:t>dated October 16, 2014 (Incorporated herein by reference to Exhibit 4.2 to Pathfinder Bancorp, Inc.’s</w:t>
        </w:r>
      </w:hyperlink>
      <w:r>
        <w:rPr>
          <w:rFonts w:ascii="Arial" w:cs="Arial" w:eastAsia="Arial" w:hAnsi="Arial"/>
          <w:sz w:val="19"/>
          <w:szCs w:val="19"/>
          <w:u w:val="single" w:color="auto"/>
          <w:color w:val="0000FF"/>
        </w:rPr>
        <w:t xml:space="preserve"> </w:t>
      </w:r>
      <w:hyperlink r:id="rId834">
        <w:r>
          <w:rPr>
            <w:rFonts w:ascii="Arial" w:cs="Arial" w:eastAsia="Arial" w:hAnsi="Arial"/>
            <w:sz w:val="19"/>
            <w:szCs w:val="19"/>
            <w:u w:val="single" w:color="auto"/>
            <w:color w:val="0000FF"/>
          </w:rPr>
          <w:t>Current Report on Form 8-K, file no. 001-36695, filed on October 22, 2014)</w:t>
        </w:r>
      </w:hyperlink>
    </w:p>
    <w:p>
      <w:pPr>
        <w:sectPr>
          <w:pgSz w:w="11900" w:h="16838" w:orient="portrait"/>
          <w:cols w:equalWidth="0" w:num="1">
            <w:col w:w="9326"/>
          </w:cols>
          <w:pgMar w:left="1254" w:top="1440" w:right="1326" w:bottom="0" w:gutter="0" w:footer="0" w:header="0"/>
        </w:sect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340" w:lineRule="exact"/>
        <w:rPr>
          <w:rFonts w:ascii="Arial" w:cs="Arial" w:eastAsia="Arial" w:hAnsi="Arial"/>
          <w:sz w:val="19"/>
          <w:szCs w:val="19"/>
          <w:u w:val="single" w:color="auto"/>
          <w:color w:val="0000FF"/>
        </w:rPr>
      </w:pPr>
    </w:p>
    <w:p>
      <w:pPr>
        <w:jc w:val="center"/>
        <w:ind w:right="-65"/>
        <w:spacing w:after="0"/>
        <w:rPr>
          <w:sz w:val="20"/>
          <w:szCs w:val="20"/>
          <w:color w:val="auto"/>
        </w:rPr>
      </w:pPr>
      <w:r>
        <w:rPr>
          <w:rFonts w:ascii="Arial" w:cs="Arial" w:eastAsia="Arial" w:hAnsi="Arial"/>
          <w:sz w:val="20"/>
          <w:szCs w:val="20"/>
          <w:color w:val="auto"/>
        </w:rPr>
        <w:t>17 / 25</w:t>
      </w:r>
    </w:p>
    <w:p>
      <w:pPr>
        <w:sectPr>
          <w:pgSz w:w="11900" w:h="16838" w:orient="portrait"/>
          <w:cols w:equalWidth="0" w:num="1">
            <w:col w:w="9326"/>
          </w:cols>
          <w:pgMar w:left="1254" w:top="1440" w:right="1326" w:bottom="0" w:gutter="0" w:footer="0" w:header="0"/>
          <w:type w:val="continuous"/>
        </w:sectPr>
      </w:pPr>
    </w:p>
    <w:bookmarkStart w:id="259" w:name="page260"/>
    <w:bookmarkEnd w:id="259"/>
    <w:tbl>
      <w:tblPr>
        <w:tblLayout w:type="fixed"/>
        <w:tblInd w:w="0" w:type="dxa"/>
        <w:tblCellMar>
          <w:top w:w="0" w:type="dxa"/>
          <w:left w:w="0" w:type="dxa"/>
          <w:bottom w:w="0" w:type="dxa"/>
          <w:right w:w="0" w:type="dxa"/>
        </w:tblCellMar>
      </w:tblPr>
      <w:tr>
        <w:trPr>
          <w:trHeight w:val="230"/>
        </w:trPr>
        <w:tc>
          <w:tcPr>
            <w:tcW w:w="940" w:type="dxa"/>
            <w:vAlign w:val="bottom"/>
          </w:tcPr>
          <w:p>
            <w:pPr>
              <w:jc w:val="center"/>
              <w:ind w:right="500"/>
              <w:spacing w:after="0"/>
              <w:rPr>
                <w:sz w:val="20"/>
                <w:szCs w:val="20"/>
                <w:color w:val="auto"/>
              </w:rPr>
            </w:pPr>
            <w:r>
              <w:rPr>
                <w:rFonts w:ascii="Arial" w:cs="Arial" w:eastAsia="Arial" w:hAnsi="Arial"/>
                <w:sz w:val="20"/>
                <w:szCs w:val="20"/>
                <w:color w:val="auto"/>
                <w:w w:val="93"/>
              </w:rPr>
              <w:t>4.4</w:t>
            </w:r>
          </w:p>
        </w:tc>
        <w:tc>
          <w:tcPr>
            <w:tcW w:w="8140" w:type="dxa"/>
            <w:vAlign w:val="bottom"/>
            <w:tcBorders>
              <w:bottom w:val="single" w:sz="8" w:color="0000FF"/>
            </w:tcBorders>
            <w:gridSpan w:val="13"/>
          </w:tcPr>
          <w:p>
            <w:pPr>
              <w:spacing w:after="0"/>
              <w:rPr>
                <w:rFonts w:ascii="Arial" w:cs="Arial" w:eastAsia="Arial" w:hAnsi="Arial"/>
                <w:sz w:val="20"/>
                <w:szCs w:val="20"/>
                <w:color w:val="0000FF"/>
                <w:w w:val="91"/>
              </w:rPr>
            </w:pPr>
            <w:hyperlink r:id="rId835">
              <w:r>
                <w:rPr>
                  <w:rFonts w:ascii="Arial" w:cs="Arial" w:eastAsia="Arial" w:hAnsi="Arial"/>
                  <w:sz w:val="20"/>
                  <w:szCs w:val="20"/>
                  <w:color w:val="0000FF"/>
                  <w:w w:val="91"/>
                </w:rPr>
                <w:t>Warrant Agreement, by and between Pathfinder Bancorp, Inc. and Castle Creek Capital Partners VII,</w:t>
              </w:r>
            </w:hyperlink>
          </w:p>
        </w:tc>
        <w:tc>
          <w:tcPr>
            <w:tcW w:w="320" w:type="dxa"/>
            <w:vAlign w:val="bottom"/>
            <w:gridSpan w:val="4"/>
          </w:tcPr>
          <w:p>
            <w:pPr>
              <w:spacing w:after="0"/>
              <w:rPr>
                <w:sz w:val="19"/>
                <w:szCs w:val="19"/>
                <w:color w:val="auto"/>
              </w:rPr>
            </w:pPr>
          </w:p>
        </w:tc>
      </w:tr>
      <w:tr>
        <w:trPr>
          <w:trHeight w:val="280"/>
        </w:trPr>
        <w:tc>
          <w:tcPr>
            <w:tcW w:w="940" w:type="dxa"/>
            <w:vAlign w:val="bottom"/>
          </w:tcPr>
          <w:p>
            <w:pPr>
              <w:spacing w:after="0"/>
              <w:rPr>
                <w:sz w:val="24"/>
                <w:szCs w:val="24"/>
                <w:color w:val="auto"/>
              </w:rPr>
            </w:pPr>
          </w:p>
        </w:tc>
        <w:tc>
          <w:tcPr>
            <w:tcW w:w="8220" w:type="dxa"/>
            <w:vAlign w:val="bottom"/>
            <w:tcBorders>
              <w:bottom w:val="single" w:sz="8" w:color="0000FF"/>
            </w:tcBorders>
            <w:gridSpan w:val="14"/>
          </w:tcPr>
          <w:p>
            <w:pPr>
              <w:spacing w:after="0"/>
              <w:rPr>
                <w:rFonts w:ascii="Arial" w:cs="Arial" w:eastAsia="Arial" w:hAnsi="Arial"/>
                <w:sz w:val="20"/>
                <w:szCs w:val="20"/>
                <w:color w:val="0000FF"/>
                <w:w w:val="91"/>
              </w:rPr>
            </w:pPr>
            <w:hyperlink r:id="rId835">
              <w:r>
                <w:rPr>
                  <w:rFonts w:ascii="Arial" w:cs="Arial" w:eastAsia="Arial" w:hAnsi="Arial"/>
                  <w:sz w:val="20"/>
                  <w:szCs w:val="20"/>
                  <w:color w:val="0000FF"/>
                  <w:w w:val="91"/>
                </w:rPr>
                <w:t>L.P., dated May 8, 2019 (Incorporated herein by reference to Exhibit 4.1 to Pathfinder Bancorp, Inc.’s</w:t>
              </w:r>
            </w:hyperlink>
          </w:p>
        </w:tc>
        <w:tc>
          <w:tcPr>
            <w:tcW w:w="240" w:type="dxa"/>
            <w:vAlign w:val="bottom"/>
            <w:gridSpan w:val="3"/>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20"/>
                <w:szCs w:val="20"/>
                <w:color w:val="0000FF"/>
              </w:rPr>
            </w:pPr>
            <w:hyperlink r:id="rId835">
              <w:r>
                <w:rPr>
                  <w:rFonts w:ascii="Arial" w:cs="Arial" w:eastAsia="Arial" w:hAnsi="Arial"/>
                  <w:sz w:val="20"/>
                  <w:szCs w:val="20"/>
                  <w:color w:val="0000FF"/>
                </w:rPr>
                <w:t>Current Report on Form 8-K, file no. 001-36695, filed on May 9, 2019)</w:t>
              </w:r>
            </w:hyperlink>
          </w:p>
        </w:tc>
      </w:tr>
      <w:tr>
        <w:trPr>
          <w:trHeight w:val="602"/>
        </w:trPr>
        <w:tc>
          <w:tcPr>
            <w:tcW w:w="940" w:type="dxa"/>
            <w:vAlign w:val="bottom"/>
          </w:tcPr>
          <w:p>
            <w:pPr>
              <w:jc w:val="center"/>
              <w:ind w:right="500"/>
              <w:spacing w:after="0"/>
              <w:rPr>
                <w:sz w:val="20"/>
                <w:szCs w:val="20"/>
                <w:color w:val="auto"/>
              </w:rPr>
            </w:pPr>
            <w:r>
              <w:rPr>
                <w:rFonts w:ascii="Arial" w:cs="Arial" w:eastAsia="Arial" w:hAnsi="Arial"/>
                <w:sz w:val="20"/>
                <w:szCs w:val="20"/>
                <w:color w:val="auto"/>
                <w:w w:val="93"/>
              </w:rPr>
              <w:t>4.5</w:t>
            </w:r>
          </w:p>
        </w:tc>
        <w:tc>
          <w:tcPr>
            <w:tcW w:w="5720" w:type="dxa"/>
            <w:vAlign w:val="bottom"/>
            <w:tcBorders>
              <w:top w:val="single" w:sz="8" w:color="0000FF"/>
            </w:tcBorders>
            <w:gridSpan w:val="6"/>
          </w:tcPr>
          <w:p>
            <w:pPr>
              <w:spacing w:after="0"/>
              <w:rPr>
                <w:rFonts w:ascii="Arial" w:cs="Arial" w:eastAsia="Arial" w:hAnsi="Arial"/>
                <w:sz w:val="20"/>
                <w:szCs w:val="20"/>
                <w:color w:val="0000FF"/>
              </w:rPr>
            </w:pPr>
            <w:hyperlink r:id="rId836">
              <w:r>
                <w:rPr>
                  <w:rFonts w:ascii="Arial" w:cs="Arial" w:eastAsia="Arial" w:hAnsi="Arial"/>
                  <w:sz w:val="20"/>
                  <w:szCs w:val="20"/>
                  <w:color w:val="0000FF"/>
                </w:rPr>
                <w:t>Description of Common Stock (Incorporated</w:t>
              </w:r>
            </w:hyperlink>
          </w:p>
        </w:tc>
        <w:tc>
          <w:tcPr>
            <w:tcW w:w="2740" w:type="dxa"/>
            <w:vAlign w:val="bottom"/>
            <w:gridSpan w:val="11"/>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0"/>
        </w:trPr>
        <w:tc>
          <w:tcPr>
            <w:tcW w:w="940" w:type="dxa"/>
            <w:vAlign w:val="bottom"/>
          </w:tcPr>
          <w:p>
            <w:pPr>
              <w:spacing w:after="0"/>
              <w:rPr>
                <w:sz w:val="24"/>
                <w:szCs w:val="24"/>
                <w:color w:val="auto"/>
              </w:rPr>
            </w:pPr>
          </w:p>
        </w:tc>
        <w:tc>
          <w:tcPr>
            <w:tcW w:w="8120" w:type="dxa"/>
            <w:vAlign w:val="bottom"/>
            <w:tcBorders>
              <w:bottom w:val="single" w:sz="8" w:color="0000FF"/>
            </w:tcBorders>
            <w:gridSpan w:val="12"/>
          </w:tcPr>
          <w:p>
            <w:pPr>
              <w:spacing w:after="0"/>
              <w:rPr>
                <w:rFonts w:ascii="Arial" w:cs="Arial" w:eastAsia="Arial" w:hAnsi="Arial"/>
                <w:sz w:val="20"/>
                <w:szCs w:val="20"/>
                <w:color w:val="0000FF"/>
                <w:w w:val="91"/>
              </w:rPr>
            </w:pPr>
            <w:hyperlink r:id="rId836">
              <w:r>
                <w:rPr>
                  <w:rFonts w:ascii="Arial" w:cs="Arial" w:eastAsia="Arial" w:hAnsi="Arial"/>
                  <w:sz w:val="20"/>
                  <w:szCs w:val="20"/>
                  <w:color w:val="0000FF"/>
                  <w:w w:val="91"/>
                </w:rPr>
                <w:t>herein by reference to Exhibit 4.5 to the Company’s Annual Report on Form 10-K for the year ended</w:t>
              </w:r>
            </w:hyperlink>
          </w:p>
        </w:tc>
        <w:tc>
          <w:tcPr>
            <w:tcW w:w="340" w:type="dxa"/>
            <w:vAlign w:val="bottom"/>
            <w:gridSpan w:val="5"/>
          </w:tcPr>
          <w:p>
            <w:pPr>
              <w:spacing w:after="0"/>
              <w:rPr>
                <w:sz w:val="24"/>
                <w:szCs w:val="24"/>
                <w:color w:val="auto"/>
              </w:rPr>
            </w:pPr>
          </w:p>
        </w:tc>
      </w:tr>
      <w:tr>
        <w:trPr>
          <w:trHeight w:val="310"/>
        </w:trPr>
        <w:tc>
          <w:tcPr>
            <w:tcW w:w="940" w:type="dxa"/>
            <w:vAlign w:val="bottom"/>
          </w:tcPr>
          <w:p>
            <w:pPr>
              <w:spacing w:after="0"/>
              <w:rPr>
                <w:sz w:val="24"/>
                <w:szCs w:val="24"/>
                <w:color w:val="auto"/>
              </w:rPr>
            </w:pPr>
          </w:p>
        </w:tc>
        <w:tc>
          <w:tcPr>
            <w:tcW w:w="5160" w:type="dxa"/>
            <w:vAlign w:val="bottom"/>
            <w:tcBorders>
              <w:bottom w:val="single" w:sz="8" w:color="0000FF"/>
            </w:tcBorders>
            <w:gridSpan w:val="5"/>
          </w:tcPr>
          <w:p>
            <w:pPr>
              <w:spacing w:after="0"/>
              <w:rPr>
                <w:rFonts w:ascii="Arial" w:cs="Arial" w:eastAsia="Arial" w:hAnsi="Arial"/>
                <w:sz w:val="20"/>
                <w:szCs w:val="20"/>
                <w:color w:val="0000FF"/>
                <w:w w:val="91"/>
              </w:rPr>
            </w:pPr>
            <w:hyperlink r:id="rId836">
              <w:r>
                <w:rPr>
                  <w:rFonts w:ascii="Arial" w:cs="Arial" w:eastAsia="Arial" w:hAnsi="Arial"/>
                  <w:sz w:val="20"/>
                  <w:szCs w:val="20"/>
                  <w:color w:val="0000FF"/>
                  <w:w w:val="91"/>
                </w:rPr>
                <w:t>December 31, 2019 file no 000-36695, filed on March 23, 2020)</w:t>
              </w:r>
            </w:hyperlink>
          </w:p>
        </w:tc>
        <w:tc>
          <w:tcPr>
            <w:tcW w:w="3300" w:type="dxa"/>
            <w:vAlign w:val="bottom"/>
            <w:gridSpan w:val="12"/>
          </w:tcPr>
          <w:p>
            <w:pPr>
              <w:spacing w:after="0"/>
              <w:rPr>
                <w:sz w:val="24"/>
                <w:szCs w:val="24"/>
                <w:color w:val="auto"/>
              </w:rPr>
            </w:pPr>
          </w:p>
        </w:tc>
      </w:tr>
      <w:tr>
        <w:trPr>
          <w:trHeight w:val="588"/>
        </w:trPr>
        <w:tc>
          <w:tcPr>
            <w:tcW w:w="940" w:type="dxa"/>
            <w:vAlign w:val="bottom"/>
          </w:tcPr>
          <w:p>
            <w:pPr>
              <w:jc w:val="center"/>
              <w:ind w:right="500"/>
              <w:spacing w:after="0"/>
              <w:rPr>
                <w:sz w:val="20"/>
                <w:szCs w:val="20"/>
                <w:color w:val="auto"/>
              </w:rPr>
            </w:pPr>
            <w:r>
              <w:rPr>
                <w:rFonts w:ascii="Arial" w:cs="Arial" w:eastAsia="Arial" w:hAnsi="Arial"/>
                <w:sz w:val="20"/>
                <w:szCs w:val="20"/>
                <w:color w:val="auto"/>
                <w:w w:val="93"/>
              </w:rPr>
              <w:t>4.6</w:t>
            </w:r>
          </w:p>
        </w:tc>
        <w:tc>
          <w:tcPr>
            <w:tcW w:w="7960" w:type="dxa"/>
            <w:vAlign w:val="bottom"/>
            <w:tcBorders>
              <w:bottom w:val="single" w:sz="8" w:color="0000FF"/>
            </w:tcBorders>
            <w:gridSpan w:val="9"/>
          </w:tcPr>
          <w:p>
            <w:pPr>
              <w:spacing w:after="0"/>
              <w:rPr>
                <w:rFonts w:ascii="Arial" w:cs="Arial" w:eastAsia="Arial" w:hAnsi="Arial"/>
                <w:sz w:val="20"/>
                <w:szCs w:val="20"/>
                <w:color w:val="0000FF"/>
                <w:w w:val="90"/>
              </w:rPr>
            </w:pPr>
            <w:hyperlink r:id="rId837">
              <w:r>
                <w:rPr>
                  <w:rFonts w:ascii="Arial" w:cs="Arial" w:eastAsia="Arial" w:hAnsi="Arial"/>
                  <w:sz w:val="20"/>
                  <w:szCs w:val="20"/>
                  <w:color w:val="0000FF"/>
                  <w:w w:val="90"/>
                </w:rPr>
                <w:t>Indenture, dated as of October 14, 2020, by and between Pathfinder Bancorp, Inc. and UMB Bank,</w:t>
              </w:r>
            </w:hyperlink>
          </w:p>
        </w:tc>
        <w:tc>
          <w:tcPr>
            <w:tcW w:w="500" w:type="dxa"/>
            <w:vAlign w:val="bottom"/>
            <w:gridSpan w:val="8"/>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8320" w:type="dxa"/>
            <w:vAlign w:val="bottom"/>
            <w:tcBorders>
              <w:bottom w:val="single" w:sz="8" w:color="0000FF"/>
            </w:tcBorders>
            <w:gridSpan w:val="15"/>
          </w:tcPr>
          <w:p>
            <w:pPr>
              <w:spacing w:after="0"/>
              <w:rPr>
                <w:rFonts w:ascii="Arial" w:cs="Arial" w:eastAsia="Arial" w:hAnsi="Arial"/>
                <w:sz w:val="20"/>
                <w:szCs w:val="20"/>
                <w:color w:val="0000FF"/>
                <w:w w:val="91"/>
              </w:rPr>
            </w:pPr>
            <w:hyperlink r:id="rId837">
              <w:r>
                <w:rPr>
                  <w:rFonts w:ascii="Arial" w:cs="Arial" w:eastAsia="Arial" w:hAnsi="Arial"/>
                  <w:sz w:val="20"/>
                  <w:szCs w:val="20"/>
                  <w:color w:val="0000FF"/>
                  <w:w w:val="91"/>
                </w:rPr>
                <w:t>National Association, as trustee (Incorporated herein by reference to Exhibit 4.1 to Pathfinder Bancorp,</w:t>
              </w:r>
            </w:hyperlink>
          </w:p>
        </w:tc>
        <w:tc>
          <w:tcPr>
            <w:tcW w:w="140" w:type="dxa"/>
            <w:vAlign w:val="bottom"/>
            <w:gridSpan w:val="2"/>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20"/>
                <w:szCs w:val="20"/>
                <w:color w:val="0000FF"/>
              </w:rPr>
            </w:pPr>
            <w:hyperlink r:id="rId837">
              <w:r>
                <w:rPr>
                  <w:rFonts w:ascii="Arial" w:cs="Arial" w:eastAsia="Arial" w:hAnsi="Arial"/>
                  <w:sz w:val="20"/>
                  <w:szCs w:val="20"/>
                  <w:color w:val="0000FF"/>
                </w:rPr>
                <w:t>Inc.’s Current Report on Form 8-K, file no. 001-36695, filed on October 15, 2020)</w:t>
              </w:r>
            </w:hyperlink>
          </w:p>
        </w:tc>
      </w:tr>
      <w:tr>
        <w:trPr>
          <w:trHeight w:val="20"/>
        </w:trPr>
        <w:tc>
          <w:tcPr>
            <w:tcW w:w="9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0"/>
        </w:trPr>
        <w:tc>
          <w:tcPr>
            <w:tcW w:w="940" w:type="dxa"/>
            <w:vAlign w:val="bottom"/>
          </w:tcPr>
          <w:p>
            <w:pPr>
              <w:jc w:val="center"/>
              <w:ind w:right="500"/>
              <w:spacing w:after="0"/>
              <w:rPr>
                <w:sz w:val="20"/>
                <w:szCs w:val="20"/>
                <w:color w:val="auto"/>
              </w:rPr>
            </w:pPr>
            <w:r>
              <w:rPr>
                <w:rFonts w:ascii="Arial" w:cs="Arial" w:eastAsia="Arial" w:hAnsi="Arial"/>
                <w:sz w:val="20"/>
                <w:szCs w:val="20"/>
                <w:color w:val="auto"/>
                <w:w w:val="93"/>
              </w:rPr>
              <w:t>4.7</w:t>
            </w:r>
          </w:p>
        </w:tc>
        <w:tc>
          <w:tcPr>
            <w:tcW w:w="7720" w:type="dxa"/>
            <w:vAlign w:val="bottom"/>
            <w:tcBorders>
              <w:bottom w:val="single" w:sz="8" w:color="0000FF"/>
            </w:tcBorders>
            <w:gridSpan w:val="8"/>
          </w:tcPr>
          <w:p>
            <w:pPr>
              <w:spacing w:after="0"/>
              <w:rPr>
                <w:rFonts w:ascii="Arial" w:cs="Arial" w:eastAsia="Arial" w:hAnsi="Arial"/>
                <w:sz w:val="20"/>
                <w:szCs w:val="20"/>
                <w:color w:val="0000FF"/>
                <w:w w:val="91"/>
              </w:rPr>
            </w:pPr>
            <w:hyperlink r:id="rId837">
              <w:r>
                <w:rPr>
                  <w:rFonts w:ascii="Arial" w:cs="Arial" w:eastAsia="Arial" w:hAnsi="Arial"/>
                  <w:sz w:val="20"/>
                  <w:szCs w:val="20"/>
                  <w:color w:val="0000FF"/>
                  <w:w w:val="91"/>
                </w:rPr>
                <w:t>Form of 5.50% Fixed-to-Floating Rate Subordinated Note due 2030 of Pathfinder Bancorp, Inc.</w:t>
              </w:r>
            </w:hyperlink>
          </w:p>
        </w:tc>
        <w:tc>
          <w:tcPr>
            <w:tcW w:w="740" w:type="dxa"/>
            <w:vAlign w:val="bottom"/>
            <w:gridSpan w:val="9"/>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20"/>
                <w:szCs w:val="20"/>
                <w:color w:val="0000FF"/>
              </w:rPr>
            </w:pPr>
            <w:hyperlink r:id="rId837">
              <w:r>
                <w:rPr>
                  <w:rFonts w:ascii="Arial" w:cs="Arial" w:eastAsia="Arial" w:hAnsi="Arial"/>
                  <w:sz w:val="20"/>
                  <w:szCs w:val="20"/>
                  <w:color w:val="0000FF"/>
                </w:rPr>
                <w:t>(included in Exhibit 4.6)</w:t>
              </w:r>
            </w:hyperlink>
          </w:p>
        </w:tc>
      </w:tr>
      <w:tr>
        <w:trPr>
          <w:trHeight w:val="20"/>
        </w:trPr>
        <w:tc>
          <w:tcPr>
            <w:tcW w:w="9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0"/>
        </w:trPr>
        <w:tc>
          <w:tcPr>
            <w:tcW w:w="940" w:type="dxa"/>
            <w:vAlign w:val="bottom"/>
          </w:tcPr>
          <w:p>
            <w:pPr>
              <w:jc w:val="center"/>
              <w:ind w:right="500"/>
              <w:spacing w:after="0"/>
              <w:rPr>
                <w:sz w:val="20"/>
                <w:szCs w:val="20"/>
                <w:color w:val="auto"/>
              </w:rPr>
            </w:pPr>
            <w:r>
              <w:rPr>
                <w:rFonts w:ascii="Arial" w:cs="Arial" w:eastAsia="Arial" w:hAnsi="Arial"/>
                <w:sz w:val="20"/>
                <w:szCs w:val="20"/>
                <w:color w:val="auto"/>
                <w:w w:val="87"/>
              </w:rPr>
              <w:t>10.1</w:t>
            </w:r>
          </w:p>
        </w:tc>
        <w:tc>
          <w:tcPr>
            <w:tcW w:w="8140" w:type="dxa"/>
            <w:vAlign w:val="bottom"/>
            <w:tcBorders>
              <w:bottom w:val="single" w:sz="8" w:color="0000FF"/>
            </w:tcBorders>
            <w:gridSpan w:val="13"/>
          </w:tcPr>
          <w:p>
            <w:pPr>
              <w:spacing w:after="0"/>
              <w:rPr>
                <w:rFonts w:ascii="Arial" w:cs="Arial" w:eastAsia="Arial" w:hAnsi="Arial"/>
                <w:sz w:val="20"/>
                <w:szCs w:val="20"/>
                <w:color w:val="0000FF"/>
                <w:w w:val="91"/>
              </w:rPr>
            </w:pPr>
            <w:hyperlink r:id="rId838">
              <w:r>
                <w:rPr>
                  <w:rFonts w:ascii="Arial" w:cs="Arial" w:eastAsia="Arial" w:hAnsi="Arial"/>
                  <w:sz w:val="20"/>
                  <w:szCs w:val="20"/>
                  <w:color w:val="0000FF"/>
                  <w:w w:val="91"/>
                </w:rPr>
                <w:t>2003 Executive Deferred Compensation Plan (Incorporated herein by reference to Exhibit 10.3 to the</w:t>
              </w:r>
            </w:hyperlink>
          </w:p>
        </w:tc>
        <w:tc>
          <w:tcPr>
            <w:tcW w:w="320" w:type="dxa"/>
            <w:vAlign w:val="bottom"/>
            <w:gridSpan w:val="4"/>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8100" w:type="dxa"/>
            <w:vAlign w:val="bottom"/>
            <w:tcBorders>
              <w:bottom w:val="single" w:sz="8" w:color="0000FF"/>
            </w:tcBorders>
            <w:gridSpan w:val="11"/>
          </w:tcPr>
          <w:p>
            <w:pPr>
              <w:spacing w:after="0"/>
              <w:rPr>
                <w:rFonts w:ascii="Arial" w:cs="Arial" w:eastAsia="Arial" w:hAnsi="Arial"/>
                <w:sz w:val="20"/>
                <w:szCs w:val="20"/>
                <w:color w:val="0000FF"/>
                <w:w w:val="91"/>
              </w:rPr>
            </w:pPr>
            <w:hyperlink r:id="rId838">
              <w:r>
                <w:rPr>
                  <w:rFonts w:ascii="Arial" w:cs="Arial" w:eastAsia="Arial" w:hAnsi="Arial"/>
                  <w:sz w:val="20"/>
                  <w:szCs w:val="20"/>
                  <w:color w:val="0000FF"/>
                  <w:w w:val="91"/>
                </w:rPr>
                <w:t>Company’s Annual Report on Form 10-K for the year ended December 31, 2008 file no. 000-23601,</w:t>
              </w:r>
            </w:hyperlink>
          </w:p>
        </w:tc>
        <w:tc>
          <w:tcPr>
            <w:tcW w:w="360" w:type="dxa"/>
            <w:vAlign w:val="bottom"/>
            <w:gridSpan w:val="6"/>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2000" w:type="dxa"/>
            <w:vAlign w:val="bottom"/>
            <w:tcBorders>
              <w:bottom w:val="single" w:sz="8" w:color="0000FF"/>
            </w:tcBorders>
            <w:gridSpan w:val="3"/>
          </w:tcPr>
          <w:p>
            <w:pPr>
              <w:spacing w:after="0"/>
              <w:rPr>
                <w:rFonts w:ascii="Arial" w:cs="Arial" w:eastAsia="Arial" w:hAnsi="Arial"/>
                <w:sz w:val="20"/>
                <w:szCs w:val="20"/>
                <w:color w:val="0000FF"/>
                <w:w w:val="91"/>
              </w:rPr>
            </w:pPr>
            <w:hyperlink r:id="rId838">
              <w:r>
                <w:rPr>
                  <w:rFonts w:ascii="Arial" w:cs="Arial" w:eastAsia="Arial" w:hAnsi="Arial"/>
                  <w:sz w:val="20"/>
                  <w:szCs w:val="20"/>
                  <w:color w:val="0000FF"/>
                  <w:w w:val="91"/>
                </w:rPr>
                <w:t>filed on March 27, 2009)</w:t>
              </w:r>
            </w:hyperlink>
          </w:p>
        </w:tc>
        <w:tc>
          <w:tcPr>
            <w:tcW w:w="6460" w:type="dxa"/>
            <w:vAlign w:val="bottom"/>
            <w:gridSpan w:val="14"/>
          </w:tcPr>
          <w:p>
            <w:pPr>
              <w:spacing w:after="0"/>
              <w:rPr>
                <w:sz w:val="24"/>
                <w:szCs w:val="24"/>
                <w:color w:val="auto"/>
              </w:rPr>
            </w:pPr>
          </w:p>
        </w:tc>
      </w:tr>
      <w:tr>
        <w:trPr>
          <w:trHeight w:val="580"/>
        </w:trPr>
        <w:tc>
          <w:tcPr>
            <w:tcW w:w="940" w:type="dxa"/>
            <w:vAlign w:val="bottom"/>
          </w:tcPr>
          <w:p>
            <w:pPr>
              <w:jc w:val="center"/>
              <w:ind w:right="500"/>
              <w:spacing w:after="0"/>
              <w:rPr>
                <w:sz w:val="20"/>
                <w:szCs w:val="20"/>
                <w:color w:val="auto"/>
              </w:rPr>
            </w:pPr>
            <w:r>
              <w:rPr>
                <w:rFonts w:ascii="Arial" w:cs="Arial" w:eastAsia="Arial" w:hAnsi="Arial"/>
                <w:sz w:val="20"/>
                <w:szCs w:val="20"/>
                <w:color w:val="auto"/>
                <w:w w:val="87"/>
              </w:rPr>
              <w:t>10.2</w:t>
            </w:r>
          </w:p>
        </w:tc>
        <w:tc>
          <w:tcPr>
            <w:tcW w:w="8040" w:type="dxa"/>
            <w:vAlign w:val="bottom"/>
            <w:tcBorders>
              <w:bottom w:val="single" w:sz="8" w:color="0000FF"/>
            </w:tcBorders>
            <w:gridSpan w:val="10"/>
          </w:tcPr>
          <w:p>
            <w:pPr>
              <w:spacing w:after="0"/>
              <w:rPr>
                <w:rFonts w:ascii="Arial" w:cs="Arial" w:eastAsia="Arial" w:hAnsi="Arial"/>
                <w:sz w:val="20"/>
                <w:szCs w:val="20"/>
                <w:color w:val="0000FF"/>
                <w:w w:val="90"/>
              </w:rPr>
            </w:pPr>
            <w:hyperlink r:id="rId839">
              <w:r>
                <w:rPr>
                  <w:rFonts w:ascii="Arial" w:cs="Arial" w:eastAsia="Arial" w:hAnsi="Arial"/>
                  <w:sz w:val="20"/>
                  <w:szCs w:val="20"/>
                  <w:color w:val="0000FF"/>
                  <w:w w:val="90"/>
                </w:rPr>
                <w:t>2003 Trustee Deferred Fee Plan (Incorporated herein by reference to Exhibit 10.4 to the Company’s</w:t>
              </w:r>
            </w:hyperlink>
          </w:p>
        </w:tc>
        <w:tc>
          <w:tcPr>
            <w:tcW w:w="420" w:type="dxa"/>
            <w:vAlign w:val="bottom"/>
            <w:gridSpan w:val="7"/>
          </w:tcPr>
          <w:p>
            <w:pPr>
              <w:spacing w:after="0"/>
              <w:rPr>
                <w:sz w:val="24"/>
                <w:szCs w:val="24"/>
                <w:color w:val="auto"/>
              </w:rPr>
            </w:pPr>
          </w:p>
        </w:tc>
      </w:tr>
      <w:tr>
        <w:trPr>
          <w:trHeight w:val="280"/>
        </w:trPr>
        <w:tc>
          <w:tcPr>
            <w:tcW w:w="94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20"/>
                <w:szCs w:val="20"/>
                <w:color w:val="0000FF"/>
                <w:w w:val="93"/>
              </w:rPr>
            </w:pPr>
            <w:hyperlink r:id="rId839">
              <w:r>
                <w:rPr>
                  <w:rFonts w:ascii="Arial" w:cs="Arial" w:eastAsia="Arial" w:hAnsi="Arial"/>
                  <w:sz w:val="20"/>
                  <w:szCs w:val="20"/>
                  <w:color w:val="0000FF"/>
                  <w:w w:val="93"/>
                </w:rPr>
                <w:t>Annual Report on Form 10-K for the year ended December 31, 2008 file no. 000-23601, filed on March</w:t>
              </w:r>
            </w:hyperlink>
          </w:p>
        </w:tc>
      </w:tr>
      <w:tr>
        <w:trPr>
          <w:trHeight w:val="280"/>
        </w:trPr>
        <w:tc>
          <w:tcPr>
            <w:tcW w:w="940" w:type="dxa"/>
            <w:vAlign w:val="bottom"/>
          </w:tcPr>
          <w:p>
            <w:pPr>
              <w:spacing w:after="0"/>
              <w:rPr>
                <w:sz w:val="24"/>
                <w:szCs w:val="24"/>
                <w:color w:val="auto"/>
              </w:rPr>
            </w:pPr>
          </w:p>
        </w:tc>
        <w:tc>
          <w:tcPr>
            <w:tcW w:w="1960" w:type="dxa"/>
            <w:vAlign w:val="bottom"/>
            <w:tcBorders>
              <w:top w:val="single" w:sz="8" w:color="0000FF"/>
            </w:tcBorders>
            <w:gridSpan w:val="2"/>
          </w:tcPr>
          <w:p>
            <w:pPr>
              <w:spacing w:after="0"/>
              <w:rPr>
                <w:rFonts w:ascii="Arial" w:cs="Arial" w:eastAsia="Arial" w:hAnsi="Arial"/>
                <w:sz w:val="20"/>
                <w:szCs w:val="20"/>
                <w:color w:val="0000FF"/>
              </w:rPr>
            </w:pPr>
            <w:hyperlink r:id="rId839">
              <w:r>
                <w:rPr>
                  <w:rFonts w:ascii="Arial" w:cs="Arial" w:eastAsia="Arial" w:hAnsi="Arial"/>
                  <w:sz w:val="20"/>
                  <w:szCs w:val="20"/>
                  <w:color w:val="0000FF"/>
                </w:rPr>
                <w:t>27, 2009)</w:t>
              </w:r>
            </w:hyperlink>
          </w:p>
        </w:tc>
        <w:tc>
          <w:tcPr>
            <w:tcW w:w="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9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400" w:type="dxa"/>
            <w:vAlign w:val="bottom"/>
            <w:gridSpan w:val="4"/>
          </w:tcPr>
          <w:p>
            <w:pPr>
              <w:jc w:val="right"/>
              <w:ind w:right="1120"/>
              <w:spacing w:after="0"/>
              <w:rPr>
                <w:sz w:val="20"/>
                <w:szCs w:val="20"/>
                <w:color w:val="auto"/>
              </w:rPr>
            </w:pPr>
            <w:r>
              <w:rPr>
                <w:rFonts w:ascii="Arial" w:cs="Arial" w:eastAsia="Arial" w:hAnsi="Arial"/>
                <w:sz w:val="22"/>
                <w:szCs w:val="22"/>
                <w:color w:val="auto"/>
              </w:rPr>
              <w:t>- 117 -</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95"/>
        </w:trPr>
        <w:tc>
          <w:tcPr>
            <w:tcW w:w="94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1">
                      <a:extLst>
                        <a:ext uri="{28A0092B-C50C-407E-A947-70E740481C1C}"/>
                      </a:extLst>
                    </a:blip>
                    <a:srcRect/>
                    <a:stretch>
                      <a:fillRect/>
                    </a:stretch>
                  </pic:blipFill>
                  <pic:spPr bwMode="auto">
                    <a:xfrm>
                      <a:off x="0" y="0"/>
                      <a:ext cx="9525" cy="190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2870835</wp:posOffset>
                </wp:positionH>
                <wp:positionV relativeFrom="paragraph">
                  <wp:posOffset>-4363085</wp:posOffset>
                </wp:positionV>
                <wp:extent cx="34925" cy="0"/>
                <wp:wrapNone/>
                <wp:docPr id="822" name="Shape 8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4763"/>
                        </a:xfrm>
                        <a:prstGeom prst="line">
                          <a:avLst/>
                        </a:prstGeom>
                        <a:solidFill>
                          <a:srgbClr val="FFFFFF"/>
                        </a:solidFill>
                        <a:ln w="6818">
                          <a:solidFill>
                            <a:srgbClr val="0000FF"/>
                          </a:solidFill>
                          <a:miter lim="800000"/>
                          <a:headEnd/>
                          <a:tailEnd/>
                        </a:ln>
                      </wps:spPr>
                      <wps:bodyPr/>
                    </wps:wsp>
                  </a:graphicData>
                </a:graphic>
              </wp:anchor>
            </w:drawing>
          </mc:Choice>
          <mc:Fallback>
            <w:pict>
              <v:line id="Shape 822" o:spid="_x0000_s18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05pt,-343.5499pt" to="228.8pt,-343.5499pt" o:allowincell="f" strokecolor="#0000FF" strokeweight="0.5369pt"/>
            </w:pict>
          </mc:Fallback>
        </mc:AlternateContent>
      </w:r>
    </w:p>
    <w:p>
      <w:pPr>
        <w:sectPr>
          <w:pgSz w:w="11900" w:h="16838" w:orient="portrait"/>
          <w:cols w:equalWidth="0" w:num="1">
            <w:col w:w="9400"/>
          </w:cols>
          <w:pgMar w:left="1260" w:top="114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25</w:t>
      </w:r>
    </w:p>
    <w:p>
      <w:pPr>
        <w:sectPr>
          <w:pgSz w:w="11900" w:h="16838" w:orient="portrait"/>
          <w:cols w:equalWidth="0" w:num="1">
            <w:col w:w="9400"/>
          </w:cols>
          <w:pgMar w:left="1260" w:top="1143" w:right="1246" w:bottom="0" w:gutter="0" w:footer="0" w:header="0"/>
          <w:type w:val="continuous"/>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40" w:right="220" w:hanging="939"/>
        <w:spacing w:after="0" w:line="330" w:lineRule="auto"/>
        <w:tabs>
          <w:tab w:leader="none" w:pos="920" w:val="left"/>
        </w:tabs>
        <w:rPr>
          <w:rFonts w:ascii="Arial" w:cs="Arial" w:eastAsia="Arial" w:hAnsi="Arial"/>
          <w:sz w:val="19"/>
          <w:szCs w:val="19"/>
          <w:u w:val="single" w:color="auto"/>
          <w:color w:val="0000FF"/>
        </w:rPr>
      </w:pPr>
      <w:r>
        <w:rPr>
          <w:rFonts w:ascii="Arial" w:cs="Arial" w:eastAsia="Arial" w:hAnsi="Arial"/>
          <w:sz w:val="20"/>
          <w:szCs w:val="20"/>
          <w:color w:val="auto"/>
        </w:rPr>
        <w:t>10.5</w:t>
      </w:r>
      <w:r>
        <w:rPr>
          <w:sz w:val="20"/>
          <w:szCs w:val="20"/>
          <w:color w:val="auto"/>
        </w:rPr>
        <w:tab/>
      </w:r>
      <w:hyperlink r:id="rId842">
        <w:r>
          <w:rPr>
            <w:rFonts w:ascii="Arial" w:cs="Arial" w:eastAsia="Arial" w:hAnsi="Arial"/>
            <w:sz w:val="19"/>
            <w:szCs w:val="19"/>
            <w:u w:val="single" w:color="auto"/>
            <w:color w:val="0000FF"/>
          </w:rPr>
          <w:t>Executive Supplemental Retirement Plan Agreement between Pathfinder Bank and James A. Dowd</w:t>
        </w:r>
      </w:hyperlink>
      <w:r>
        <w:rPr>
          <w:rFonts w:ascii="Arial" w:cs="Arial" w:eastAsia="Arial" w:hAnsi="Arial"/>
          <w:sz w:val="19"/>
          <w:szCs w:val="19"/>
          <w:u w:val="single" w:color="auto"/>
          <w:color w:val="0000FF"/>
        </w:rPr>
        <w:t xml:space="preserve"> </w:t>
      </w:r>
      <w:hyperlink r:id="rId842">
        <w:r>
          <w:rPr>
            <w:rFonts w:ascii="Arial" w:cs="Arial" w:eastAsia="Arial" w:hAnsi="Arial"/>
            <w:sz w:val="19"/>
            <w:szCs w:val="19"/>
            <w:u w:val="single" w:color="auto"/>
            <w:color w:val="0000FF"/>
          </w:rPr>
          <w:t>effective February 24, 2014 (Incorporated by reference to Exhibit 10.15 to Pathfinder Bancorp, Inc.’s</w:t>
        </w:r>
      </w:hyperlink>
      <w:r>
        <w:rPr>
          <w:rFonts w:ascii="Arial" w:cs="Arial" w:eastAsia="Arial" w:hAnsi="Arial"/>
          <w:sz w:val="19"/>
          <w:szCs w:val="19"/>
          <w:u w:val="single" w:color="auto"/>
          <w:color w:val="0000FF"/>
        </w:rPr>
        <w:t xml:space="preserve"> </w:t>
      </w:r>
      <w:hyperlink r:id="rId842">
        <w:r>
          <w:rPr>
            <w:rFonts w:ascii="Arial" w:cs="Arial" w:eastAsia="Arial" w:hAnsi="Arial"/>
            <w:sz w:val="19"/>
            <w:szCs w:val="19"/>
            <w:u w:val="single" w:color="auto"/>
            <w:color w:val="0000FF"/>
          </w:rPr>
          <w:t>Current Report Form 8-K, file no. 000-23601, filed on February 25, 2014)</w:t>
        </w:r>
      </w:hyperlink>
    </w:p>
    <w:p>
      <w:pPr>
        <w:spacing w:after="0" w:line="329" w:lineRule="exact"/>
        <w:rPr>
          <w:rFonts w:ascii="Arial" w:cs="Arial" w:eastAsia="Arial" w:hAnsi="Arial"/>
          <w:sz w:val="19"/>
          <w:szCs w:val="19"/>
          <w:u w:val="single" w:color="auto"/>
          <w:color w:val="0000FF"/>
        </w:rPr>
      </w:pPr>
    </w:p>
    <w:p>
      <w:pPr>
        <w:ind w:left="940" w:hanging="939"/>
        <w:spacing w:after="0" w:line="352" w:lineRule="auto"/>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10.6</w:t>
      </w:r>
      <w:r>
        <w:rPr>
          <w:sz w:val="20"/>
          <w:szCs w:val="20"/>
          <w:color w:val="auto"/>
        </w:rPr>
        <w:tab/>
      </w:r>
      <w:hyperlink r:id="rId843">
        <w:r>
          <w:rPr>
            <w:rFonts w:ascii="Arial" w:cs="Arial" w:eastAsia="Arial" w:hAnsi="Arial"/>
            <w:sz w:val="18"/>
            <w:szCs w:val="18"/>
            <w:u w:val="single" w:color="auto"/>
            <w:color w:val="0000FF"/>
          </w:rPr>
          <w:t>Amended and Restated Declaration of Trust among Pathfinder Bancorp, Inc., a federal corporation, as</w:t>
        </w:r>
      </w:hyperlink>
      <w:r>
        <w:rPr>
          <w:rFonts w:ascii="Arial" w:cs="Arial" w:eastAsia="Arial" w:hAnsi="Arial"/>
          <w:sz w:val="18"/>
          <w:szCs w:val="18"/>
          <w:u w:val="single" w:color="auto"/>
          <w:color w:val="0000FF"/>
        </w:rPr>
        <w:t xml:space="preserve"> </w:t>
      </w:r>
      <w:hyperlink r:id="rId843">
        <w:r>
          <w:rPr>
            <w:rFonts w:ascii="Arial" w:cs="Arial" w:eastAsia="Arial" w:hAnsi="Arial"/>
            <w:sz w:val="18"/>
            <w:szCs w:val="18"/>
            <w:u w:val="single" w:color="auto"/>
            <w:color w:val="0000FF"/>
          </w:rPr>
          <w:t>Sponsor, Wilmington Trust Company, as Delaware and Institutional Trustee, and the administrative</w:t>
        </w:r>
      </w:hyperlink>
      <w:r>
        <w:rPr>
          <w:rFonts w:ascii="Arial" w:cs="Arial" w:eastAsia="Arial" w:hAnsi="Arial"/>
          <w:sz w:val="18"/>
          <w:szCs w:val="18"/>
          <w:u w:val="single" w:color="auto"/>
          <w:color w:val="0000FF"/>
        </w:rPr>
        <w:t xml:space="preserve"> </w:t>
      </w:r>
      <w:hyperlink r:id="rId843">
        <w:r>
          <w:rPr>
            <w:rFonts w:ascii="Arial" w:cs="Arial" w:eastAsia="Arial" w:hAnsi="Arial"/>
            <w:sz w:val="18"/>
            <w:szCs w:val="18"/>
            <w:u w:val="single" w:color="auto"/>
            <w:color w:val="0000FF"/>
          </w:rPr>
          <w:t>trustees of the Pathfinder Statutory Trust II (Incorporated herein by reference to Exhibit 10.1 to</w:t>
        </w:r>
      </w:hyperlink>
      <w:r>
        <w:rPr>
          <w:rFonts w:ascii="Arial" w:cs="Arial" w:eastAsia="Arial" w:hAnsi="Arial"/>
          <w:sz w:val="18"/>
          <w:szCs w:val="18"/>
          <w:u w:val="single" w:color="auto"/>
          <w:color w:val="0000FF"/>
        </w:rPr>
        <w:t xml:space="preserve"> </w:t>
      </w:r>
      <w:hyperlink r:id="rId843">
        <w:r>
          <w:rPr>
            <w:rFonts w:ascii="Arial" w:cs="Arial" w:eastAsia="Arial" w:hAnsi="Arial"/>
            <w:sz w:val="18"/>
            <w:szCs w:val="18"/>
            <w:u w:val="single" w:color="auto"/>
            <w:color w:val="0000FF"/>
          </w:rPr>
          <w:t>Pathfinder Bancorp, Inc.’s Current Report on Form 8-K, file no. 001-36695, filed on October 22, 2014)</w:t>
        </w:r>
      </w:hyperlink>
    </w:p>
    <w:p>
      <w:pPr>
        <w:spacing w:after="0" w:line="286" w:lineRule="exact"/>
        <w:rPr>
          <w:rFonts w:ascii="Arial" w:cs="Arial" w:eastAsia="Arial" w:hAnsi="Arial"/>
          <w:sz w:val="18"/>
          <w:szCs w:val="18"/>
          <w:u w:val="single" w:color="auto"/>
          <w:color w:val="0000FF"/>
        </w:rPr>
      </w:pPr>
    </w:p>
    <w:p>
      <w:pPr>
        <w:ind w:left="940" w:right="40" w:hanging="939"/>
        <w:spacing w:after="0" w:line="363" w:lineRule="auto"/>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10.7</w:t>
      </w:r>
      <w:r>
        <w:rPr>
          <w:sz w:val="20"/>
          <w:szCs w:val="20"/>
          <w:color w:val="auto"/>
        </w:rPr>
        <w:tab/>
      </w:r>
      <w:hyperlink r:id="rId844">
        <w:r>
          <w:rPr>
            <w:rFonts w:ascii="Arial" w:cs="Arial" w:eastAsia="Arial" w:hAnsi="Arial"/>
            <w:sz w:val="18"/>
            <w:szCs w:val="18"/>
            <w:u w:val="single" w:color="auto"/>
            <w:color w:val="0000FF"/>
          </w:rPr>
          <w:t>Amendment two to the Trustee Deferral Fee Plan (Incorporated by reference to Exhibit 10.17 to</w:t>
        </w:r>
      </w:hyperlink>
      <w:r>
        <w:rPr>
          <w:rFonts w:ascii="Arial" w:cs="Arial" w:eastAsia="Arial" w:hAnsi="Arial"/>
          <w:sz w:val="18"/>
          <w:szCs w:val="18"/>
          <w:u w:val="single" w:color="auto"/>
          <w:color w:val="0000FF"/>
        </w:rPr>
        <w:t xml:space="preserve"> </w:t>
      </w:r>
      <w:hyperlink r:id="rId844">
        <w:r>
          <w:rPr>
            <w:rFonts w:ascii="Arial" w:cs="Arial" w:eastAsia="Arial" w:hAnsi="Arial"/>
            <w:sz w:val="18"/>
            <w:szCs w:val="18"/>
            <w:u w:val="single" w:color="auto"/>
            <w:color w:val="0000FF"/>
          </w:rPr>
          <w:t>Pathfinder Bancorp, Inc.’s Annual Report on Form 10-K, file no. 001-36695, filed on March 18, 2015)</w:t>
        </w:r>
      </w:hyperlink>
    </w:p>
    <w:p>
      <w:pPr>
        <w:spacing w:after="0" w:line="264" w:lineRule="exact"/>
        <w:rPr>
          <w:sz w:val="20"/>
          <w:szCs w:val="20"/>
          <w:color w:val="auto"/>
        </w:rPr>
      </w:pPr>
    </w:p>
    <w:p>
      <w:pPr>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10.8</w:t>
      </w:r>
      <w:r>
        <w:rPr>
          <w:sz w:val="20"/>
          <w:szCs w:val="20"/>
          <w:color w:val="auto"/>
        </w:rPr>
        <w:tab/>
      </w:r>
      <w:hyperlink r:id="rId844">
        <w:r>
          <w:rPr>
            <w:rFonts w:ascii="Arial" w:cs="Arial" w:eastAsia="Arial" w:hAnsi="Arial"/>
            <w:sz w:val="18"/>
            <w:szCs w:val="18"/>
            <w:u w:val="single" w:color="auto"/>
            <w:color w:val="0000FF"/>
          </w:rPr>
          <w:t>Amendment one to the Executive Deferral Compensation Plan (Incorporated by reference to Exhibit</w:t>
        </w:r>
      </w:hyperlink>
    </w:p>
    <w:p>
      <w:pPr>
        <w:spacing w:after="0" w:line="80" w:lineRule="exact"/>
        <w:rPr>
          <w:sz w:val="20"/>
          <w:szCs w:val="20"/>
          <w:color w:val="auto"/>
        </w:rPr>
      </w:pPr>
    </w:p>
    <w:p>
      <w:pPr>
        <w:ind w:left="940"/>
        <w:spacing w:after="0"/>
        <w:rPr>
          <w:rFonts w:ascii="Arial" w:cs="Arial" w:eastAsia="Arial" w:hAnsi="Arial"/>
          <w:sz w:val="18"/>
          <w:szCs w:val="18"/>
          <w:u w:val="single" w:color="auto"/>
          <w:color w:val="0000FF"/>
        </w:rPr>
      </w:pPr>
      <w:hyperlink r:id="rId844">
        <w:r>
          <w:rPr>
            <w:rFonts w:ascii="Arial" w:cs="Arial" w:eastAsia="Arial" w:hAnsi="Arial"/>
            <w:sz w:val="18"/>
            <w:szCs w:val="18"/>
            <w:u w:val="single" w:color="auto"/>
            <w:color w:val="0000FF"/>
          </w:rPr>
          <w:t>10.18 to Pathfinder Bancorp, Inc.’s Annual Report on Form 10-K, file no. 001-36695, filed on March</w:t>
        </w:r>
      </w:hyperlink>
    </w:p>
    <w:p>
      <w:pPr>
        <w:spacing w:after="0" w:line="83" w:lineRule="exact"/>
        <w:rPr>
          <w:sz w:val="20"/>
          <w:szCs w:val="20"/>
          <w:color w:val="auto"/>
        </w:rPr>
      </w:pPr>
    </w:p>
    <w:p>
      <w:pPr>
        <w:ind w:left="940"/>
        <w:spacing w:after="0"/>
        <w:rPr>
          <w:rFonts w:ascii="Arial" w:cs="Arial" w:eastAsia="Arial" w:hAnsi="Arial"/>
          <w:sz w:val="20"/>
          <w:szCs w:val="20"/>
          <w:u w:val="single" w:color="auto"/>
          <w:color w:val="0000FF"/>
        </w:rPr>
      </w:pPr>
      <w:hyperlink r:id="rId844">
        <w:r>
          <w:rPr>
            <w:rFonts w:ascii="Arial" w:cs="Arial" w:eastAsia="Arial" w:hAnsi="Arial"/>
            <w:sz w:val="20"/>
            <w:szCs w:val="20"/>
            <w:u w:val="single" w:color="auto"/>
            <w:color w:val="0000FF"/>
          </w:rPr>
          <w:t>18, 2015)</w:t>
        </w:r>
      </w:hyperlink>
    </w:p>
    <w:p>
      <w:pPr>
        <w:spacing w:after="0" w:line="370" w:lineRule="exact"/>
        <w:rPr>
          <w:sz w:val="20"/>
          <w:szCs w:val="20"/>
          <w:color w:val="auto"/>
        </w:rPr>
      </w:pPr>
    </w:p>
    <w:p>
      <w:pPr>
        <w:spacing w:after="0"/>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10.9</w:t>
      </w:r>
      <w:r>
        <w:rPr>
          <w:sz w:val="20"/>
          <w:szCs w:val="20"/>
          <w:color w:val="auto"/>
        </w:rPr>
        <w:tab/>
      </w:r>
      <w:hyperlink r:id="rId844">
        <w:r>
          <w:rPr>
            <w:rFonts w:ascii="Arial" w:cs="Arial" w:eastAsia="Arial" w:hAnsi="Arial"/>
            <w:sz w:val="18"/>
            <w:szCs w:val="18"/>
            <w:u w:val="single" w:color="auto"/>
            <w:color w:val="0000FF"/>
          </w:rPr>
          <w:t>Amendment one to the Supplemental Executive Retirement Plan (Incorporated by reference to Exhibit</w:t>
        </w:r>
      </w:hyperlink>
    </w:p>
    <w:p>
      <w:pPr>
        <w:spacing w:after="0" w:line="80" w:lineRule="exact"/>
        <w:rPr>
          <w:sz w:val="20"/>
          <w:szCs w:val="20"/>
          <w:color w:val="auto"/>
        </w:rPr>
      </w:pPr>
    </w:p>
    <w:p>
      <w:pPr>
        <w:ind w:left="940"/>
        <w:spacing w:after="0"/>
        <w:rPr>
          <w:rFonts w:ascii="Arial" w:cs="Arial" w:eastAsia="Arial" w:hAnsi="Arial"/>
          <w:sz w:val="18"/>
          <w:szCs w:val="18"/>
          <w:u w:val="single" w:color="auto"/>
          <w:color w:val="0000FF"/>
        </w:rPr>
      </w:pPr>
      <w:hyperlink r:id="rId844">
        <w:r>
          <w:rPr>
            <w:rFonts w:ascii="Arial" w:cs="Arial" w:eastAsia="Arial" w:hAnsi="Arial"/>
            <w:sz w:val="18"/>
            <w:szCs w:val="18"/>
            <w:u w:val="single" w:color="auto"/>
            <w:color w:val="0000FF"/>
          </w:rPr>
          <w:t>10.19 to Pathfinder Bancorp, Inc.’s Annual Report on Form 10-K, file no. 001-36695, filed on March</w:t>
        </w:r>
      </w:hyperlink>
    </w:p>
    <w:p>
      <w:pPr>
        <w:spacing w:after="0" w:line="83" w:lineRule="exact"/>
        <w:rPr>
          <w:sz w:val="20"/>
          <w:szCs w:val="20"/>
          <w:color w:val="auto"/>
        </w:rPr>
      </w:pPr>
    </w:p>
    <w:p>
      <w:pPr>
        <w:ind w:left="940"/>
        <w:spacing w:after="0"/>
        <w:rPr>
          <w:rFonts w:ascii="Arial" w:cs="Arial" w:eastAsia="Arial" w:hAnsi="Arial"/>
          <w:sz w:val="20"/>
          <w:szCs w:val="20"/>
          <w:u w:val="single" w:color="auto"/>
          <w:color w:val="0000FF"/>
        </w:rPr>
      </w:pPr>
      <w:hyperlink r:id="rId844">
        <w:r>
          <w:rPr>
            <w:rFonts w:ascii="Arial" w:cs="Arial" w:eastAsia="Arial" w:hAnsi="Arial"/>
            <w:sz w:val="20"/>
            <w:szCs w:val="20"/>
            <w:u w:val="single" w:color="auto"/>
            <w:color w:val="0000FF"/>
          </w:rPr>
          <w:t>18, 2015)</w:t>
        </w:r>
      </w:hyperlink>
    </w:p>
    <w:p>
      <w:pPr>
        <w:spacing w:after="0" w:line="380" w:lineRule="exact"/>
        <w:rPr>
          <w:sz w:val="20"/>
          <w:szCs w:val="20"/>
          <w:color w:val="auto"/>
        </w:rPr>
      </w:pPr>
    </w:p>
    <w:p>
      <w:pPr>
        <w:ind w:left="940" w:right="100" w:hanging="939"/>
        <w:spacing w:after="0" w:line="302"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10.10</w:t>
      </w:r>
      <w:r>
        <w:rPr>
          <w:sz w:val="20"/>
          <w:szCs w:val="20"/>
          <w:color w:val="auto"/>
        </w:rPr>
        <w:tab/>
      </w:r>
      <w:hyperlink r:id="rId845">
        <w:r>
          <w:rPr>
            <w:rFonts w:ascii="Arial" w:cs="Arial" w:eastAsia="Arial" w:hAnsi="Arial"/>
            <w:sz w:val="20"/>
            <w:szCs w:val="20"/>
            <w:u w:val="single" w:color="auto"/>
            <w:color w:val="0000FF"/>
          </w:rPr>
          <w:t>Subordinated Loan Agreement (Incorporated herein by reference to Pathfinder Bancorp, Inc.’s Current</w:t>
        </w:r>
      </w:hyperlink>
      <w:r>
        <w:rPr>
          <w:rFonts w:ascii="Arial" w:cs="Arial" w:eastAsia="Arial" w:hAnsi="Arial"/>
          <w:sz w:val="20"/>
          <w:szCs w:val="20"/>
          <w:u w:val="single" w:color="auto"/>
          <w:color w:val="0000FF"/>
        </w:rPr>
        <w:t xml:space="preserve"> </w:t>
      </w:r>
      <w:hyperlink r:id="rId845">
        <w:r>
          <w:rPr>
            <w:rFonts w:ascii="Arial" w:cs="Arial" w:eastAsia="Arial" w:hAnsi="Arial"/>
            <w:sz w:val="20"/>
            <w:szCs w:val="20"/>
            <w:u w:val="single" w:color="auto"/>
            <w:color w:val="0000FF"/>
          </w:rPr>
          <w:t>Report on Form 8-K, file no. 001-36695, filed on October 19, 2015)</w:t>
        </w:r>
      </w:hyperlink>
    </w:p>
    <w:p>
      <w:pPr>
        <w:spacing w:after="0" w:line="321" w:lineRule="exact"/>
        <w:rPr>
          <w:sz w:val="20"/>
          <w:szCs w:val="20"/>
          <w:color w:val="auto"/>
        </w:rPr>
      </w:pPr>
    </w:p>
    <w:p>
      <w:pPr>
        <w:ind w:left="940" w:right="500" w:hanging="939"/>
        <w:spacing w:after="0" w:line="331" w:lineRule="auto"/>
        <w:tabs>
          <w:tab w:leader="none" w:pos="920" w:val="left"/>
        </w:tabs>
        <w:rPr>
          <w:rFonts w:ascii="Arial" w:cs="Arial" w:eastAsia="Arial" w:hAnsi="Arial"/>
          <w:sz w:val="19"/>
          <w:szCs w:val="19"/>
          <w:u w:val="single" w:color="auto"/>
          <w:color w:val="0000FF"/>
        </w:rPr>
      </w:pPr>
      <w:r>
        <w:rPr>
          <w:rFonts w:ascii="Arial" w:cs="Arial" w:eastAsia="Arial" w:hAnsi="Arial"/>
          <w:sz w:val="20"/>
          <w:szCs w:val="20"/>
          <w:color w:val="auto"/>
        </w:rPr>
        <w:t>10.11</w:t>
      </w:r>
      <w:r>
        <w:rPr>
          <w:sz w:val="20"/>
          <w:szCs w:val="20"/>
          <w:color w:val="auto"/>
        </w:rPr>
        <w:tab/>
      </w:r>
      <w:hyperlink r:id="rId846">
        <w:r>
          <w:rPr>
            <w:rFonts w:ascii="Arial" w:cs="Arial" w:eastAsia="Arial" w:hAnsi="Arial"/>
            <w:sz w:val="19"/>
            <w:szCs w:val="19"/>
            <w:u w:val="single" w:color="auto"/>
            <w:color w:val="0000FF"/>
          </w:rPr>
          <w:t>2016 Pathfinder Bancorp, Inc. Equity Incentive Plan (Incorporated by reference to Appendix A to</w:t>
        </w:r>
      </w:hyperlink>
      <w:r>
        <w:rPr>
          <w:rFonts w:ascii="Arial" w:cs="Arial" w:eastAsia="Arial" w:hAnsi="Arial"/>
          <w:sz w:val="19"/>
          <w:szCs w:val="19"/>
          <w:u w:val="single" w:color="auto"/>
          <w:color w:val="0000FF"/>
        </w:rPr>
        <w:t xml:space="preserve"> </w:t>
      </w:r>
      <w:hyperlink r:id="rId846">
        <w:r>
          <w:rPr>
            <w:rFonts w:ascii="Arial" w:cs="Arial" w:eastAsia="Arial" w:hAnsi="Arial"/>
            <w:sz w:val="19"/>
            <w:szCs w:val="19"/>
            <w:u w:val="single" w:color="auto"/>
            <w:color w:val="0000FF"/>
          </w:rPr>
          <w:t>Pathfinder Bancorp, Inc.’s Proxy Statement, file no. 001-36695, filed on March 29, 2016.</w:t>
        </w:r>
      </w:hyperlink>
    </w:p>
    <w:p>
      <w:pPr>
        <w:spacing w:after="0" w:line="327" w:lineRule="exact"/>
        <w:rPr>
          <w:sz w:val="20"/>
          <w:szCs w:val="20"/>
          <w:color w:val="auto"/>
        </w:rPr>
      </w:pPr>
    </w:p>
    <w:p>
      <w:pPr>
        <w:jc w:val="both"/>
        <w:ind w:left="940" w:right="180" w:hanging="939"/>
        <w:spacing w:after="0" w:line="330" w:lineRule="auto"/>
        <w:tabs>
          <w:tab w:leader="none" w:pos="920" w:val="left"/>
        </w:tabs>
        <w:rPr>
          <w:rFonts w:ascii="Arial" w:cs="Arial" w:eastAsia="Arial" w:hAnsi="Arial"/>
          <w:sz w:val="19"/>
          <w:szCs w:val="19"/>
          <w:u w:val="single" w:color="auto"/>
          <w:color w:val="0000FF"/>
        </w:rPr>
      </w:pPr>
      <w:r>
        <w:rPr>
          <w:rFonts w:ascii="Arial" w:cs="Arial" w:eastAsia="Arial" w:hAnsi="Arial"/>
          <w:sz w:val="20"/>
          <w:szCs w:val="20"/>
          <w:color w:val="auto"/>
        </w:rPr>
        <w:t>10.12</w:t>
      </w:r>
      <w:r>
        <w:rPr>
          <w:sz w:val="20"/>
          <w:szCs w:val="20"/>
          <w:color w:val="auto"/>
        </w:rPr>
        <w:tab/>
      </w:r>
      <w:hyperlink r:id="rId847">
        <w:r>
          <w:rPr>
            <w:rFonts w:ascii="Arial" w:cs="Arial" w:eastAsia="Arial" w:hAnsi="Arial"/>
            <w:sz w:val="19"/>
            <w:szCs w:val="19"/>
            <w:u w:val="single" w:color="auto"/>
            <w:color w:val="0000FF"/>
          </w:rPr>
          <w:t>Executive Supplemental Retirement Plan Agreement between Pathfinder Bank and Ronald Tascarella</w:t>
        </w:r>
      </w:hyperlink>
      <w:r>
        <w:rPr>
          <w:rFonts w:ascii="Arial" w:cs="Arial" w:eastAsia="Arial" w:hAnsi="Arial"/>
          <w:sz w:val="19"/>
          <w:szCs w:val="19"/>
          <w:u w:val="single" w:color="auto"/>
          <w:color w:val="0000FF"/>
        </w:rPr>
        <w:t xml:space="preserve"> </w:t>
      </w:r>
      <w:hyperlink r:id="rId847">
        <w:r>
          <w:rPr>
            <w:rFonts w:ascii="Arial" w:cs="Arial" w:eastAsia="Arial" w:hAnsi="Arial"/>
            <w:sz w:val="19"/>
            <w:szCs w:val="19"/>
            <w:u w:val="single" w:color="auto"/>
            <w:color w:val="0000FF"/>
          </w:rPr>
          <w:t>effective February 24, 2014 (Incorporated by reference to Exhibit 10.14 to Pathfinder Bancorp, Inc.’s</w:t>
        </w:r>
      </w:hyperlink>
      <w:r>
        <w:rPr>
          <w:rFonts w:ascii="Arial" w:cs="Arial" w:eastAsia="Arial" w:hAnsi="Arial"/>
          <w:sz w:val="19"/>
          <w:szCs w:val="19"/>
          <w:u w:val="single" w:color="auto"/>
          <w:color w:val="0000FF"/>
        </w:rPr>
        <w:t xml:space="preserve"> </w:t>
      </w:r>
      <w:hyperlink r:id="rId847">
        <w:r>
          <w:rPr>
            <w:rFonts w:ascii="Arial" w:cs="Arial" w:eastAsia="Arial" w:hAnsi="Arial"/>
            <w:sz w:val="19"/>
            <w:szCs w:val="19"/>
            <w:u w:val="single" w:color="auto"/>
            <w:color w:val="0000FF"/>
          </w:rPr>
          <w:t>Annual Report on Form 10-K, file no. 001-36695, filed on March 30, 2018).</w:t>
        </w:r>
      </w:hyperlink>
    </w:p>
    <w:p>
      <w:pPr>
        <w:spacing w:after="0" w:line="299" w:lineRule="exact"/>
        <w:rPr>
          <w:rFonts w:ascii="Arial" w:cs="Arial" w:eastAsia="Arial" w:hAnsi="Arial"/>
          <w:sz w:val="19"/>
          <w:szCs w:val="19"/>
          <w:u w:val="single" w:color="auto"/>
          <w:color w:val="0000FF"/>
        </w:rPr>
      </w:pPr>
    </w:p>
    <w:p>
      <w:pPr>
        <w:ind w:left="940" w:right="100" w:hanging="939"/>
        <w:spacing w:after="0" w:line="363" w:lineRule="auto"/>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10.13</w:t>
      </w:r>
      <w:r>
        <w:rPr>
          <w:sz w:val="20"/>
          <w:szCs w:val="20"/>
          <w:color w:val="auto"/>
        </w:rPr>
        <w:tab/>
      </w:r>
      <w:hyperlink r:id="rId848">
        <w:r>
          <w:rPr>
            <w:rFonts w:ascii="Arial" w:cs="Arial" w:eastAsia="Arial" w:hAnsi="Arial"/>
            <w:sz w:val="18"/>
            <w:szCs w:val="18"/>
            <w:u w:val="single" w:color="auto"/>
            <w:color w:val="0000FF"/>
          </w:rPr>
          <w:t>Senior Executive Split Dollar Life Insurance Plan (Incorporated by reference to Exhibit 10.1 to</w:t>
        </w:r>
      </w:hyperlink>
      <w:r>
        <w:rPr>
          <w:rFonts w:ascii="Arial" w:cs="Arial" w:eastAsia="Arial" w:hAnsi="Arial"/>
          <w:sz w:val="18"/>
          <w:szCs w:val="18"/>
          <w:u w:val="single" w:color="auto"/>
          <w:color w:val="0000FF"/>
        </w:rPr>
        <w:t xml:space="preserve"> </w:t>
      </w:r>
      <w:hyperlink r:id="rId848">
        <w:r>
          <w:rPr>
            <w:rFonts w:ascii="Arial" w:cs="Arial" w:eastAsia="Arial" w:hAnsi="Arial"/>
            <w:sz w:val="18"/>
            <w:szCs w:val="18"/>
            <w:u w:val="single" w:color="auto"/>
            <w:color w:val="0000FF"/>
          </w:rPr>
          <w:t>Pathfinder Bancorp, Inc.’s Current Report on Form 8-K, filed no. 001-36695, filed on January 7, 2019.</w:t>
        </w:r>
      </w:hyperlink>
    </w:p>
    <w:p>
      <w:pPr>
        <w:spacing w:after="0" w:line="274" w:lineRule="exact"/>
        <w:rPr>
          <w:sz w:val="20"/>
          <w:szCs w:val="20"/>
          <w:color w:val="auto"/>
        </w:rPr>
      </w:pPr>
    </w:p>
    <w:p>
      <w:pPr>
        <w:jc w:val="both"/>
        <w:ind w:left="940" w:right="220" w:hanging="939"/>
        <w:spacing w:after="0" w:line="307"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10.14</w:t>
      </w:r>
      <w:r>
        <w:rPr>
          <w:sz w:val="20"/>
          <w:szCs w:val="20"/>
          <w:color w:val="auto"/>
        </w:rPr>
        <w:tab/>
      </w:r>
      <w:hyperlink r:id="rId849">
        <w:r>
          <w:rPr>
            <w:rFonts w:ascii="Arial" w:cs="Arial" w:eastAsia="Arial" w:hAnsi="Arial"/>
            <w:sz w:val="20"/>
            <w:szCs w:val="20"/>
            <w:u w:val="single" w:color="auto"/>
            <w:color w:val="0000FF"/>
          </w:rPr>
          <w:t>Employment Agreement between Pathfinder Bank and James A. Dowd (Incorporated by reference to</w:t>
        </w:r>
      </w:hyperlink>
      <w:r>
        <w:rPr>
          <w:rFonts w:ascii="Arial" w:cs="Arial" w:eastAsia="Arial" w:hAnsi="Arial"/>
          <w:sz w:val="20"/>
          <w:szCs w:val="20"/>
          <w:u w:val="single" w:color="auto"/>
          <w:color w:val="0000FF"/>
        </w:rPr>
        <w:t xml:space="preserve"> </w:t>
      </w:r>
      <w:hyperlink r:id="rId849">
        <w:r>
          <w:rPr>
            <w:rFonts w:ascii="Arial" w:cs="Arial" w:eastAsia="Arial" w:hAnsi="Arial"/>
            <w:sz w:val="20"/>
            <w:szCs w:val="20"/>
            <w:u w:val="single" w:color="auto"/>
            <w:color w:val="0000FF"/>
          </w:rPr>
          <w:t>Exhibit 10.1 to Pathfinder Bancorp, Inc.’s Current Report on Form 8-K, filed no. 001-36695, filed on</w:t>
        </w:r>
      </w:hyperlink>
      <w:r>
        <w:rPr>
          <w:rFonts w:ascii="Arial" w:cs="Arial" w:eastAsia="Arial" w:hAnsi="Arial"/>
          <w:sz w:val="20"/>
          <w:szCs w:val="20"/>
          <w:u w:val="single" w:color="auto"/>
          <w:color w:val="0000FF"/>
        </w:rPr>
        <w:t xml:space="preserve"> </w:t>
      </w:r>
      <w:hyperlink r:id="rId849">
        <w:r>
          <w:rPr>
            <w:rFonts w:ascii="Arial" w:cs="Arial" w:eastAsia="Arial" w:hAnsi="Arial"/>
            <w:sz w:val="20"/>
            <w:szCs w:val="20"/>
            <w:u w:val="single" w:color="auto"/>
            <w:color w:val="0000FF"/>
          </w:rPr>
          <w:t>September 9, 2024.</w:t>
        </w:r>
      </w:hyperlink>
    </w:p>
    <w:p>
      <w:pPr>
        <w:spacing w:after="0" w:line="317" w:lineRule="exact"/>
        <w:rPr>
          <w:rFonts w:ascii="Arial" w:cs="Arial" w:eastAsia="Arial" w:hAnsi="Arial"/>
          <w:sz w:val="20"/>
          <w:szCs w:val="20"/>
          <w:u w:val="single" w:color="auto"/>
          <w:color w:val="0000FF"/>
        </w:rPr>
      </w:pPr>
    </w:p>
    <w:p>
      <w:pPr>
        <w:jc w:val="both"/>
        <w:ind w:left="940" w:right="180" w:hanging="939"/>
        <w:spacing w:after="0" w:line="307"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10.15</w:t>
      </w:r>
      <w:r>
        <w:rPr>
          <w:sz w:val="20"/>
          <w:szCs w:val="20"/>
          <w:color w:val="auto"/>
        </w:rPr>
        <w:tab/>
      </w:r>
      <w:hyperlink r:id="rId850">
        <w:r>
          <w:rPr>
            <w:rFonts w:ascii="Arial" w:cs="Arial" w:eastAsia="Arial" w:hAnsi="Arial"/>
            <w:sz w:val="20"/>
            <w:szCs w:val="20"/>
            <w:u w:val="single" w:color="auto"/>
            <w:color w:val="0000FF"/>
          </w:rPr>
          <w:t>Change in Control Agreement between Pathfinder Bank, Pathfinder Bancorp, Inc. and Justin Bigham</w:t>
        </w:r>
      </w:hyperlink>
      <w:r>
        <w:rPr>
          <w:rFonts w:ascii="Arial" w:cs="Arial" w:eastAsia="Arial" w:hAnsi="Arial"/>
          <w:sz w:val="20"/>
          <w:szCs w:val="20"/>
          <w:u w:val="single" w:color="auto"/>
          <w:color w:val="0000FF"/>
        </w:rPr>
        <w:t xml:space="preserve"> </w:t>
      </w:r>
      <w:hyperlink r:id="rId850">
        <w:r>
          <w:rPr>
            <w:rFonts w:ascii="Arial" w:cs="Arial" w:eastAsia="Arial" w:hAnsi="Arial"/>
            <w:sz w:val="20"/>
            <w:szCs w:val="20"/>
            <w:u w:val="single" w:color="auto"/>
            <w:color w:val="0000FF"/>
          </w:rPr>
          <w:t>(Incorporated by reference to Exhibit 10.2 to Pathfinder Bancorp, Inc.’s Current Report on Form 8-K,</w:t>
        </w:r>
      </w:hyperlink>
      <w:r>
        <w:rPr>
          <w:rFonts w:ascii="Arial" w:cs="Arial" w:eastAsia="Arial" w:hAnsi="Arial"/>
          <w:sz w:val="20"/>
          <w:szCs w:val="20"/>
          <w:u w:val="single" w:color="auto"/>
          <w:color w:val="0000FF"/>
        </w:rPr>
        <w:t xml:space="preserve"> </w:t>
      </w:r>
      <w:hyperlink r:id="rId850">
        <w:r>
          <w:rPr>
            <w:rFonts w:ascii="Arial" w:cs="Arial" w:eastAsia="Arial" w:hAnsi="Arial"/>
            <w:sz w:val="20"/>
            <w:szCs w:val="20"/>
            <w:u w:val="single" w:color="auto"/>
            <w:color w:val="0000FF"/>
          </w:rPr>
          <w:t>filed no. 001-36695, filed on September 9, 2024.</w:t>
        </w:r>
      </w:hyperlink>
    </w:p>
    <w:p>
      <w:pPr>
        <w:spacing w:after="0" w:line="317" w:lineRule="exact"/>
        <w:rPr>
          <w:rFonts w:ascii="Arial" w:cs="Arial" w:eastAsia="Arial" w:hAnsi="Arial"/>
          <w:sz w:val="20"/>
          <w:szCs w:val="20"/>
          <w:u w:val="single" w:color="auto"/>
          <w:color w:val="0000FF"/>
        </w:rPr>
      </w:pPr>
    </w:p>
    <w:p>
      <w:pPr>
        <w:jc w:val="both"/>
        <w:ind w:left="940" w:right="40" w:hanging="939"/>
        <w:spacing w:after="0" w:line="355" w:lineRule="auto"/>
        <w:tabs>
          <w:tab w:leader="none" w:pos="920" w:val="left"/>
        </w:tabs>
        <w:rPr>
          <w:rFonts w:ascii="Arial" w:cs="Arial" w:eastAsia="Arial" w:hAnsi="Arial"/>
          <w:sz w:val="18"/>
          <w:szCs w:val="18"/>
          <w:u w:val="single" w:color="auto"/>
          <w:color w:val="0000FF"/>
        </w:rPr>
      </w:pPr>
      <w:r>
        <w:rPr>
          <w:rFonts w:ascii="Arial" w:cs="Arial" w:eastAsia="Arial" w:hAnsi="Arial"/>
          <w:sz w:val="20"/>
          <w:szCs w:val="20"/>
          <w:color w:val="auto"/>
        </w:rPr>
        <w:t>10.16</w:t>
      </w:r>
      <w:r>
        <w:rPr>
          <w:sz w:val="20"/>
          <w:szCs w:val="20"/>
          <w:color w:val="auto"/>
        </w:rPr>
        <w:tab/>
      </w:r>
      <w:hyperlink r:id="rId851">
        <w:r>
          <w:rPr>
            <w:rFonts w:ascii="Arial" w:cs="Arial" w:eastAsia="Arial" w:hAnsi="Arial"/>
            <w:sz w:val="18"/>
            <w:szCs w:val="18"/>
            <w:u w:val="single" w:color="auto"/>
            <w:color w:val="0000FF"/>
          </w:rPr>
          <w:t>Securities Purchase Agreement, by and between Pathfinder Bancorp, Inc. and the Purchasers Identified</w:t>
        </w:r>
      </w:hyperlink>
      <w:r>
        <w:rPr>
          <w:rFonts w:ascii="Arial" w:cs="Arial" w:eastAsia="Arial" w:hAnsi="Arial"/>
          <w:sz w:val="18"/>
          <w:szCs w:val="18"/>
          <w:u w:val="single" w:color="auto"/>
          <w:color w:val="0000FF"/>
        </w:rPr>
        <w:t xml:space="preserve"> </w:t>
      </w:r>
      <w:hyperlink r:id="rId851">
        <w:r>
          <w:rPr>
            <w:rFonts w:ascii="Arial" w:cs="Arial" w:eastAsia="Arial" w:hAnsi="Arial"/>
            <w:sz w:val="18"/>
            <w:szCs w:val="18"/>
            <w:u w:val="single" w:color="auto"/>
            <w:color w:val="0000FF"/>
          </w:rPr>
          <w:t>on the Signature Pages Thereto, dated May 8, 2019 (Incorporated herein by reference to Exhibit 10.1 to</w:t>
        </w:r>
      </w:hyperlink>
      <w:r>
        <w:rPr>
          <w:rFonts w:ascii="Arial" w:cs="Arial" w:eastAsia="Arial" w:hAnsi="Arial"/>
          <w:sz w:val="18"/>
          <w:szCs w:val="18"/>
          <w:u w:val="single" w:color="auto"/>
          <w:color w:val="0000FF"/>
        </w:rPr>
        <w:t xml:space="preserve"> </w:t>
      </w:r>
      <w:hyperlink r:id="rId851">
        <w:r>
          <w:rPr>
            <w:rFonts w:ascii="Arial" w:cs="Arial" w:eastAsia="Arial" w:hAnsi="Arial"/>
            <w:sz w:val="18"/>
            <w:szCs w:val="18"/>
            <w:u w:val="single" w:color="auto"/>
            <w:color w:val="0000FF"/>
          </w:rPr>
          <w:t>Pathfinder Bancorp, Inc.’s Current Report on Form 8-K, file no. 001-36695, filed on May 9, 2019)</w:t>
        </w:r>
      </w:hyperlink>
    </w:p>
    <w:p>
      <w:pPr>
        <w:sectPr>
          <w:pgSz w:w="11900" w:h="16838" w:orient="portrait"/>
          <w:cols w:equalWidth="0" w:num="1">
            <w:col w:w="9260"/>
          </w:cols>
          <w:pgMar w:left="1260" w:top="1440" w:right="1386" w:bottom="0" w:gutter="0" w:footer="0" w:header="0"/>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3" w:lineRule="exact"/>
        <w:rPr>
          <w:rFonts w:ascii="Arial" w:cs="Arial" w:eastAsia="Arial" w:hAnsi="Arial"/>
          <w:sz w:val="18"/>
          <w:szCs w:val="18"/>
          <w:u w:val="single" w:color="auto"/>
          <w:color w:val="0000FF"/>
        </w:rPr>
      </w:pPr>
    </w:p>
    <w:p>
      <w:pPr>
        <w:jc w:val="center"/>
        <w:ind w:right="-119"/>
        <w:spacing w:after="0"/>
        <w:rPr>
          <w:sz w:val="20"/>
          <w:szCs w:val="20"/>
          <w:color w:val="auto"/>
        </w:rPr>
      </w:pPr>
      <w:r>
        <w:rPr>
          <w:rFonts w:ascii="Arial" w:cs="Arial" w:eastAsia="Arial" w:hAnsi="Arial"/>
          <w:sz w:val="20"/>
          <w:szCs w:val="20"/>
          <w:color w:val="auto"/>
        </w:rPr>
        <w:t>19 / 25</w:t>
      </w:r>
    </w:p>
    <w:p>
      <w:pPr>
        <w:sectPr>
          <w:pgSz w:w="11900" w:h="16838" w:orient="portrait"/>
          <w:cols w:equalWidth="0" w:num="1">
            <w:col w:w="9260"/>
          </w:cols>
          <w:pgMar w:left="1260" w:top="1440" w:right="1386" w:bottom="0" w:gutter="0" w:footer="0" w:header="0"/>
          <w:type w:val="continuous"/>
        </w:sectPr>
      </w:pPr>
    </w:p>
    <w:bookmarkStart w:id="261" w:name="page262"/>
    <w:bookmarkEnd w:id="261"/>
    <w:p>
      <w:pPr>
        <w:spacing w:after="0" w:line="33" w:lineRule="exact"/>
        <w:rPr>
          <w:sz w:val="20"/>
          <w:szCs w:val="20"/>
          <w:color w:val="auto"/>
        </w:rPr>
      </w:pPr>
    </w:p>
    <w:p>
      <w:pPr>
        <w:ind w:left="860" w:right="280" w:hanging="939"/>
        <w:spacing w:after="0" w:line="355" w:lineRule="auto"/>
        <w:tabs>
          <w:tab w:leader="none" w:pos="840" w:val="left"/>
        </w:tabs>
        <w:rPr>
          <w:rFonts w:ascii="Arial" w:cs="Arial" w:eastAsia="Arial" w:hAnsi="Arial"/>
          <w:sz w:val="18"/>
          <w:szCs w:val="18"/>
          <w:u w:val="single" w:color="auto"/>
          <w:color w:val="0000FF"/>
        </w:rPr>
      </w:pPr>
      <w:r>
        <w:rPr>
          <w:rFonts w:ascii="Arial" w:cs="Arial" w:eastAsia="Arial" w:hAnsi="Arial"/>
          <w:sz w:val="20"/>
          <w:szCs w:val="20"/>
          <w:color w:val="auto"/>
        </w:rPr>
        <w:t>10.17</w:t>
      </w:r>
      <w:r>
        <w:rPr>
          <w:sz w:val="20"/>
          <w:szCs w:val="20"/>
          <w:color w:val="auto"/>
        </w:rPr>
        <w:tab/>
      </w:r>
      <w:hyperlink r:id="rId852">
        <w:r>
          <w:rPr>
            <w:rFonts w:ascii="Arial" w:cs="Arial" w:eastAsia="Arial" w:hAnsi="Arial"/>
            <w:sz w:val="18"/>
            <w:szCs w:val="18"/>
            <w:u w:val="single" w:color="auto"/>
            <w:color w:val="0000FF"/>
          </w:rPr>
          <w:t>Registration Rights Agreement, by and between Pathfinder Bancorp, Inc. and Castle Creek Capital</w:t>
        </w:r>
      </w:hyperlink>
      <w:r>
        <w:rPr>
          <w:rFonts w:ascii="Arial" w:cs="Arial" w:eastAsia="Arial" w:hAnsi="Arial"/>
          <w:sz w:val="18"/>
          <w:szCs w:val="18"/>
          <w:u w:val="single" w:color="auto"/>
          <w:color w:val="0000FF"/>
        </w:rPr>
        <w:t xml:space="preserve"> </w:t>
      </w:r>
      <w:hyperlink r:id="rId852">
        <w:r>
          <w:rPr>
            <w:rFonts w:ascii="Arial" w:cs="Arial" w:eastAsia="Arial" w:hAnsi="Arial"/>
            <w:sz w:val="18"/>
            <w:szCs w:val="18"/>
            <w:u w:val="single" w:color="auto"/>
            <w:color w:val="0000FF"/>
          </w:rPr>
          <w:t>Partners VII, L.P., dated May 8, 2019 (Incorporated herein by reference to Exhibit 10.2 to Pathfinder</w:t>
        </w:r>
      </w:hyperlink>
      <w:r>
        <w:rPr>
          <w:rFonts w:ascii="Arial" w:cs="Arial" w:eastAsia="Arial" w:hAnsi="Arial"/>
          <w:sz w:val="18"/>
          <w:szCs w:val="18"/>
          <w:u w:val="single" w:color="auto"/>
          <w:color w:val="0000FF"/>
        </w:rPr>
        <w:t xml:space="preserve"> </w:t>
      </w:r>
      <w:hyperlink r:id="rId852">
        <w:r>
          <w:rPr>
            <w:rFonts w:ascii="Arial" w:cs="Arial" w:eastAsia="Arial" w:hAnsi="Arial"/>
            <w:sz w:val="18"/>
            <w:szCs w:val="18"/>
            <w:u w:val="single" w:color="auto"/>
            <w:color w:val="0000FF"/>
          </w:rPr>
          <w:t>Bancorp, Inc.’s Current Report on Form 8-K, file no. 001-36695, filed on May 9, 2019)</w:t>
        </w:r>
      </w:hyperlink>
    </w:p>
    <w:p>
      <w:pPr>
        <w:spacing w:after="0" w:line="282" w:lineRule="exact"/>
        <w:rPr>
          <w:rFonts w:ascii="Arial" w:cs="Arial" w:eastAsia="Arial" w:hAnsi="Arial"/>
          <w:sz w:val="18"/>
          <w:szCs w:val="18"/>
          <w:u w:val="single" w:color="auto"/>
          <w:color w:val="0000FF"/>
        </w:rPr>
      </w:pPr>
    </w:p>
    <w:p>
      <w:pPr>
        <w:ind w:left="860" w:right="100" w:hanging="939"/>
        <w:spacing w:after="0" w:line="355" w:lineRule="auto"/>
        <w:tabs>
          <w:tab w:leader="none" w:pos="840" w:val="left"/>
        </w:tabs>
        <w:rPr>
          <w:rFonts w:ascii="Arial" w:cs="Arial" w:eastAsia="Arial" w:hAnsi="Arial"/>
          <w:sz w:val="18"/>
          <w:szCs w:val="18"/>
          <w:u w:val="single" w:color="auto"/>
          <w:color w:val="0000FF"/>
        </w:rPr>
      </w:pPr>
      <w:r>
        <w:rPr>
          <w:rFonts w:ascii="Arial" w:cs="Arial" w:eastAsia="Arial" w:hAnsi="Arial"/>
          <w:sz w:val="20"/>
          <w:szCs w:val="20"/>
          <w:color w:val="auto"/>
        </w:rPr>
        <w:t>10.18</w:t>
      </w:r>
      <w:r>
        <w:rPr>
          <w:sz w:val="20"/>
          <w:szCs w:val="20"/>
          <w:color w:val="auto"/>
        </w:rPr>
        <w:tab/>
      </w:r>
      <w:hyperlink r:id="rId853">
        <w:r>
          <w:rPr>
            <w:rFonts w:ascii="Arial" w:cs="Arial" w:eastAsia="Arial" w:hAnsi="Arial"/>
            <w:sz w:val="18"/>
            <w:szCs w:val="18"/>
            <w:u w:val="single" w:color="auto"/>
            <w:color w:val="0000FF"/>
          </w:rPr>
          <w:t>Form of Subordinated Note Purchase Agreement, dated as of October 14, 2020, by and between</w:t>
        </w:r>
      </w:hyperlink>
      <w:r>
        <w:rPr>
          <w:rFonts w:ascii="Arial" w:cs="Arial" w:eastAsia="Arial" w:hAnsi="Arial"/>
          <w:sz w:val="18"/>
          <w:szCs w:val="18"/>
          <w:u w:val="single" w:color="auto"/>
          <w:color w:val="0000FF"/>
        </w:rPr>
        <w:t xml:space="preserve"> </w:t>
      </w:r>
      <w:hyperlink r:id="rId853">
        <w:r>
          <w:rPr>
            <w:rFonts w:ascii="Arial" w:cs="Arial" w:eastAsia="Arial" w:hAnsi="Arial"/>
            <w:sz w:val="18"/>
            <w:szCs w:val="18"/>
            <w:u w:val="single" w:color="auto"/>
            <w:color w:val="0000FF"/>
          </w:rPr>
          <w:t>Pathfinder Bancorp, Inc. and the Several Purchasers (Incorporated by reference to Exhibit 10.1 to</w:t>
        </w:r>
      </w:hyperlink>
      <w:r>
        <w:rPr>
          <w:rFonts w:ascii="Arial" w:cs="Arial" w:eastAsia="Arial" w:hAnsi="Arial"/>
          <w:sz w:val="18"/>
          <w:szCs w:val="18"/>
          <w:u w:val="single" w:color="auto"/>
          <w:color w:val="0000FF"/>
        </w:rPr>
        <w:t xml:space="preserve"> </w:t>
      </w:r>
      <w:hyperlink r:id="rId853">
        <w:r>
          <w:rPr>
            <w:rFonts w:ascii="Arial" w:cs="Arial" w:eastAsia="Arial" w:hAnsi="Arial"/>
            <w:sz w:val="18"/>
            <w:szCs w:val="18"/>
            <w:u w:val="single" w:color="auto"/>
            <w:color w:val="0000FF"/>
          </w:rPr>
          <w:t>Pathfinder Bancorp, Inc.’s Current Report on Form 8-K, file no. 001-36695, filed on October 15, 2020)</w:t>
        </w:r>
      </w:hyperlink>
    </w:p>
    <w:p>
      <w:pPr>
        <w:spacing w:after="0" w:line="282" w:lineRule="exact"/>
        <w:rPr>
          <w:rFonts w:ascii="Arial" w:cs="Arial" w:eastAsia="Arial" w:hAnsi="Arial"/>
          <w:sz w:val="18"/>
          <w:szCs w:val="18"/>
          <w:u w:val="single" w:color="auto"/>
          <w:color w:val="0000FF"/>
        </w:rPr>
      </w:pPr>
    </w:p>
    <w:p>
      <w:pPr>
        <w:jc w:val="both"/>
        <w:ind w:left="860" w:right="520" w:hanging="939"/>
        <w:spacing w:after="0" w:line="355" w:lineRule="auto"/>
        <w:tabs>
          <w:tab w:leader="none" w:pos="840" w:val="left"/>
        </w:tabs>
        <w:rPr>
          <w:rFonts w:ascii="Arial" w:cs="Arial" w:eastAsia="Arial" w:hAnsi="Arial"/>
          <w:sz w:val="18"/>
          <w:szCs w:val="18"/>
          <w:u w:val="single" w:color="auto"/>
          <w:color w:val="0000FF"/>
        </w:rPr>
      </w:pPr>
      <w:r>
        <w:rPr>
          <w:rFonts w:ascii="Arial" w:cs="Arial" w:eastAsia="Arial" w:hAnsi="Arial"/>
          <w:sz w:val="20"/>
          <w:szCs w:val="20"/>
          <w:color w:val="auto"/>
        </w:rPr>
        <w:t>10.19</w:t>
      </w:r>
      <w:r>
        <w:rPr>
          <w:sz w:val="20"/>
          <w:szCs w:val="20"/>
          <w:color w:val="auto"/>
        </w:rPr>
        <w:tab/>
      </w:r>
      <w:hyperlink r:id="rId854">
        <w:r>
          <w:rPr>
            <w:rFonts w:ascii="Arial" w:cs="Arial" w:eastAsia="Arial" w:hAnsi="Arial"/>
            <w:sz w:val="18"/>
            <w:szCs w:val="18"/>
            <w:u w:val="single" w:color="auto"/>
            <w:color w:val="0000FF"/>
          </w:rPr>
          <w:t>Form of Registration Rights Agreement, dated as of October 14, 2020, by and between Pathfinder</w:t>
        </w:r>
      </w:hyperlink>
      <w:r>
        <w:rPr>
          <w:rFonts w:ascii="Arial" w:cs="Arial" w:eastAsia="Arial" w:hAnsi="Arial"/>
          <w:sz w:val="18"/>
          <w:szCs w:val="18"/>
          <w:u w:val="single" w:color="auto"/>
          <w:color w:val="0000FF"/>
        </w:rPr>
        <w:t xml:space="preserve"> </w:t>
      </w:r>
      <w:hyperlink r:id="rId854">
        <w:r>
          <w:rPr>
            <w:rFonts w:ascii="Arial" w:cs="Arial" w:eastAsia="Arial" w:hAnsi="Arial"/>
            <w:sz w:val="18"/>
            <w:szCs w:val="18"/>
            <w:u w:val="single" w:color="auto"/>
            <w:color w:val="0000FF"/>
          </w:rPr>
          <w:t>Bancorp, Inc. and the Several Purchasers (Incorporated by reference to Exhibit 10.2 to Pathfinder</w:t>
        </w:r>
      </w:hyperlink>
      <w:r>
        <w:rPr>
          <w:rFonts w:ascii="Arial" w:cs="Arial" w:eastAsia="Arial" w:hAnsi="Arial"/>
          <w:sz w:val="18"/>
          <w:szCs w:val="18"/>
          <w:u w:val="single" w:color="auto"/>
          <w:color w:val="0000FF"/>
        </w:rPr>
        <w:t xml:space="preserve"> </w:t>
      </w:r>
      <w:hyperlink r:id="rId854">
        <w:r>
          <w:rPr>
            <w:rFonts w:ascii="Arial" w:cs="Arial" w:eastAsia="Arial" w:hAnsi="Arial"/>
            <w:sz w:val="18"/>
            <w:szCs w:val="18"/>
            <w:u w:val="single" w:color="auto"/>
            <w:color w:val="0000FF"/>
          </w:rPr>
          <w:t>Bancorp, Inc.’s Current Report on Form 8-K, file no. 001-36695, filed on October 15, 2020)</w:t>
        </w:r>
      </w:hyperlink>
    </w:p>
    <w:p>
      <w:pPr>
        <w:spacing w:after="0" w:line="282" w:lineRule="exact"/>
        <w:rPr>
          <w:rFonts w:ascii="Arial" w:cs="Arial" w:eastAsia="Arial" w:hAnsi="Arial"/>
          <w:sz w:val="18"/>
          <w:szCs w:val="18"/>
          <w:u w:val="single" w:color="auto"/>
          <w:color w:val="0000FF"/>
        </w:rPr>
      </w:pPr>
    </w:p>
    <w:p>
      <w:pPr>
        <w:ind w:left="860" w:hanging="939"/>
        <w:spacing w:after="0" w:line="330" w:lineRule="auto"/>
        <w:tabs>
          <w:tab w:leader="none" w:pos="840" w:val="left"/>
        </w:tabs>
        <w:rPr>
          <w:rFonts w:ascii="Arial" w:cs="Arial" w:eastAsia="Arial" w:hAnsi="Arial"/>
          <w:sz w:val="19"/>
          <w:szCs w:val="19"/>
          <w:u w:val="single" w:color="auto"/>
          <w:color w:val="0000FF"/>
        </w:rPr>
      </w:pPr>
      <w:r>
        <w:rPr>
          <w:rFonts w:ascii="Arial" w:cs="Arial" w:eastAsia="Arial" w:hAnsi="Arial"/>
          <w:sz w:val="20"/>
          <w:szCs w:val="20"/>
          <w:color w:val="auto"/>
        </w:rPr>
        <w:t>10.20</w:t>
      </w:r>
      <w:r>
        <w:rPr>
          <w:sz w:val="20"/>
          <w:szCs w:val="20"/>
          <w:color w:val="auto"/>
        </w:rPr>
        <w:tab/>
      </w:r>
      <w:hyperlink r:id="rId855">
        <w:r>
          <w:rPr>
            <w:rFonts w:ascii="Arial" w:cs="Arial" w:eastAsia="Arial" w:hAnsi="Arial"/>
            <w:sz w:val="19"/>
            <w:szCs w:val="19"/>
            <w:u w:val="single" w:color="auto"/>
            <w:color w:val="0000FF"/>
          </w:rPr>
          <w:t>Exchange Agreement, dated as of November 13, 2020, by and between Pathfinder Bancorp, Inc. and</w:t>
        </w:r>
      </w:hyperlink>
      <w:r>
        <w:rPr>
          <w:rFonts w:ascii="Arial" w:cs="Arial" w:eastAsia="Arial" w:hAnsi="Arial"/>
          <w:sz w:val="19"/>
          <w:szCs w:val="19"/>
          <w:u w:val="single" w:color="auto"/>
          <w:color w:val="0000FF"/>
        </w:rPr>
        <w:t xml:space="preserve"> </w:t>
      </w:r>
      <w:hyperlink r:id="rId855">
        <w:r>
          <w:rPr>
            <w:rFonts w:ascii="Arial" w:cs="Arial" w:eastAsia="Arial" w:hAnsi="Arial"/>
            <w:sz w:val="19"/>
            <w:szCs w:val="19"/>
            <w:u w:val="single" w:color="auto"/>
            <w:color w:val="0000FF"/>
          </w:rPr>
          <w:t>Castle Creek Capital Partners VII, LP. (Incorporated by reference to Exhibit 10.1 to Pathfinder Bancorp,</w:t>
        </w:r>
      </w:hyperlink>
      <w:r>
        <w:rPr>
          <w:rFonts w:ascii="Arial" w:cs="Arial" w:eastAsia="Arial" w:hAnsi="Arial"/>
          <w:sz w:val="19"/>
          <w:szCs w:val="19"/>
          <w:u w:val="single" w:color="auto"/>
          <w:color w:val="0000FF"/>
        </w:rPr>
        <w:t xml:space="preserve"> </w:t>
      </w:r>
      <w:hyperlink r:id="rId855">
        <w:r>
          <w:rPr>
            <w:rFonts w:ascii="Arial" w:cs="Arial" w:eastAsia="Arial" w:hAnsi="Arial"/>
            <w:sz w:val="19"/>
            <w:szCs w:val="19"/>
            <w:u w:val="single" w:color="auto"/>
            <w:color w:val="0000FF"/>
          </w:rPr>
          <w:t>Inc.’s Current Report on Form 8-K, file no. 001-36695, filed on November 17, 2020)</w:t>
        </w:r>
      </w:hyperlink>
    </w:p>
    <w:p>
      <w:pPr>
        <w:spacing w:after="0" w:line="200" w:lineRule="exact"/>
        <w:rPr>
          <w:rFonts w:ascii="Arial" w:cs="Arial" w:eastAsia="Arial" w:hAnsi="Arial"/>
          <w:sz w:val="19"/>
          <w:szCs w:val="19"/>
          <w:u w:val="single" w:color="auto"/>
          <w:color w:val="0000FF"/>
        </w:rPr>
      </w:pPr>
    </w:p>
    <w:p>
      <w:pPr>
        <w:spacing w:after="0" w:line="212" w:lineRule="exact"/>
        <w:rPr>
          <w:rFonts w:ascii="Arial" w:cs="Arial" w:eastAsia="Arial" w:hAnsi="Arial"/>
          <w:sz w:val="19"/>
          <w:szCs w:val="19"/>
          <w:u w:val="single" w:color="auto"/>
          <w:color w:val="0000FF"/>
        </w:rPr>
      </w:pPr>
    </w:p>
    <w:p>
      <w:pPr>
        <w:jc w:val="center"/>
        <w:spacing w:after="0"/>
        <w:rPr>
          <w:sz w:val="20"/>
          <w:szCs w:val="20"/>
          <w:color w:val="auto"/>
        </w:rPr>
      </w:pPr>
      <w:r>
        <w:rPr>
          <w:rFonts w:ascii="Arial" w:cs="Arial" w:eastAsia="Arial" w:hAnsi="Arial"/>
          <w:sz w:val="22"/>
          <w:szCs w:val="22"/>
          <w:color w:val="auto"/>
        </w:rPr>
        <w:t>- 118 -</w:t>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-53975</wp:posOffset>
            </wp:positionH>
            <wp:positionV relativeFrom="paragraph">
              <wp:posOffset>561975</wp:posOffset>
            </wp:positionV>
            <wp:extent cx="5967730" cy="190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340" w:top="1440" w:right="1346" w:bottom="0" w:gutter="0" w:footer="0" w:header="0"/>
        </w:sect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315" w:lineRule="exact"/>
        <w:rPr>
          <w:rFonts w:ascii="Arial" w:cs="Arial" w:eastAsia="Arial" w:hAnsi="Arial"/>
          <w:sz w:val="19"/>
          <w:szCs w:val="19"/>
          <w:u w:val="single" w:color="auto"/>
          <w:color w:val="0000FF"/>
        </w:rPr>
      </w:pPr>
    </w:p>
    <w:p>
      <w:pPr>
        <w:jc w:val="center"/>
        <w:spacing w:after="0"/>
        <w:rPr>
          <w:sz w:val="20"/>
          <w:szCs w:val="20"/>
          <w:color w:val="auto"/>
        </w:rPr>
      </w:pPr>
      <w:r>
        <w:rPr>
          <w:rFonts w:ascii="Arial" w:cs="Arial" w:eastAsia="Arial" w:hAnsi="Arial"/>
          <w:sz w:val="20"/>
          <w:szCs w:val="20"/>
          <w:color w:val="auto"/>
        </w:rPr>
        <w:t>20 / 25</w:t>
      </w:r>
    </w:p>
    <w:p>
      <w:pPr>
        <w:sectPr>
          <w:pgSz w:w="11900" w:h="16838" w:orient="portrait"/>
          <w:cols w:equalWidth="0" w:num="1">
            <w:col w:w="9220"/>
          </w:cols>
          <w:pgMar w:left="1340" w:top="1440" w:right="1346" w:bottom="0" w:gutter="0" w:footer="0" w:header="0"/>
          <w:type w:val="continuous"/>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46" w:right="340" w:hanging="939"/>
        <w:spacing w:after="0" w:line="363" w:lineRule="auto"/>
        <w:tabs>
          <w:tab w:leader="none" w:pos="926" w:val="left"/>
        </w:tabs>
        <w:rPr>
          <w:rFonts w:ascii="Arial" w:cs="Arial" w:eastAsia="Arial" w:hAnsi="Arial"/>
          <w:sz w:val="18"/>
          <w:szCs w:val="18"/>
          <w:u w:val="single" w:color="auto"/>
          <w:color w:val="0000FF"/>
        </w:rPr>
      </w:pPr>
      <w:r>
        <w:rPr>
          <w:rFonts w:ascii="Arial" w:cs="Arial" w:eastAsia="Arial" w:hAnsi="Arial"/>
          <w:sz w:val="20"/>
          <w:szCs w:val="20"/>
          <w:color w:val="auto"/>
        </w:rPr>
        <w:t>10.21</w:t>
      </w:r>
      <w:r>
        <w:rPr>
          <w:sz w:val="20"/>
          <w:szCs w:val="20"/>
          <w:color w:val="auto"/>
        </w:rPr>
        <w:tab/>
      </w:r>
      <w:hyperlink r:id="rId857">
        <w:r>
          <w:rPr>
            <w:rFonts w:ascii="Arial" w:cs="Arial" w:eastAsia="Arial" w:hAnsi="Arial"/>
            <w:sz w:val="18"/>
            <w:szCs w:val="18"/>
            <w:u w:val="single" w:color="auto"/>
            <w:color w:val="0000FF"/>
          </w:rPr>
          <w:t>Amendment to the Registration Rights Agreement (Incorporated by reference to Exhibit 10.1 to</w:t>
        </w:r>
      </w:hyperlink>
      <w:r>
        <w:rPr>
          <w:rFonts w:ascii="Arial" w:cs="Arial" w:eastAsia="Arial" w:hAnsi="Arial"/>
          <w:sz w:val="18"/>
          <w:szCs w:val="18"/>
          <w:u w:val="single" w:color="auto"/>
          <w:color w:val="0000FF"/>
        </w:rPr>
        <w:t xml:space="preserve"> </w:t>
      </w:r>
      <w:hyperlink r:id="rId857">
        <w:r>
          <w:rPr>
            <w:rFonts w:ascii="Arial" w:cs="Arial" w:eastAsia="Arial" w:hAnsi="Arial"/>
            <w:sz w:val="18"/>
            <w:szCs w:val="18"/>
            <w:u w:val="single" w:color="auto"/>
            <w:color w:val="0000FF"/>
          </w:rPr>
          <w:t>Pathfinder Bancorp, Inc.'s Current Report on Form 8-K, file no. 001-36695, filed on April 26, 2025).</w:t>
        </w:r>
      </w:hyperlink>
    </w:p>
    <w:p>
      <w:pPr>
        <w:spacing w:after="0" w:line="274" w:lineRule="exact"/>
        <w:rPr>
          <w:sz w:val="20"/>
          <w:szCs w:val="20"/>
          <w:color w:val="auto"/>
        </w:rPr>
      </w:pPr>
    </w:p>
    <w:p>
      <w:pPr>
        <w:ind w:left="946" w:right="580" w:hanging="939"/>
        <w:spacing w:after="0" w:line="331" w:lineRule="auto"/>
        <w:tabs>
          <w:tab w:leader="none" w:pos="926" w:val="left"/>
        </w:tabs>
        <w:rPr>
          <w:rFonts w:ascii="Arial" w:cs="Arial" w:eastAsia="Arial" w:hAnsi="Arial"/>
          <w:sz w:val="19"/>
          <w:szCs w:val="19"/>
          <w:u w:val="single" w:color="auto"/>
          <w:color w:val="0000FF"/>
        </w:rPr>
      </w:pPr>
      <w:r>
        <w:rPr>
          <w:rFonts w:ascii="Arial" w:cs="Arial" w:eastAsia="Arial" w:hAnsi="Arial"/>
          <w:sz w:val="20"/>
          <w:szCs w:val="20"/>
          <w:color w:val="auto"/>
        </w:rPr>
        <w:t>10.22</w:t>
      </w:r>
      <w:r>
        <w:rPr>
          <w:sz w:val="20"/>
          <w:szCs w:val="20"/>
          <w:color w:val="auto"/>
        </w:rPr>
        <w:tab/>
      </w:r>
      <w:hyperlink r:id="rId858">
        <w:r>
          <w:rPr>
            <w:rFonts w:ascii="Arial" w:cs="Arial" w:eastAsia="Arial" w:hAnsi="Arial"/>
            <w:sz w:val="19"/>
            <w:szCs w:val="19"/>
            <w:u w:val="single" w:color="auto"/>
            <w:color w:val="0000FF"/>
          </w:rPr>
          <w:t>2024 Pathfinder Bancorp, Inc. Equity Incentive Plan (Incorporated by reference to Appendix A to</w:t>
        </w:r>
      </w:hyperlink>
      <w:r>
        <w:rPr>
          <w:rFonts w:ascii="Arial" w:cs="Arial" w:eastAsia="Arial" w:hAnsi="Arial"/>
          <w:sz w:val="19"/>
          <w:szCs w:val="19"/>
          <w:u w:val="single" w:color="auto"/>
          <w:color w:val="0000FF"/>
        </w:rPr>
        <w:t xml:space="preserve"> </w:t>
      </w:r>
      <w:hyperlink r:id="rId858">
        <w:r>
          <w:rPr>
            <w:rFonts w:ascii="Arial" w:cs="Arial" w:eastAsia="Arial" w:hAnsi="Arial"/>
            <w:sz w:val="19"/>
            <w:szCs w:val="19"/>
            <w:u w:val="single" w:color="auto"/>
            <w:color w:val="0000FF"/>
          </w:rPr>
          <w:t>Pathfinder Bancorp, Inc.’s Proxy Statement, file no. 001-36695, filed on April 22, 2024)</w:t>
        </w:r>
      </w:hyperlink>
    </w:p>
    <w:p>
      <w:pPr>
        <w:spacing w:after="0" w:line="297" w:lineRule="exact"/>
        <w:rPr>
          <w:sz w:val="20"/>
          <w:szCs w:val="20"/>
          <w:color w:val="auto"/>
        </w:rPr>
      </w:pPr>
    </w:p>
    <w:p>
      <w:pPr>
        <w:ind w:left="946" w:right="100" w:hanging="946"/>
        <w:spacing w:after="0" w:line="363" w:lineRule="auto"/>
        <w:tabs>
          <w:tab w:leader="none" w:pos="946" w:val="left"/>
        </w:tabs>
        <w:numPr>
          <w:ilvl w:val="0"/>
          <w:numId w:val="35"/>
        </w:numPr>
        <w:rPr>
          <w:rFonts w:ascii="Arial" w:cs="Arial" w:eastAsia="Arial" w:hAnsi="Arial"/>
          <w:sz w:val="18"/>
          <w:szCs w:val="18"/>
          <w:u w:val="single" w:color="auto"/>
          <w:color w:val="0000FF"/>
        </w:rPr>
      </w:pPr>
      <w:hyperlink r:id="rId859">
        <w:r>
          <w:rPr>
            <w:rFonts w:ascii="Arial" w:cs="Arial" w:eastAsia="Arial" w:hAnsi="Arial"/>
            <w:sz w:val="18"/>
            <w:szCs w:val="18"/>
            <w:u w:val="single" w:color="auto"/>
            <w:color w:val="0000FF"/>
          </w:rPr>
          <w:t>Code of Ethics (Incorporated by reference to Exhibit 14 to Pathfinder Bancorp, Inc.’s Annual Report on</w:t>
        </w:r>
      </w:hyperlink>
      <w:r>
        <w:rPr>
          <w:rFonts w:ascii="Arial" w:cs="Arial" w:eastAsia="Arial" w:hAnsi="Arial"/>
          <w:sz w:val="18"/>
          <w:szCs w:val="18"/>
          <w:u w:val="single" w:color="auto"/>
          <w:color w:val="0000FF"/>
        </w:rPr>
        <w:t xml:space="preserve"> </w:t>
      </w:r>
      <w:hyperlink r:id="rId859">
        <w:r>
          <w:rPr>
            <w:rFonts w:ascii="Arial" w:cs="Arial" w:eastAsia="Arial" w:hAnsi="Arial"/>
            <w:sz w:val="18"/>
            <w:szCs w:val="18"/>
            <w:u w:val="single" w:color="auto"/>
            <w:color w:val="0000FF"/>
          </w:rPr>
          <w:t>Form 10-K for the year ended December 31, 2003, file no. 000-23601, filed on March 31, 2004)</w:t>
        </w:r>
      </w:hyperlink>
    </w:p>
    <w:p>
      <w:pPr>
        <w:spacing w:after="0" w:line="274" w:lineRule="exact"/>
        <w:rPr>
          <w:rFonts w:ascii="Arial" w:cs="Arial" w:eastAsia="Arial" w:hAnsi="Arial"/>
          <w:sz w:val="18"/>
          <w:szCs w:val="18"/>
          <w:color w:val="auto"/>
        </w:rPr>
      </w:pPr>
    </w:p>
    <w:p>
      <w:pPr>
        <w:ind w:left="946" w:right="280" w:hanging="946"/>
        <w:spacing w:after="0" w:line="302" w:lineRule="auto"/>
        <w:tabs>
          <w:tab w:leader="none" w:pos="946" w:val="left"/>
        </w:tabs>
        <w:numPr>
          <w:ilvl w:val="0"/>
          <w:numId w:val="36"/>
        </w:numPr>
        <w:rPr>
          <w:rFonts w:ascii="Arial" w:cs="Arial" w:eastAsia="Arial" w:hAnsi="Arial"/>
          <w:sz w:val="20"/>
          <w:szCs w:val="20"/>
          <w:u w:val="single" w:color="auto"/>
          <w:color w:val="0000FF"/>
        </w:rPr>
      </w:pPr>
      <w:hyperlink r:id="rId860">
        <w:r>
          <w:rPr>
            <w:rFonts w:ascii="Arial" w:cs="Arial" w:eastAsia="Arial" w:hAnsi="Arial"/>
            <w:sz w:val="20"/>
            <w:szCs w:val="20"/>
            <w:u w:val="single" w:color="auto"/>
            <w:color w:val="0000FF"/>
          </w:rPr>
          <w:t>Insider Trading Policy (Incorporated by reference to Exhibit 19 to Pathfinder Bancorp, Inc.’s Annual</w:t>
        </w:r>
      </w:hyperlink>
      <w:r>
        <w:rPr>
          <w:rFonts w:ascii="Arial" w:cs="Arial" w:eastAsia="Arial" w:hAnsi="Arial"/>
          <w:sz w:val="20"/>
          <w:szCs w:val="20"/>
          <w:u w:val="single" w:color="auto"/>
          <w:color w:val="0000FF"/>
        </w:rPr>
        <w:t xml:space="preserve"> </w:t>
      </w:r>
      <w:hyperlink r:id="rId860">
        <w:r>
          <w:rPr>
            <w:rFonts w:ascii="Arial" w:cs="Arial" w:eastAsia="Arial" w:hAnsi="Arial"/>
            <w:sz w:val="20"/>
            <w:szCs w:val="20"/>
            <w:u w:val="single" w:color="auto"/>
            <w:color w:val="0000FF"/>
          </w:rPr>
          <w:t>Report on Form 10-K, file no. 001-36695, filed on March 31, 2025)</w:t>
        </w:r>
      </w:hyperlink>
    </w:p>
    <w:p>
      <w:pPr>
        <w:spacing w:after="0" w:line="311" w:lineRule="exact"/>
        <w:rPr>
          <w:rFonts w:ascii="Arial" w:cs="Arial" w:eastAsia="Arial" w:hAnsi="Arial"/>
          <w:sz w:val="20"/>
          <w:szCs w:val="20"/>
          <w:color w:val="auto"/>
        </w:rPr>
      </w:pPr>
    </w:p>
    <w:p>
      <w:pPr>
        <w:ind w:left="946" w:hanging="946"/>
        <w:spacing w:after="0"/>
        <w:tabs>
          <w:tab w:leader="none" w:pos="946"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0000FF"/>
        </w:rPr>
        <w:t>Subsidiaries of Registrant</w:t>
      </w:r>
    </w:p>
    <w:p>
      <w:pPr>
        <w:spacing w:after="0" w:line="370" w:lineRule="exact"/>
        <w:rPr>
          <w:rFonts w:ascii="Arial" w:cs="Arial" w:eastAsia="Arial" w:hAnsi="Arial"/>
          <w:sz w:val="20"/>
          <w:szCs w:val="20"/>
          <w:color w:val="auto"/>
        </w:rPr>
      </w:pPr>
    </w:p>
    <w:p>
      <w:pPr>
        <w:ind w:left="946" w:hanging="946"/>
        <w:spacing w:after="0"/>
        <w:tabs>
          <w:tab w:leader="none" w:pos="946"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0000FF"/>
        </w:rPr>
        <w:t>Consent of Bonadio &amp; Co., LLP</w:t>
      </w:r>
    </w:p>
    <w:p>
      <w:pPr>
        <w:spacing w:after="0" w:line="370" w:lineRule="exact"/>
        <w:rPr>
          <w:rFonts w:ascii="Arial" w:cs="Arial" w:eastAsia="Arial" w:hAnsi="Arial"/>
          <w:sz w:val="20"/>
          <w:szCs w:val="20"/>
          <w:color w:val="auto"/>
        </w:rPr>
      </w:pPr>
    </w:p>
    <w:p>
      <w:pPr>
        <w:ind w:left="6"/>
        <w:spacing w:after="0"/>
        <w:tabs>
          <w:tab w:leader="none" w:pos="926"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u w:val="single" w:color="auto"/>
          <w:color w:val="0000FF"/>
        </w:rPr>
        <w:t>Certification of Chief Executive Officer pursuant to Section 302 of the Sarbanes-Oxley Act of 2002</w:t>
      </w:r>
    </w:p>
    <w:p>
      <w:pPr>
        <w:spacing w:after="0" w:line="370" w:lineRule="exact"/>
        <w:rPr>
          <w:rFonts w:ascii="Arial" w:cs="Arial" w:eastAsia="Arial" w:hAnsi="Arial"/>
          <w:sz w:val="20"/>
          <w:szCs w:val="20"/>
          <w:color w:val="auto"/>
        </w:rPr>
      </w:pPr>
    </w:p>
    <w:p>
      <w:pPr>
        <w:ind w:left="6"/>
        <w:spacing w:after="0"/>
        <w:tabs>
          <w:tab w:leader="none" w:pos="926"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u w:val="single" w:color="auto"/>
          <w:color w:val="0000FF"/>
        </w:rPr>
        <w:t>Certification of Chief Financial Officer pursuant to Section 302 of the Sarbanes-Oxley Act of 2002</w:t>
      </w:r>
    </w:p>
    <w:p>
      <w:pPr>
        <w:spacing w:after="0" w:line="380" w:lineRule="exact"/>
        <w:rPr>
          <w:rFonts w:ascii="Arial" w:cs="Arial" w:eastAsia="Arial" w:hAnsi="Arial"/>
          <w:sz w:val="20"/>
          <w:szCs w:val="20"/>
          <w:color w:val="auto"/>
        </w:rPr>
      </w:pPr>
    </w:p>
    <w:p>
      <w:pPr>
        <w:ind w:left="946" w:right="500" w:hanging="946"/>
        <w:spacing w:after="0" w:line="302" w:lineRule="auto"/>
        <w:tabs>
          <w:tab w:leader="none" w:pos="94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0000FF"/>
        </w:rPr>
        <w:t>Certification of Chief Executive Officer and Chief Financial Officer pursuant to Section 906 of the Sarbanes-Oxley Act of 2002</w:t>
      </w:r>
    </w:p>
    <w:p>
      <w:pPr>
        <w:spacing w:after="0" w:line="201" w:lineRule="exact"/>
        <w:rPr>
          <w:rFonts w:ascii="Arial" w:cs="Arial" w:eastAsia="Arial" w:hAnsi="Arial"/>
          <w:sz w:val="20"/>
          <w:szCs w:val="20"/>
          <w:color w:val="auto"/>
        </w:rPr>
      </w:pPr>
    </w:p>
    <w:p>
      <w:pPr>
        <w:ind w:left="946" w:right="40" w:hanging="946"/>
        <w:spacing w:after="0" w:line="307" w:lineRule="auto"/>
        <w:tabs>
          <w:tab w:leader="none" w:pos="946" w:val="left"/>
        </w:tabs>
        <w:numPr>
          <w:ilvl w:val="0"/>
          <w:numId w:val="40"/>
        </w:numPr>
        <w:rPr>
          <w:rFonts w:ascii="Arial" w:cs="Arial" w:eastAsia="Arial" w:hAnsi="Arial"/>
          <w:sz w:val="20"/>
          <w:szCs w:val="20"/>
          <w:u w:val="single" w:color="auto"/>
          <w:color w:val="0000FF"/>
        </w:rPr>
      </w:pPr>
      <w:hyperlink r:id="rId861">
        <w:r>
          <w:rPr>
            <w:rFonts w:ascii="Arial" w:cs="Arial" w:eastAsia="Arial" w:hAnsi="Arial"/>
            <w:sz w:val="20"/>
            <w:szCs w:val="20"/>
            <w:u w:val="single" w:color="auto"/>
            <w:color w:val="0000FF"/>
          </w:rPr>
          <w:t>Policy Relating to Recovery of Erroneously Awarded Compensation (Incorporated by reference to</w:t>
        </w:r>
      </w:hyperlink>
      <w:r>
        <w:rPr>
          <w:rFonts w:ascii="Arial" w:cs="Arial" w:eastAsia="Arial" w:hAnsi="Arial"/>
          <w:sz w:val="20"/>
          <w:szCs w:val="20"/>
          <w:u w:val="single" w:color="auto"/>
          <w:color w:val="0000FF"/>
        </w:rPr>
        <w:t xml:space="preserve"> </w:t>
      </w:r>
      <w:hyperlink r:id="rId861">
        <w:r>
          <w:rPr>
            <w:rFonts w:ascii="Arial" w:cs="Arial" w:eastAsia="Arial" w:hAnsi="Arial"/>
            <w:sz w:val="20"/>
            <w:szCs w:val="20"/>
            <w:u w:val="single" w:color="auto"/>
            <w:color w:val="0000FF"/>
          </w:rPr>
          <w:t>Exhibit 97 to Pathfinder Bancorp, Inc.'s Annual Report on Form 8-K, file no. 001-36695, filed on March</w:t>
        </w:r>
      </w:hyperlink>
      <w:r>
        <w:rPr>
          <w:rFonts w:ascii="Arial" w:cs="Arial" w:eastAsia="Arial" w:hAnsi="Arial"/>
          <w:sz w:val="20"/>
          <w:szCs w:val="20"/>
          <w:u w:val="single" w:color="auto"/>
          <w:color w:val="0000FF"/>
        </w:rPr>
        <w:t xml:space="preserve"> </w:t>
      </w:r>
      <w:hyperlink r:id="rId861">
        <w:r>
          <w:rPr>
            <w:rFonts w:ascii="Arial" w:cs="Arial" w:eastAsia="Arial" w:hAnsi="Arial"/>
            <w:sz w:val="20"/>
            <w:szCs w:val="20"/>
            <w:u w:val="single" w:color="auto"/>
            <w:color w:val="0000FF"/>
          </w:rPr>
          <w:t>22, 2024)</w:t>
        </w:r>
      </w:hyperlink>
    </w:p>
    <w:p>
      <w:pPr>
        <w:spacing w:after="0" w:line="197" w:lineRule="exact"/>
        <w:rPr>
          <w:rFonts w:ascii="Arial" w:cs="Arial" w:eastAsia="Arial" w:hAnsi="Arial"/>
          <w:sz w:val="20"/>
          <w:szCs w:val="20"/>
          <w:u w:val="single" w:color="auto"/>
          <w:color w:val="0000FF"/>
        </w:rPr>
      </w:pPr>
    </w:p>
    <w:p>
      <w:pPr>
        <w:ind w:left="946" w:hanging="946"/>
        <w:spacing w:after="0" w:line="368" w:lineRule="auto"/>
        <w:tabs>
          <w:tab w:leader="none" w:pos="9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Interactive data files pursuant to Rule 405 of Regulation S-T: (i) the Consolidated Statements of Condition as of December 31, 2025 and 2024, (ii) the Consolidated Statements of Income for the years ended December 31, 2025 and 2024, (iii) the Consolidated Statements of Comprehensive Income for the years ended December 31, 2025 and 2024, (iv) the Consolidated Statements of Changes in Shareholders’</w:t>
      </w:r>
    </w:p>
    <w:p>
      <w:pPr>
        <w:spacing w:after="0" w:line="1" w:lineRule="exact"/>
        <w:rPr>
          <w:rFonts w:ascii="Arial" w:cs="Arial" w:eastAsia="Arial" w:hAnsi="Arial"/>
          <w:sz w:val="20"/>
          <w:szCs w:val="20"/>
          <w:u w:val="single" w:color="auto"/>
          <w:color w:val="0000FF"/>
        </w:rPr>
      </w:pPr>
    </w:p>
    <w:p>
      <w:pPr>
        <w:ind w:left="946" w:right="20"/>
        <w:spacing w:after="0" w:line="307" w:lineRule="auto"/>
        <w:rPr>
          <w:sz w:val="20"/>
          <w:szCs w:val="20"/>
          <w:color w:val="auto"/>
        </w:rPr>
      </w:pPr>
      <w:r>
        <w:rPr>
          <w:rFonts w:ascii="Arial" w:cs="Arial" w:eastAsia="Arial" w:hAnsi="Arial"/>
          <w:sz w:val="20"/>
          <w:szCs w:val="20"/>
          <w:color w:val="auto"/>
        </w:rPr>
        <w:t>Equity for the years ended December 31, 2025 and 2024, (v) the Consolidated Statements of Cash Flows for the years ended December 31, 2025 and 2024, and (vi) the Notes to the Consolidated Financial Statements</w:t>
      </w:r>
    </w:p>
    <w:p>
      <w:pPr>
        <w:spacing w:after="0" w:line="8" w:lineRule="exact"/>
        <w:rPr>
          <w:rFonts w:ascii="Arial" w:cs="Arial" w:eastAsia="Arial" w:hAnsi="Arial"/>
          <w:sz w:val="20"/>
          <w:szCs w:val="20"/>
          <w:u w:val="single" w:color="auto"/>
          <w:color w:val="0000FF"/>
        </w:rPr>
      </w:pPr>
    </w:p>
    <w:p>
      <w:pPr>
        <w:ind w:left="6"/>
        <w:spacing w:after="0"/>
        <w:tabs>
          <w:tab w:leader="none" w:pos="926"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Cover Page Interactive Data File (embedded within the Inline XBRL document)</w:t>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70" w:lineRule="exact"/>
        <w:rPr>
          <w:rFonts w:ascii="Arial" w:cs="Arial" w:eastAsia="Arial" w:hAnsi="Arial"/>
          <w:sz w:val="20"/>
          <w:szCs w:val="20"/>
          <w:u w:val="single" w:color="auto"/>
          <w:color w:val="0000FF"/>
        </w:rPr>
      </w:pPr>
    </w:p>
    <w:p>
      <w:pPr>
        <w:ind w:left="6"/>
        <w:spacing w:after="0"/>
        <w:rPr>
          <w:sz w:val="20"/>
          <w:szCs w:val="20"/>
          <w:color w:val="auto"/>
        </w:rPr>
      </w:pPr>
      <w:r>
        <w:rPr>
          <w:rFonts w:ascii="Arial" w:cs="Arial" w:eastAsia="Arial" w:hAnsi="Arial"/>
          <w:sz w:val="20"/>
          <w:szCs w:val="20"/>
          <w:b w:val="1"/>
          <w:bCs w:val="1"/>
          <w:color w:val="auto"/>
        </w:rPr>
        <w:t>ITEM 16: FORM 10-K SUMMARY</w:t>
      </w:r>
    </w:p>
    <w:p>
      <w:pPr>
        <w:spacing w:after="0" w:line="190" w:lineRule="exact"/>
        <w:rPr>
          <w:rFonts w:ascii="Arial" w:cs="Arial" w:eastAsia="Arial" w:hAnsi="Arial"/>
          <w:sz w:val="20"/>
          <w:szCs w:val="20"/>
          <w:u w:val="single" w:color="auto"/>
          <w:color w:val="0000FF"/>
        </w:rPr>
      </w:pPr>
    </w:p>
    <w:p>
      <w:pPr>
        <w:ind w:left="6"/>
        <w:spacing w:after="0"/>
        <w:rPr>
          <w:sz w:val="20"/>
          <w:szCs w:val="20"/>
          <w:color w:val="auto"/>
        </w:rPr>
      </w:pPr>
      <w:r>
        <w:rPr>
          <w:rFonts w:ascii="Arial" w:cs="Arial" w:eastAsia="Arial" w:hAnsi="Arial"/>
          <w:sz w:val="20"/>
          <w:szCs w:val="20"/>
          <w:color w:val="auto"/>
        </w:rPr>
        <w:t>None.</w:t>
      </w:r>
    </w:p>
    <w:p>
      <w:pPr>
        <w:spacing w:after="0" w:line="193" w:lineRule="exact"/>
        <w:rPr>
          <w:rFonts w:ascii="Arial" w:cs="Arial" w:eastAsia="Arial" w:hAnsi="Arial"/>
          <w:sz w:val="20"/>
          <w:szCs w:val="20"/>
          <w:u w:val="single" w:color="auto"/>
          <w:color w:val="0000FF"/>
        </w:rPr>
      </w:pPr>
    </w:p>
    <w:p>
      <w:pPr>
        <w:jc w:val="center"/>
        <w:ind w:right="-65"/>
        <w:spacing w:after="0"/>
        <w:rPr>
          <w:sz w:val="20"/>
          <w:szCs w:val="20"/>
          <w:color w:val="auto"/>
        </w:rPr>
      </w:pPr>
      <w:r>
        <w:rPr>
          <w:rFonts w:ascii="Arial" w:cs="Arial" w:eastAsia="Arial" w:hAnsi="Arial"/>
          <w:sz w:val="22"/>
          <w:szCs w:val="22"/>
          <w:color w:val="auto"/>
        </w:rPr>
        <w:t>- 119 -</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0</wp:posOffset>
            </wp:positionH>
            <wp:positionV relativeFrom="paragraph">
              <wp:posOffset>561975</wp:posOffset>
            </wp:positionV>
            <wp:extent cx="5967730" cy="190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6"/>
          </w:cols>
          <w:pgMar w:left="1254" w:top="1440" w:right="1306" w:bottom="0" w:gutter="0" w:footer="0" w:header="0"/>
        </w:sect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55" w:lineRule="exact"/>
        <w:rPr>
          <w:rFonts w:ascii="Arial" w:cs="Arial" w:eastAsia="Arial" w:hAnsi="Arial"/>
          <w:sz w:val="20"/>
          <w:szCs w:val="20"/>
          <w:u w:val="single" w:color="auto"/>
          <w:color w:val="0000FF"/>
        </w:rPr>
      </w:pPr>
    </w:p>
    <w:p>
      <w:pPr>
        <w:jc w:val="center"/>
        <w:ind w:right="-45"/>
        <w:spacing w:after="0"/>
        <w:rPr>
          <w:sz w:val="20"/>
          <w:szCs w:val="20"/>
          <w:color w:val="auto"/>
        </w:rPr>
      </w:pPr>
      <w:r>
        <w:rPr>
          <w:rFonts w:ascii="Arial" w:cs="Arial" w:eastAsia="Arial" w:hAnsi="Arial"/>
          <w:sz w:val="20"/>
          <w:szCs w:val="20"/>
          <w:color w:val="auto"/>
        </w:rPr>
        <w:t>21 / 25</w:t>
      </w:r>
    </w:p>
    <w:p>
      <w:pPr>
        <w:sectPr>
          <w:pgSz w:w="11900" w:h="16838" w:orient="portrait"/>
          <w:cols w:equalWidth="0" w:num="1">
            <w:col w:w="9346"/>
          </w:cols>
          <w:pgMar w:left="1254" w:top="1440" w:right="1306" w:bottom="0" w:gutter="0" w:footer="0" w:header="0"/>
          <w:type w:val="continuous"/>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ind w:right="20"/>
        <w:spacing w:after="0" w:line="302" w:lineRule="auto"/>
        <w:rPr>
          <w:sz w:val="20"/>
          <w:szCs w:val="20"/>
          <w:color w:val="auto"/>
        </w:rPr>
      </w:pPr>
      <w:r>
        <w:rPr>
          <w:rFonts w:ascii="Arial" w:cs="Arial" w:eastAsia="Arial" w:hAnsi="Arial"/>
          <w:sz w:val="20"/>
          <w:szCs w:val="20"/>
          <w:color w:val="auto"/>
        </w:rPr>
        <w:t>Pursuant to the requirements of Section 13 of the Securities Exchange Act of 1934, the Company has duly caused this report to be signed on its behalf by the undersigned, thereunto duly authorized.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0" w:type="dxa"/>
            <w:vAlign w:val="bottom"/>
            <w:gridSpan w:val="3"/>
          </w:tcPr>
          <w:p>
            <w:pPr>
              <w:ind w:left="1960"/>
              <w:spacing w:after="0"/>
              <w:rPr>
                <w:sz w:val="20"/>
                <w:szCs w:val="20"/>
                <w:color w:val="auto"/>
              </w:rPr>
            </w:pPr>
            <w:r>
              <w:rPr>
                <w:rFonts w:ascii="Arial" w:cs="Arial" w:eastAsia="Arial" w:hAnsi="Arial"/>
                <w:sz w:val="20"/>
                <w:szCs w:val="20"/>
                <w:color w:val="auto"/>
              </w:rPr>
              <w:t>Pathfinder Bancorp, Inc.</w:t>
            </w:r>
          </w:p>
        </w:tc>
      </w:tr>
      <w:tr>
        <w:trPr>
          <w:trHeight w:val="580"/>
        </w:trPr>
        <w:tc>
          <w:tcPr>
            <w:tcW w:w="3400" w:type="dxa"/>
            <w:vAlign w:val="bottom"/>
            <w:gridSpan w:val="3"/>
          </w:tcPr>
          <w:p>
            <w:pPr>
              <w:spacing w:after="0"/>
              <w:rPr>
                <w:sz w:val="20"/>
                <w:szCs w:val="20"/>
                <w:color w:val="auto"/>
              </w:rPr>
            </w:pPr>
            <w:r>
              <w:rPr>
                <w:rFonts w:ascii="Arial" w:cs="Arial" w:eastAsia="Arial" w:hAnsi="Arial"/>
                <w:sz w:val="20"/>
                <w:szCs w:val="20"/>
                <w:color w:val="auto"/>
              </w:rPr>
              <w:t>Date:  March 30, 2026</w:t>
            </w:r>
          </w:p>
        </w:tc>
        <w:tc>
          <w:tcPr>
            <w:tcW w:w="5000" w:type="dxa"/>
            <w:vAlign w:val="bottom"/>
            <w:gridSpan w:val="3"/>
          </w:tcPr>
          <w:p>
            <w:pPr>
              <w:ind w:left="1560"/>
              <w:spacing w:after="0"/>
              <w:rPr>
                <w:sz w:val="20"/>
                <w:szCs w:val="20"/>
                <w:color w:val="auto"/>
              </w:rPr>
            </w:pPr>
            <w:r>
              <w:rPr>
                <w:rFonts w:ascii="Arial" w:cs="Arial" w:eastAsia="Arial" w:hAnsi="Arial"/>
                <w:sz w:val="20"/>
                <w:szCs w:val="20"/>
                <w:color w:val="auto"/>
              </w:rPr>
              <w:t>By: /s/ James A. Dowd</w:t>
            </w:r>
          </w:p>
        </w:tc>
      </w:tr>
      <w:tr>
        <w:trPr>
          <w:trHeight w:val="20"/>
        </w:trPr>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0"/>
        </w:trPr>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0" w:type="dxa"/>
            <w:vAlign w:val="bottom"/>
            <w:gridSpan w:val="3"/>
          </w:tcPr>
          <w:p>
            <w:pPr>
              <w:ind w:left="1960"/>
              <w:spacing w:after="0"/>
              <w:rPr>
                <w:sz w:val="20"/>
                <w:szCs w:val="20"/>
                <w:color w:val="auto"/>
              </w:rPr>
            </w:pPr>
            <w:r>
              <w:rPr>
                <w:rFonts w:ascii="Arial" w:cs="Arial" w:eastAsia="Arial" w:hAnsi="Arial"/>
                <w:sz w:val="20"/>
                <w:szCs w:val="20"/>
                <w:color w:val="auto"/>
              </w:rPr>
              <w:t>James A. Dowd</w:t>
            </w:r>
          </w:p>
        </w:tc>
      </w:tr>
      <w:tr>
        <w:trPr>
          <w:trHeight w:val="300"/>
        </w:trPr>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0" w:type="dxa"/>
            <w:vAlign w:val="bottom"/>
            <w:gridSpan w:val="3"/>
          </w:tcPr>
          <w:p>
            <w:pPr>
              <w:ind w:left="1960"/>
              <w:spacing w:after="0"/>
              <w:rPr>
                <w:sz w:val="20"/>
                <w:szCs w:val="20"/>
                <w:color w:val="auto"/>
              </w:rPr>
            </w:pPr>
            <w:r>
              <w:rPr>
                <w:rFonts w:ascii="Arial" w:cs="Arial" w:eastAsia="Arial" w:hAnsi="Arial"/>
                <w:sz w:val="20"/>
                <w:szCs w:val="20"/>
                <w:color w:val="auto"/>
                <w:w w:val="90"/>
              </w:rPr>
              <w:t>President and Chief Executive Officer</w:t>
            </w:r>
          </w:p>
        </w:tc>
      </w:tr>
    </w:tbl>
    <w:p>
      <w:pPr>
        <w:spacing w:after="0" w:line="200" w:lineRule="exact"/>
        <w:rPr>
          <w:sz w:val="20"/>
          <w:szCs w:val="20"/>
          <w:color w:val="auto"/>
        </w:rPr>
      </w:pPr>
    </w:p>
    <w:p>
      <w:pPr>
        <w:spacing w:after="0" w:line="220"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Pursuant to the requirements of the Securities Exchange of 1934, this report has been signed below by the following persons on behalf of the Registrant and in the capacities and on the dates indicated.</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580" w:type="dxa"/>
            <w:vAlign w:val="bottom"/>
          </w:tcPr>
          <w:p>
            <w:pPr>
              <w:jc w:val="right"/>
              <w:ind w:right="40"/>
              <w:spacing w:after="0"/>
              <w:rPr>
                <w:sz w:val="20"/>
                <w:szCs w:val="20"/>
                <w:color w:val="auto"/>
              </w:rPr>
            </w:pPr>
            <w:r>
              <w:rPr>
                <w:rFonts w:ascii="Arial" w:cs="Arial" w:eastAsia="Arial" w:hAnsi="Arial"/>
                <w:sz w:val="20"/>
                <w:szCs w:val="20"/>
                <w:color w:val="auto"/>
              </w:rPr>
              <w:t>By:</w:t>
            </w:r>
          </w:p>
        </w:tc>
        <w:tc>
          <w:tcPr>
            <w:tcW w:w="3880" w:type="dxa"/>
            <w:vAlign w:val="bottom"/>
            <w:gridSpan w:val="2"/>
          </w:tcPr>
          <w:p>
            <w:pPr>
              <w:spacing w:after="0"/>
              <w:rPr>
                <w:sz w:val="20"/>
                <w:szCs w:val="20"/>
                <w:color w:val="auto"/>
              </w:rPr>
            </w:pPr>
            <w:r>
              <w:rPr>
                <w:rFonts w:ascii="Arial" w:cs="Arial" w:eastAsia="Arial" w:hAnsi="Arial"/>
                <w:sz w:val="20"/>
                <w:szCs w:val="20"/>
                <w:color w:val="auto"/>
              </w:rPr>
              <w:t>/s/ James A. Dowd</w:t>
            </w:r>
          </w:p>
        </w:tc>
        <w:tc>
          <w:tcPr>
            <w:tcW w:w="4480" w:type="dxa"/>
            <w:vAlign w:val="bottom"/>
            <w:gridSpan w:val="3"/>
          </w:tcPr>
          <w:p>
            <w:pPr>
              <w:ind w:left="500"/>
              <w:spacing w:after="0"/>
              <w:rPr>
                <w:sz w:val="20"/>
                <w:szCs w:val="20"/>
                <w:color w:val="auto"/>
              </w:rPr>
            </w:pPr>
            <w:r>
              <w:rPr>
                <w:rFonts w:ascii="Arial" w:cs="Arial" w:eastAsia="Arial" w:hAnsi="Arial"/>
                <w:sz w:val="20"/>
                <w:szCs w:val="20"/>
                <w:color w:val="auto"/>
              </w:rPr>
              <w:t>By: /s/ Justin K. Bigham</w:t>
            </w:r>
          </w:p>
        </w:tc>
      </w:tr>
      <w:tr>
        <w:trPr>
          <w:trHeight w:val="300"/>
        </w:trPr>
        <w:tc>
          <w:tcPr>
            <w:tcW w:w="5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James A. Dowd, President, Chief Executive</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00"/>
        </w:trPr>
        <w:tc>
          <w:tcPr>
            <w:tcW w:w="5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Officer</w:t>
            </w:r>
          </w:p>
        </w:tc>
        <w:tc>
          <w:tcPr>
            <w:tcW w:w="4480" w:type="dxa"/>
            <w:vAlign w:val="bottom"/>
            <w:gridSpan w:val="3"/>
          </w:tcPr>
          <w:p>
            <w:pPr>
              <w:ind w:left="880"/>
              <w:spacing w:after="0"/>
              <w:rPr>
                <w:sz w:val="20"/>
                <w:szCs w:val="20"/>
                <w:color w:val="auto"/>
              </w:rPr>
            </w:pPr>
            <w:r>
              <w:rPr>
                <w:rFonts w:ascii="Arial" w:cs="Arial" w:eastAsia="Arial" w:hAnsi="Arial"/>
                <w:sz w:val="20"/>
                <w:szCs w:val="20"/>
                <w:color w:val="auto"/>
                <w:w w:val="92"/>
              </w:rPr>
              <w:t>Justin K. Bigham, Executive Vice President,</w:t>
            </w:r>
          </w:p>
        </w:tc>
      </w:tr>
      <w:tr>
        <w:trPr>
          <w:trHeight w:val="300"/>
        </w:trPr>
        <w:tc>
          <w:tcPr>
            <w:tcW w:w="5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and Director</w:t>
            </w:r>
          </w:p>
        </w:tc>
        <w:tc>
          <w:tcPr>
            <w:tcW w:w="4480" w:type="dxa"/>
            <w:vAlign w:val="bottom"/>
            <w:gridSpan w:val="3"/>
          </w:tcPr>
          <w:p>
            <w:pPr>
              <w:ind w:left="880"/>
              <w:spacing w:after="0"/>
              <w:rPr>
                <w:sz w:val="20"/>
                <w:szCs w:val="20"/>
                <w:color w:val="auto"/>
              </w:rPr>
            </w:pPr>
            <w:r>
              <w:rPr>
                <w:rFonts w:ascii="Arial" w:cs="Arial" w:eastAsia="Arial" w:hAnsi="Arial"/>
                <w:sz w:val="20"/>
                <w:szCs w:val="20"/>
                <w:color w:val="auto"/>
              </w:rPr>
              <w:t>Chief Financial Officer</w:t>
            </w:r>
          </w:p>
        </w:tc>
      </w:tr>
      <w:tr>
        <w:trPr>
          <w:trHeight w:val="300"/>
        </w:trPr>
        <w:tc>
          <w:tcPr>
            <w:tcW w:w="5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(Principal Executive Officer)</w:t>
            </w:r>
          </w:p>
        </w:tc>
        <w:tc>
          <w:tcPr>
            <w:tcW w:w="4480" w:type="dxa"/>
            <w:vAlign w:val="bottom"/>
            <w:gridSpan w:val="3"/>
          </w:tcPr>
          <w:p>
            <w:pPr>
              <w:ind w:left="880"/>
              <w:spacing w:after="0"/>
              <w:rPr>
                <w:sz w:val="20"/>
                <w:szCs w:val="20"/>
                <w:color w:val="auto"/>
              </w:rPr>
            </w:pPr>
            <w:r>
              <w:rPr>
                <w:rFonts w:ascii="Arial" w:cs="Arial" w:eastAsia="Arial" w:hAnsi="Arial"/>
                <w:sz w:val="20"/>
                <w:szCs w:val="20"/>
                <w:color w:val="auto"/>
                <w:w w:val="93"/>
              </w:rPr>
              <w:t>(Principal Financial and Accounting Officer)</w:t>
            </w:r>
          </w:p>
        </w:tc>
      </w:tr>
      <w:tr>
        <w:trPr>
          <w:trHeight w:val="280"/>
        </w:trPr>
        <w:tc>
          <w:tcPr>
            <w:tcW w:w="580" w:type="dxa"/>
            <w:vAlign w:val="bottom"/>
          </w:tcPr>
          <w:p>
            <w:pPr>
              <w:jc w:val="right"/>
              <w:ind w:right="40"/>
              <w:spacing w:after="0"/>
              <w:rPr>
                <w:sz w:val="20"/>
                <w:szCs w:val="20"/>
                <w:color w:val="auto"/>
              </w:rPr>
            </w:pPr>
            <w:r>
              <w:rPr>
                <w:rFonts w:ascii="Arial" w:cs="Arial" w:eastAsia="Arial" w:hAnsi="Arial"/>
                <w:sz w:val="20"/>
                <w:szCs w:val="20"/>
                <w:color w:val="auto"/>
                <w:w w:val="87"/>
              </w:rPr>
              <w:t>Date:</w:t>
            </w:r>
          </w:p>
        </w:tc>
        <w:tc>
          <w:tcPr>
            <w:tcW w:w="1280" w:type="dxa"/>
            <w:vAlign w:val="bottom"/>
          </w:tcPr>
          <w:p>
            <w:pPr>
              <w:spacing w:after="0"/>
              <w:rPr>
                <w:sz w:val="20"/>
                <w:szCs w:val="20"/>
                <w:color w:val="auto"/>
              </w:rPr>
            </w:pPr>
            <w:r>
              <w:rPr>
                <w:rFonts w:ascii="Arial" w:cs="Arial" w:eastAsia="Arial" w:hAnsi="Arial"/>
                <w:sz w:val="20"/>
                <w:szCs w:val="20"/>
                <w:color w:val="auto"/>
                <w:w w:val="90"/>
              </w:rPr>
              <w:t>March 30, 2026</w:t>
            </w:r>
          </w:p>
        </w:tc>
        <w:tc>
          <w:tcPr>
            <w:tcW w:w="2600" w:type="dxa"/>
            <w:vAlign w:val="bottom"/>
          </w:tcPr>
          <w:p>
            <w:pPr>
              <w:spacing w:after="0"/>
              <w:rPr>
                <w:sz w:val="24"/>
                <w:szCs w:val="24"/>
                <w:color w:val="auto"/>
              </w:rPr>
            </w:pPr>
          </w:p>
        </w:tc>
        <w:tc>
          <w:tcPr>
            <w:tcW w:w="4480" w:type="dxa"/>
            <w:vAlign w:val="bottom"/>
            <w:gridSpan w:val="3"/>
          </w:tcPr>
          <w:p>
            <w:pPr>
              <w:ind w:left="340"/>
              <w:spacing w:after="0"/>
              <w:rPr>
                <w:sz w:val="20"/>
                <w:szCs w:val="20"/>
                <w:color w:val="auto"/>
              </w:rPr>
            </w:pPr>
            <w:r>
              <w:rPr>
                <w:rFonts w:ascii="Arial" w:cs="Arial" w:eastAsia="Arial" w:hAnsi="Arial"/>
                <w:sz w:val="20"/>
                <w:szCs w:val="20"/>
                <w:color w:val="auto"/>
              </w:rPr>
              <w:t>Date: March 30, 2026</w:t>
            </w:r>
          </w:p>
        </w:tc>
      </w:tr>
      <w:tr>
        <w:trPr>
          <w:trHeight w:val="20"/>
        </w:trPr>
        <w:tc>
          <w:tcPr>
            <w:tcW w:w="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910"/>
        </w:trPr>
        <w:tc>
          <w:tcPr>
            <w:tcW w:w="580" w:type="dxa"/>
            <w:vAlign w:val="bottom"/>
          </w:tcPr>
          <w:p>
            <w:pPr>
              <w:jc w:val="right"/>
              <w:ind w:right="40"/>
              <w:spacing w:after="0"/>
              <w:rPr>
                <w:sz w:val="20"/>
                <w:szCs w:val="20"/>
                <w:color w:val="auto"/>
              </w:rPr>
            </w:pPr>
            <w:r>
              <w:rPr>
                <w:rFonts w:ascii="Arial" w:cs="Arial" w:eastAsia="Arial" w:hAnsi="Arial"/>
                <w:sz w:val="20"/>
                <w:szCs w:val="20"/>
                <w:color w:val="auto"/>
              </w:rPr>
              <w:t>By:</w:t>
            </w:r>
          </w:p>
        </w:tc>
        <w:tc>
          <w:tcPr>
            <w:tcW w:w="3880" w:type="dxa"/>
            <w:vAlign w:val="bottom"/>
            <w:gridSpan w:val="2"/>
          </w:tcPr>
          <w:p>
            <w:pPr>
              <w:spacing w:after="0"/>
              <w:rPr>
                <w:sz w:val="20"/>
                <w:szCs w:val="20"/>
                <w:color w:val="auto"/>
              </w:rPr>
            </w:pPr>
            <w:r>
              <w:rPr>
                <w:rFonts w:ascii="Arial" w:cs="Arial" w:eastAsia="Arial" w:hAnsi="Arial"/>
                <w:sz w:val="20"/>
                <w:szCs w:val="20"/>
                <w:color w:val="auto"/>
              </w:rPr>
              <w:t>/s/ Lloyd Stemple</w:t>
            </w:r>
          </w:p>
        </w:tc>
        <w:tc>
          <w:tcPr>
            <w:tcW w:w="4480" w:type="dxa"/>
            <w:vAlign w:val="bottom"/>
            <w:gridSpan w:val="3"/>
          </w:tcPr>
          <w:p>
            <w:pPr>
              <w:ind w:left="500"/>
              <w:spacing w:after="0"/>
              <w:rPr>
                <w:sz w:val="20"/>
                <w:szCs w:val="20"/>
                <w:color w:val="auto"/>
              </w:rPr>
            </w:pPr>
            <w:r>
              <w:rPr>
                <w:rFonts w:ascii="Arial" w:cs="Arial" w:eastAsia="Arial" w:hAnsi="Arial"/>
                <w:sz w:val="20"/>
                <w:szCs w:val="20"/>
                <w:color w:val="auto"/>
              </w:rPr>
              <w:t>By: /s/ William A. Barclay</w:t>
            </w:r>
          </w:p>
        </w:tc>
      </w:tr>
      <w:tr>
        <w:trPr>
          <w:trHeight w:val="300"/>
        </w:trPr>
        <w:tc>
          <w:tcPr>
            <w:tcW w:w="5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Lloyd Stemple, Director</w:t>
            </w:r>
          </w:p>
        </w:tc>
        <w:tc>
          <w:tcPr>
            <w:tcW w:w="4480" w:type="dxa"/>
            <w:vAlign w:val="bottom"/>
            <w:gridSpan w:val="3"/>
          </w:tcPr>
          <w:p>
            <w:pPr>
              <w:ind w:left="880"/>
              <w:spacing w:after="0"/>
              <w:rPr>
                <w:sz w:val="20"/>
                <w:szCs w:val="20"/>
                <w:color w:val="auto"/>
              </w:rPr>
            </w:pPr>
            <w:r>
              <w:rPr>
                <w:rFonts w:ascii="Arial" w:cs="Arial" w:eastAsia="Arial" w:hAnsi="Arial"/>
                <w:sz w:val="20"/>
                <w:szCs w:val="20"/>
                <w:color w:val="auto"/>
              </w:rPr>
              <w:t>William A. Barclay, Director</w:t>
            </w:r>
          </w:p>
        </w:tc>
      </w:tr>
      <w:tr>
        <w:trPr>
          <w:trHeight w:val="280"/>
        </w:trPr>
        <w:tc>
          <w:tcPr>
            <w:tcW w:w="580" w:type="dxa"/>
            <w:vAlign w:val="bottom"/>
          </w:tcPr>
          <w:p>
            <w:pPr>
              <w:jc w:val="right"/>
              <w:ind w:right="40"/>
              <w:spacing w:after="0"/>
              <w:rPr>
                <w:sz w:val="20"/>
                <w:szCs w:val="20"/>
                <w:color w:val="auto"/>
              </w:rPr>
            </w:pPr>
            <w:r>
              <w:rPr>
                <w:rFonts w:ascii="Arial" w:cs="Arial" w:eastAsia="Arial" w:hAnsi="Arial"/>
                <w:sz w:val="20"/>
                <w:szCs w:val="20"/>
                <w:color w:val="auto"/>
                <w:w w:val="87"/>
              </w:rPr>
              <w:t>Date:</w:t>
            </w:r>
          </w:p>
        </w:tc>
        <w:tc>
          <w:tcPr>
            <w:tcW w:w="1280" w:type="dxa"/>
            <w:vAlign w:val="bottom"/>
          </w:tcPr>
          <w:p>
            <w:pPr>
              <w:spacing w:after="0"/>
              <w:rPr>
                <w:sz w:val="20"/>
                <w:szCs w:val="20"/>
                <w:color w:val="auto"/>
              </w:rPr>
            </w:pPr>
            <w:r>
              <w:rPr>
                <w:rFonts w:ascii="Arial" w:cs="Arial" w:eastAsia="Arial" w:hAnsi="Arial"/>
                <w:sz w:val="20"/>
                <w:szCs w:val="20"/>
                <w:color w:val="auto"/>
                <w:w w:val="90"/>
              </w:rPr>
              <w:t>March 30, 2026</w:t>
            </w:r>
          </w:p>
        </w:tc>
        <w:tc>
          <w:tcPr>
            <w:tcW w:w="2600" w:type="dxa"/>
            <w:vAlign w:val="bottom"/>
          </w:tcPr>
          <w:p>
            <w:pPr>
              <w:spacing w:after="0"/>
              <w:rPr>
                <w:sz w:val="24"/>
                <w:szCs w:val="24"/>
                <w:color w:val="auto"/>
              </w:rPr>
            </w:pPr>
          </w:p>
        </w:tc>
        <w:tc>
          <w:tcPr>
            <w:tcW w:w="4480" w:type="dxa"/>
            <w:vAlign w:val="bottom"/>
            <w:gridSpan w:val="3"/>
          </w:tcPr>
          <w:p>
            <w:pPr>
              <w:ind w:left="340"/>
              <w:spacing w:after="0"/>
              <w:rPr>
                <w:sz w:val="20"/>
                <w:szCs w:val="20"/>
                <w:color w:val="auto"/>
              </w:rPr>
            </w:pPr>
            <w:r>
              <w:rPr>
                <w:rFonts w:ascii="Arial" w:cs="Arial" w:eastAsia="Arial" w:hAnsi="Arial"/>
                <w:sz w:val="20"/>
                <w:szCs w:val="20"/>
                <w:color w:val="auto"/>
              </w:rPr>
              <w:t>Date: March 30, 2026</w:t>
            </w:r>
          </w:p>
        </w:tc>
      </w:tr>
      <w:tr>
        <w:trPr>
          <w:trHeight w:val="20"/>
        </w:trPr>
        <w:tc>
          <w:tcPr>
            <w:tcW w:w="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910"/>
        </w:trPr>
        <w:tc>
          <w:tcPr>
            <w:tcW w:w="580" w:type="dxa"/>
            <w:vAlign w:val="bottom"/>
          </w:tcPr>
          <w:p>
            <w:pPr>
              <w:jc w:val="right"/>
              <w:ind w:right="40"/>
              <w:spacing w:after="0"/>
              <w:rPr>
                <w:sz w:val="20"/>
                <w:szCs w:val="20"/>
                <w:color w:val="auto"/>
              </w:rPr>
            </w:pPr>
            <w:r>
              <w:rPr>
                <w:rFonts w:ascii="Arial" w:cs="Arial" w:eastAsia="Arial" w:hAnsi="Arial"/>
                <w:sz w:val="20"/>
                <w:szCs w:val="20"/>
                <w:color w:val="auto"/>
              </w:rPr>
              <w:t>By:</w:t>
            </w:r>
          </w:p>
        </w:tc>
        <w:tc>
          <w:tcPr>
            <w:tcW w:w="3880" w:type="dxa"/>
            <w:vAlign w:val="bottom"/>
            <w:gridSpan w:val="2"/>
          </w:tcPr>
          <w:p>
            <w:pPr>
              <w:spacing w:after="0"/>
              <w:rPr>
                <w:sz w:val="20"/>
                <w:szCs w:val="20"/>
                <w:color w:val="auto"/>
              </w:rPr>
            </w:pPr>
            <w:r>
              <w:rPr>
                <w:rFonts w:ascii="Arial" w:cs="Arial" w:eastAsia="Arial" w:hAnsi="Arial"/>
                <w:sz w:val="20"/>
                <w:szCs w:val="20"/>
                <w:color w:val="auto"/>
              </w:rPr>
              <w:t>/s/ John P. Funiciello</w:t>
            </w:r>
          </w:p>
        </w:tc>
        <w:tc>
          <w:tcPr>
            <w:tcW w:w="4480" w:type="dxa"/>
            <w:vAlign w:val="bottom"/>
            <w:gridSpan w:val="3"/>
          </w:tcPr>
          <w:p>
            <w:pPr>
              <w:ind w:left="500"/>
              <w:spacing w:after="0"/>
              <w:rPr>
                <w:sz w:val="20"/>
                <w:szCs w:val="20"/>
                <w:color w:val="auto"/>
              </w:rPr>
            </w:pPr>
            <w:r>
              <w:rPr>
                <w:rFonts w:ascii="Arial" w:cs="Arial" w:eastAsia="Arial" w:hAnsi="Arial"/>
                <w:sz w:val="20"/>
                <w:szCs w:val="20"/>
                <w:color w:val="auto"/>
              </w:rPr>
              <w:t>By: /s/ Tony Scavuzzo</w:t>
            </w:r>
          </w:p>
        </w:tc>
      </w:tr>
      <w:tr>
        <w:trPr>
          <w:trHeight w:val="300"/>
        </w:trPr>
        <w:tc>
          <w:tcPr>
            <w:tcW w:w="5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John Funiciello, Director</w:t>
            </w:r>
          </w:p>
        </w:tc>
        <w:tc>
          <w:tcPr>
            <w:tcW w:w="4480" w:type="dxa"/>
            <w:vAlign w:val="bottom"/>
            <w:gridSpan w:val="3"/>
          </w:tcPr>
          <w:p>
            <w:pPr>
              <w:ind w:left="880"/>
              <w:spacing w:after="0"/>
              <w:rPr>
                <w:sz w:val="20"/>
                <w:szCs w:val="20"/>
                <w:color w:val="auto"/>
              </w:rPr>
            </w:pPr>
            <w:r>
              <w:rPr>
                <w:rFonts w:ascii="Arial" w:cs="Arial" w:eastAsia="Arial" w:hAnsi="Arial"/>
                <w:sz w:val="20"/>
                <w:szCs w:val="20"/>
                <w:color w:val="auto"/>
              </w:rPr>
              <w:t>Tony Scavuzzo, Director</w:t>
            </w:r>
          </w:p>
        </w:tc>
      </w:tr>
      <w:tr>
        <w:trPr>
          <w:trHeight w:val="280"/>
        </w:trPr>
        <w:tc>
          <w:tcPr>
            <w:tcW w:w="580" w:type="dxa"/>
            <w:vAlign w:val="bottom"/>
          </w:tcPr>
          <w:p>
            <w:pPr>
              <w:jc w:val="right"/>
              <w:ind w:right="40"/>
              <w:spacing w:after="0"/>
              <w:rPr>
                <w:sz w:val="20"/>
                <w:szCs w:val="20"/>
                <w:color w:val="auto"/>
              </w:rPr>
            </w:pPr>
            <w:r>
              <w:rPr>
                <w:rFonts w:ascii="Arial" w:cs="Arial" w:eastAsia="Arial" w:hAnsi="Arial"/>
                <w:sz w:val="20"/>
                <w:szCs w:val="20"/>
                <w:color w:val="auto"/>
                <w:w w:val="87"/>
              </w:rPr>
              <w:t>Date:</w:t>
            </w:r>
          </w:p>
        </w:tc>
        <w:tc>
          <w:tcPr>
            <w:tcW w:w="1280" w:type="dxa"/>
            <w:vAlign w:val="bottom"/>
          </w:tcPr>
          <w:p>
            <w:pPr>
              <w:spacing w:after="0"/>
              <w:rPr>
                <w:sz w:val="20"/>
                <w:szCs w:val="20"/>
                <w:color w:val="auto"/>
              </w:rPr>
            </w:pPr>
            <w:r>
              <w:rPr>
                <w:rFonts w:ascii="Arial" w:cs="Arial" w:eastAsia="Arial" w:hAnsi="Arial"/>
                <w:sz w:val="20"/>
                <w:szCs w:val="20"/>
                <w:color w:val="auto"/>
                <w:w w:val="90"/>
              </w:rPr>
              <w:t>March 30, 2026</w:t>
            </w:r>
          </w:p>
        </w:tc>
        <w:tc>
          <w:tcPr>
            <w:tcW w:w="2600" w:type="dxa"/>
            <w:vAlign w:val="bottom"/>
          </w:tcPr>
          <w:p>
            <w:pPr>
              <w:spacing w:after="0"/>
              <w:rPr>
                <w:sz w:val="24"/>
                <w:szCs w:val="24"/>
                <w:color w:val="auto"/>
              </w:rPr>
            </w:pPr>
          </w:p>
        </w:tc>
        <w:tc>
          <w:tcPr>
            <w:tcW w:w="4480" w:type="dxa"/>
            <w:vAlign w:val="bottom"/>
            <w:gridSpan w:val="3"/>
          </w:tcPr>
          <w:p>
            <w:pPr>
              <w:ind w:left="340"/>
              <w:spacing w:after="0"/>
              <w:rPr>
                <w:sz w:val="20"/>
                <w:szCs w:val="20"/>
                <w:color w:val="auto"/>
              </w:rPr>
            </w:pPr>
            <w:r>
              <w:rPr>
                <w:rFonts w:ascii="Arial" w:cs="Arial" w:eastAsia="Arial" w:hAnsi="Arial"/>
                <w:sz w:val="20"/>
                <w:szCs w:val="20"/>
                <w:color w:val="auto"/>
              </w:rPr>
              <w:t>Date: March 30, 2026</w:t>
            </w:r>
          </w:p>
        </w:tc>
      </w:tr>
      <w:tr>
        <w:trPr>
          <w:trHeight w:val="20"/>
        </w:trPr>
        <w:tc>
          <w:tcPr>
            <w:tcW w:w="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910"/>
        </w:trPr>
        <w:tc>
          <w:tcPr>
            <w:tcW w:w="580" w:type="dxa"/>
            <w:vAlign w:val="bottom"/>
          </w:tcPr>
          <w:p>
            <w:pPr>
              <w:jc w:val="right"/>
              <w:ind w:right="40"/>
              <w:spacing w:after="0"/>
              <w:rPr>
                <w:sz w:val="20"/>
                <w:szCs w:val="20"/>
                <w:color w:val="auto"/>
              </w:rPr>
            </w:pPr>
            <w:r>
              <w:rPr>
                <w:rFonts w:ascii="Arial" w:cs="Arial" w:eastAsia="Arial" w:hAnsi="Arial"/>
                <w:sz w:val="20"/>
                <w:szCs w:val="20"/>
                <w:color w:val="auto"/>
              </w:rPr>
              <w:t>By:</w:t>
            </w:r>
          </w:p>
        </w:tc>
        <w:tc>
          <w:tcPr>
            <w:tcW w:w="3880" w:type="dxa"/>
            <w:vAlign w:val="bottom"/>
            <w:gridSpan w:val="2"/>
          </w:tcPr>
          <w:p>
            <w:pPr>
              <w:spacing w:after="0"/>
              <w:rPr>
                <w:sz w:val="20"/>
                <w:szCs w:val="20"/>
                <w:color w:val="auto"/>
              </w:rPr>
            </w:pPr>
            <w:r>
              <w:rPr>
                <w:rFonts w:ascii="Arial" w:cs="Arial" w:eastAsia="Arial" w:hAnsi="Arial"/>
                <w:sz w:val="20"/>
                <w:szCs w:val="20"/>
                <w:color w:val="auto"/>
              </w:rPr>
              <w:t>/s/ David A. Ayoub</w:t>
            </w:r>
          </w:p>
        </w:tc>
        <w:tc>
          <w:tcPr>
            <w:tcW w:w="4480" w:type="dxa"/>
            <w:vAlign w:val="bottom"/>
            <w:gridSpan w:val="3"/>
          </w:tcPr>
          <w:p>
            <w:pPr>
              <w:ind w:left="500"/>
              <w:spacing w:after="0"/>
              <w:rPr>
                <w:sz w:val="20"/>
                <w:szCs w:val="20"/>
                <w:color w:val="auto"/>
              </w:rPr>
            </w:pPr>
            <w:r>
              <w:rPr>
                <w:rFonts w:ascii="Arial" w:cs="Arial" w:eastAsia="Arial" w:hAnsi="Arial"/>
                <w:sz w:val="20"/>
                <w:szCs w:val="20"/>
                <w:color w:val="auto"/>
              </w:rPr>
              <w:t>By: /s/ John F. Sharkey</w:t>
            </w:r>
          </w:p>
        </w:tc>
      </w:tr>
      <w:tr>
        <w:trPr>
          <w:trHeight w:val="300"/>
        </w:trPr>
        <w:tc>
          <w:tcPr>
            <w:tcW w:w="5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David A. Ayoub, Director</w:t>
            </w:r>
          </w:p>
        </w:tc>
        <w:tc>
          <w:tcPr>
            <w:tcW w:w="4480" w:type="dxa"/>
            <w:vAlign w:val="bottom"/>
            <w:gridSpan w:val="3"/>
          </w:tcPr>
          <w:p>
            <w:pPr>
              <w:ind w:left="880"/>
              <w:spacing w:after="0"/>
              <w:rPr>
                <w:sz w:val="20"/>
                <w:szCs w:val="20"/>
                <w:color w:val="auto"/>
              </w:rPr>
            </w:pPr>
            <w:r>
              <w:rPr>
                <w:rFonts w:ascii="Arial" w:cs="Arial" w:eastAsia="Arial" w:hAnsi="Arial"/>
                <w:sz w:val="20"/>
                <w:szCs w:val="20"/>
                <w:color w:val="auto"/>
              </w:rPr>
              <w:t>John F. Sharkey, Director</w:t>
            </w:r>
          </w:p>
        </w:tc>
      </w:tr>
      <w:tr>
        <w:trPr>
          <w:trHeight w:val="280"/>
        </w:trPr>
        <w:tc>
          <w:tcPr>
            <w:tcW w:w="580" w:type="dxa"/>
            <w:vAlign w:val="bottom"/>
          </w:tcPr>
          <w:p>
            <w:pPr>
              <w:jc w:val="right"/>
              <w:ind w:right="40"/>
              <w:spacing w:after="0"/>
              <w:rPr>
                <w:sz w:val="20"/>
                <w:szCs w:val="20"/>
                <w:color w:val="auto"/>
              </w:rPr>
            </w:pPr>
            <w:r>
              <w:rPr>
                <w:rFonts w:ascii="Arial" w:cs="Arial" w:eastAsia="Arial" w:hAnsi="Arial"/>
                <w:sz w:val="20"/>
                <w:szCs w:val="20"/>
                <w:color w:val="auto"/>
                <w:w w:val="87"/>
              </w:rPr>
              <w:t>Date:</w:t>
            </w:r>
          </w:p>
        </w:tc>
        <w:tc>
          <w:tcPr>
            <w:tcW w:w="1280" w:type="dxa"/>
            <w:vAlign w:val="bottom"/>
          </w:tcPr>
          <w:p>
            <w:pPr>
              <w:spacing w:after="0"/>
              <w:rPr>
                <w:sz w:val="20"/>
                <w:szCs w:val="20"/>
                <w:color w:val="auto"/>
              </w:rPr>
            </w:pPr>
            <w:r>
              <w:rPr>
                <w:rFonts w:ascii="Arial" w:cs="Arial" w:eastAsia="Arial" w:hAnsi="Arial"/>
                <w:sz w:val="20"/>
                <w:szCs w:val="20"/>
                <w:color w:val="auto"/>
                <w:w w:val="90"/>
              </w:rPr>
              <w:t>March 30, 2026</w:t>
            </w:r>
          </w:p>
        </w:tc>
        <w:tc>
          <w:tcPr>
            <w:tcW w:w="2600" w:type="dxa"/>
            <w:vAlign w:val="bottom"/>
          </w:tcPr>
          <w:p>
            <w:pPr>
              <w:spacing w:after="0"/>
              <w:rPr>
                <w:sz w:val="24"/>
                <w:szCs w:val="24"/>
                <w:color w:val="auto"/>
              </w:rPr>
            </w:pPr>
          </w:p>
        </w:tc>
        <w:tc>
          <w:tcPr>
            <w:tcW w:w="4480" w:type="dxa"/>
            <w:vAlign w:val="bottom"/>
            <w:gridSpan w:val="3"/>
          </w:tcPr>
          <w:p>
            <w:pPr>
              <w:ind w:left="340"/>
              <w:spacing w:after="0"/>
              <w:rPr>
                <w:sz w:val="20"/>
                <w:szCs w:val="20"/>
                <w:color w:val="auto"/>
              </w:rPr>
            </w:pPr>
            <w:r>
              <w:rPr>
                <w:rFonts w:ascii="Arial" w:cs="Arial" w:eastAsia="Arial" w:hAnsi="Arial"/>
                <w:sz w:val="20"/>
                <w:szCs w:val="20"/>
                <w:color w:val="auto"/>
              </w:rPr>
              <w:t>Date: March 30, 2026</w:t>
            </w:r>
          </w:p>
        </w:tc>
      </w:tr>
      <w:tr>
        <w:trPr>
          <w:trHeight w:val="20"/>
        </w:trPr>
        <w:tc>
          <w:tcPr>
            <w:tcW w:w="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910"/>
        </w:trPr>
        <w:tc>
          <w:tcPr>
            <w:tcW w:w="580" w:type="dxa"/>
            <w:vAlign w:val="bottom"/>
          </w:tcPr>
          <w:p>
            <w:pPr>
              <w:jc w:val="right"/>
              <w:ind w:right="40"/>
              <w:spacing w:after="0"/>
              <w:rPr>
                <w:sz w:val="20"/>
                <w:szCs w:val="20"/>
                <w:color w:val="auto"/>
              </w:rPr>
            </w:pPr>
            <w:r>
              <w:rPr>
                <w:rFonts w:ascii="Arial" w:cs="Arial" w:eastAsia="Arial" w:hAnsi="Arial"/>
                <w:sz w:val="20"/>
                <w:szCs w:val="20"/>
                <w:color w:val="auto"/>
              </w:rPr>
              <w:t>By:</w:t>
            </w:r>
          </w:p>
        </w:tc>
        <w:tc>
          <w:tcPr>
            <w:tcW w:w="3880" w:type="dxa"/>
            <w:vAlign w:val="bottom"/>
            <w:gridSpan w:val="2"/>
          </w:tcPr>
          <w:p>
            <w:pPr>
              <w:spacing w:after="0"/>
              <w:rPr>
                <w:sz w:val="20"/>
                <w:szCs w:val="20"/>
                <w:color w:val="auto"/>
              </w:rPr>
            </w:pPr>
            <w:r>
              <w:rPr>
                <w:rFonts w:ascii="Arial" w:cs="Arial" w:eastAsia="Arial" w:hAnsi="Arial"/>
                <w:sz w:val="20"/>
                <w:szCs w:val="20"/>
                <w:color w:val="auto"/>
              </w:rPr>
              <w:t>/s/ Adam C. Gagas</w:t>
            </w:r>
          </w:p>
        </w:tc>
        <w:tc>
          <w:tcPr>
            <w:tcW w:w="4480" w:type="dxa"/>
            <w:vAlign w:val="bottom"/>
            <w:gridSpan w:val="3"/>
          </w:tcPr>
          <w:p>
            <w:pPr>
              <w:ind w:left="500"/>
              <w:spacing w:after="0"/>
              <w:rPr>
                <w:sz w:val="20"/>
                <w:szCs w:val="20"/>
                <w:color w:val="auto"/>
              </w:rPr>
            </w:pPr>
            <w:r>
              <w:rPr>
                <w:rFonts w:ascii="Arial" w:cs="Arial" w:eastAsia="Arial" w:hAnsi="Arial"/>
                <w:sz w:val="20"/>
                <w:szCs w:val="20"/>
                <w:color w:val="auto"/>
              </w:rPr>
              <w:t>By: /s/ Melanie Littlejohn</w:t>
            </w:r>
          </w:p>
        </w:tc>
      </w:tr>
      <w:tr>
        <w:trPr>
          <w:trHeight w:val="300"/>
        </w:trPr>
        <w:tc>
          <w:tcPr>
            <w:tcW w:w="5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Adam C. Gagas, Director</w:t>
            </w:r>
          </w:p>
        </w:tc>
        <w:tc>
          <w:tcPr>
            <w:tcW w:w="4480" w:type="dxa"/>
            <w:vAlign w:val="bottom"/>
            <w:gridSpan w:val="3"/>
          </w:tcPr>
          <w:p>
            <w:pPr>
              <w:ind w:left="880"/>
              <w:spacing w:after="0"/>
              <w:rPr>
                <w:sz w:val="20"/>
                <w:szCs w:val="20"/>
                <w:color w:val="auto"/>
              </w:rPr>
            </w:pPr>
            <w:r>
              <w:rPr>
                <w:rFonts w:ascii="Arial" w:cs="Arial" w:eastAsia="Arial" w:hAnsi="Arial"/>
                <w:sz w:val="20"/>
                <w:szCs w:val="20"/>
                <w:color w:val="auto"/>
              </w:rPr>
              <w:t>Melanie Littlejohn, Director</w:t>
            </w:r>
          </w:p>
        </w:tc>
      </w:tr>
      <w:tr>
        <w:trPr>
          <w:trHeight w:val="280"/>
        </w:trPr>
        <w:tc>
          <w:tcPr>
            <w:tcW w:w="580" w:type="dxa"/>
            <w:vAlign w:val="bottom"/>
          </w:tcPr>
          <w:p>
            <w:pPr>
              <w:jc w:val="right"/>
              <w:ind w:right="40"/>
              <w:spacing w:after="0"/>
              <w:rPr>
                <w:sz w:val="20"/>
                <w:szCs w:val="20"/>
                <w:color w:val="auto"/>
              </w:rPr>
            </w:pPr>
            <w:r>
              <w:rPr>
                <w:rFonts w:ascii="Arial" w:cs="Arial" w:eastAsia="Arial" w:hAnsi="Arial"/>
                <w:sz w:val="20"/>
                <w:szCs w:val="20"/>
                <w:color w:val="auto"/>
                <w:w w:val="87"/>
              </w:rPr>
              <w:t>Date:</w:t>
            </w:r>
          </w:p>
        </w:tc>
        <w:tc>
          <w:tcPr>
            <w:tcW w:w="1280" w:type="dxa"/>
            <w:vAlign w:val="bottom"/>
          </w:tcPr>
          <w:p>
            <w:pPr>
              <w:spacing w:after="0"/>
              <w:rPr>
                <w:sz w:val="20"/>
                <w:szCs w:val="20"/>
                <w:color w:val="auto"/>
              </w:rPr>
            </w:pPr>
            <w:r>
              <w:rPr>
                <w:rFonts w:ascii="Arial" w:cs="Arial" w:eastAsia="Arial" w:hAnsi="Arial"/>
                <w:sz w:val="20"/>
                <w:szCs w:val="20"/>
                <w:color w:val="auto"/>
                <w:w w:val="90"/>
              </w:rPr>
              <w:t>March 30, 2026</w:t>
            </w:r>
          </w:p>
        </w:tc>
        <w:tc>
          <w:tcPr>
            <w:tcW w:w="2600" w:type="dxa"/>
            <w:vAlign w:val="bottom"/>
          </w:tcPr>
          <w:p>
            <w:pPr>
              <w:spacing w:after="0"/>
              <w:rPr>
                <w:sz w:val="24"/>
                <w:szCs w:val="24"/>
                <w:color w:val="auto"/>
              </w:rPr>
            </w:pPr>
          </w:p>
        </w:tc>
        <w:tc>
          <w:tcPr>
            <w:tcW w:w="4480" w:type="dxa"/>
            <w:vAlign w:val="bottom"/>
            <w:gridSpan w:val="3"/>
          </w:tcPr>
          <w:p>
            <w:pPr>
              <w:ind w:left="340"/>
              <w:spacing w:after="0"/>
              <w:rPr>
                <w:sz w:val="20"/>
                <w:szCs w:val="20"/>
                <w:color w:val="auto"/>
              </w:rPr>
            </w:pPr>
            <w:r>
              <w:rPr>
                <w:rFonts w:ascii="Arial" w:cs="Arial" w:eastAsia="Arial" w:hAnsi="Arial"/>
                <w:sz w:val="20"/>
                <w:szCs w:val="20"/>
                <w:color w:val="auto"/>
              </w:rPr>
              <w:t>Date: March 30, 2026</w:t>
            </w:r>
          </w:p>
        </w:tc>
      </w:tr>
      <w:tr>
        <w:trPr>
          <w:trHeight w:val="20"/>
        </w:trPr>
        <w:tc>
          <w:tcPr>
            <w:tcW w:w="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910"/>
        </w:trPr>
        <w:tc>
          <w:tcPr>
            <w:tcW w:w="580" w:type="dxa"/>
            <w:vAlign w:val="bottom"/>
          </w:tcPr>
          <w:p>
            <w:pPr>
              <w:jc w:val="right"/>
              <w:ind w:right="40"/>
              <w:spacing w:after="0"/>
              <w:rPr>
                <w:sz w:val="20"/>
                <w:szCs w:val="20"/>
                <w:color w:val="auto"/>
              </w:rPr>
            </w:pPr>
            <w:r>
              <w:rPr>
                <w:rFonts w:ascii="Arial" w:cs="Arial" w:eastAsia="Arial" w:hAnsi="Arial"/>
                <w:sz w:val="20"/>
                <w:szCs w:val="20"/>
                <w:color w:val="auto"/>
              </w:rPr>
              <w:t>By:</w:t>
            </w:r>
          </w:p>
        </w:tc>
        <w:tc>
          <w:tcPr>
            <w:tcW w:w="3880" w:type="dxa"/>
            <w:vAlign w:val="bottom"/>
            <w:gridSpan w:val="2"/>
          </w:tcPr>
          <w:p>
            <w:pPr>
              <w:spacing w:after="0"/>
              <w:rPr>
                <w:sz w:val="20"/>
                <w:szCs w:val="20"/>
                <w:color w:val="auto"/>
              </w:rPr>
            </w:pPr>
            <w:r>
              <w:rPr>
                <w:rFonts w:ascii="Arial" w:cs="Arial" w:eastAsia="Arial" w:hAnsi="Arial"/>
                <w:sz w:val="20"/>
                <w:szCs w:val="20"/>
                <w:color w:val="auto"/>
              </w:rPr>
              <w:t>/s/ Meghan Crawford-Hamlin</w:t>
            </w:r>
          </w:p>
        </w:tc>
        <w:tc>
          <w:tcPr>
            <w:tcW w:w="4480" w:type="dxa"/>
            <w:vAlign w:val="bottom"/>
            <w:gridSpan w:val="3"/>
          </w:tcPr>
          <w:p>
            <w:pPr>
              <w:ind w:left="500"/>
              <w:spacing w:after="0"/>
              <w:rPr>
                <w:sz w:val="20"/>
                <w:szCs w:val="20"/>
                <w:color w:val="auto"/>
              </w:rPr>
            </w:pPr>
            <w:r>
              <w:rPr>
                <w:rFonts w:ascii="Arial" w:cs="Arial" w:eastAsia="Arial" w:hAnsi="Arial"/>
                <w:sz w:val="20"/>
                <w:szCs w:val="20"/>
                <w:color w:val="auto"/>
              </w:rPr>
              <w:t>By: /s/ Eric Allyn</w:t>
            </w:r>
          </w:p>
        </w:tc>
      </w:tr>
      <w:tr>
        <w:trPr>
          <w:trHeight w:val="300"/>
        </w:trPr>
        <w:tc>
          <w:tcPr>
            <w:tcW w:w="5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Meghan Crawford-Hamlin, Director</w:t>
            </w:r>
          </w:p>
        </w:tc>
        <w:tc>
          <w:tcPr>
            <w:tcW w:w="4480" w:type="dxa"/>
            <w:vAlign w:val="bottom"/>
            <w:gridSpan w:val="3"/>
          </w:tcPr>
          <w:p>
            <w:pPr>
              <w:ind w:left="880"/>
              <w:spacing w:after="0"/>
              <w:rPr>
                <w:sz w:val="20"/>
                <w:szCs w:val="20"/>
                <w:color w:val="auto"/>
              </w:rPr>
            </w:pPr>
            <w:r>
              <w:rPr>
                <w:rFonts w:ascii="Arial" w:cs="Arial" w:eastAsia="Arial" w:hAnsi="Arial"/>
                <w:sz w:val="20"/>
                <w:szCs w:val="20"/>
                <w:color w:val="auto"/>
              </w:rPr>
              <w:t>Eric Allyn,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-5535930</wp:posOffset>
            </wp:positionV>
            <wp:extent cx="5674995" cy="63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63">
                      <a:extLst>
                        <a:ext uri="{28A0092B-C50C-407E-A947-70E740481C1C}"/>
                      </a:extLst>
                    </a:blip>
                    <a:srcRect/>
                    <a:stretch>
                      <a:fillRect/>
                    </a:stretch>
                  </pic:blipFill>
                  <pic:spPr bwMode="auto">
                    <a:xfrm>
                      <a:off x="0" y="0"/>
                      <a:ext cx="5674995" cy="635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-4005580</wp:posOffset>
            </wp:positionV>
            <wp:extent cx="5579745" cy="63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4">
                      <a:extLst>
                        <a:ext uri="{28A0092B-C50C-407E-A947-70E740481C1C}"/>
                      </a:extLst>
                    </a:blip>
                    <a:srcRect/>
                    <a:stretch>
                      <a:fillRect/>
                    </a:stretch>
                  </pic:blipFill>
                  <pic:spPr bwMode="auto">
                    <a:xfrm>
                      <a:off x="0" y="0"/>
                      <a:ext cx="5579745" cy="635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-3046730</wp:posOffset>
            </wp:positionV>
            <wp:extent cx="5579745" cy="63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5">
                      <a:extLst>
                        <a:ext uri="{28A0092B-C50C-407E-A947-70E740481C1C}"/>
                      </a:extLst>
                    </a:blip>
                    <a:srcRect/>
                    <a:stretch>
                      <a:fillRect/>
                    </a:stretch>
                  </pic:blipFill>
                  <pic:spPr bwMode="auto">
                    <a:xfrm>
                      <a:off x="0" y="0"/>
                      <a:ext cx="5579745" cy="635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-2087880</wp:posOffset>
            </wp:positionV>
            <wp:extent cx="5579745" cy="63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6">
                      <a:extLst>
                        <a:ext uri="{28A0092B-C50C-407E-A947-70E740481C1C}"/>
                      </a:extLst>
                    </a:blip>
                    <a:srcRect/>
                    <a:stretch>
                      <a:fillRect/>
                    </a:stretch>
                  </pic:blipFill>
                  <pic:spPr bwMode="auto">
                    <a:xfrm>
                      <a:off x="0" y="0"/>
                      <a:ext cx="5579745" cy="635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-1129030</wp:posOffset>
            </wp:positionV>
            <wp:extent cx="5579745" cy="635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7">
                      <a:extLst>
                        <a:ext uri="{28A0092B-C50C-407E-A947-70E740481C1C}"/>
                      </a:extLst>
                    </a:blip>
                    <a:srcRect/>
                    <a:stretch>
                      <a:fillRect/>
                    </a:stretch>
                  </pic:blipFill>
                  <pic:spPr bwMode="auto">
                    <a:xfrm>
                      <a:off x="0" y="0"/>
                      <a:ext cx="5579745" cy="635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-170180</wp:posOffset>
            </wp:positionV>
            <wp:extent cx="5579745" cy="63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8">
                      <a:extLst>
                        <a:ext uri="{28A0092B-C50C-407E-A947-70E740481C1C}"/>
                      </a:extLst>
                    </a:blip>
                    <a:srcRect/>
                    <a:stretch>
                      <a:fillRect/>
                    </a:stretch>
                  </pic:blipFill>
                  <pic:spPr bwMode="auto">
                    <a:xfrm>
                      <a:off x="0" y="0"/>
                      <a:ext cx="5579745" cy="63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 / 25</w:t>
      </w:r>
    </w:p>
    <w:p>
      <w:pPr>
        <w:sectPr>
          <w:pgSz w:w="11900" w:h="16838" w:orient="portrait"/>
          <w:cols w:equalWidth="0" w:num="1">
            <w:col w:w="9340"/>
          </w:cols>
          <w:pgMar w:left="1260" w:top="1440" w:right="1306" w:bottom="0" w:gutter="0" w:footer="0" w:header="0"/>
          <w:type w:val="continuous"/>
        </w:sectPr>
      </w:pPr>
    </w:p>
    <w:bookmarkStart w:id="264" w:name="page265"/>
    <w:bookmarkEnd w:id="264"/>
    <w:p>
      <w:pPr>
        <w:spacing w:after="0"/>
        <w:tabs>
          <w:tab w:leader="none" w:pos="4780" w:val="left"/>
        </w:tabs>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30, 2026</w:t>
      </w:r>
      <w:r>
        <w:rPr>
          <w:sz w:val="20"/>
          <w:szCs w:val="20"/>
          <w:color w:val="auto"/>
        </w:rPr>
        <w:tab/>
      </w: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30, 2026</w:t>
      </w:r>
    </w:p>
    <w:p>
      <w:pPr>
        <w:sectPr>
          <w:pgSz w:w="11900" w:h="16838" w:orient="portrait"/>
          <w:cols w:equalWidth="0" w:num="1">
            <w:col w:w="9186"/>
          </w:cols>
          <w:pgMar w:left="1280" w:top="1163" w:right="144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53"/>
        <w:spacing w:after="0"/>
        <w:rPr>
          <w:sz w:val="20"/>
          <w:szCs w:val="20"/>
          <w:color w:val="auto"/>
        </w:rPr>
      </w:pPr>
      <w:r>
        <w:rPr>
          <w:rFonts w:ascii="Arial" w:cs="Arial" w:eastAsia="Arial" w:hAnsi="Arial"/>
          <w:sz w:val="20"/>
          <w:szCs w:val="20"/>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569595</wp:posOffset>
            </wp:positionV>
            <wp:extent cx="5967730" cy="1905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6"/>
          </w:cols>
          <w:pgMar w:left="1280" w:top="116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3"/>
        <w:spacing w:after="0"/>
        <w:rPr>
          <w:sz w:val="20"/>
          <w:szCs w:val="20"/>
          <w:color w:val="auto"/>
        </w:rPr>
      </w:pPr>
      <w:r>
        <w:rPr>
          <w:rFonts w:ascii="Arial" w:cs="Arial" w:eastAsia="Arial" w:hAnsi="Arial"/>
          <w:sz w:val="20"/>
          <w:szCs w:val="20"/>
          <w:color w:val="auto"/>
        </w:rPr>
        <w:t>23 / 25</w:t>
      </w:r>
    </w:p>
    <w:p>
      <w:pPr>
        <w:sectPr>
          <w:pgSz w:w="11900" w:h="16838" w:orient="portrait"/>
          <w:cols w:equalWidth="0" w:num="1">
            <w:col w:w="9186"/>
          </w:cols>
          <w:pgMar w:left="1280" w:top="1163" w:right="1440" w:bottom="0" w:gutter="0" w:footer="0" w:header="0"/>
          <w:type w:val="continuous"/>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25</w:t>
      </w:r>
    </w:p>
    <w:p>
      <w:pPr>
        <w:sectPr>
          <w:pgSz w:w="11900" w:h="16838" w:orient="portrait"/>
          <w:cols w:equalWidth="0" w:num="1">
            <w:col w:w="9026"/>
          </w:cols>
          <w:pgMar w:left="1440" w:top="1440" w:right="1440" w:bottom="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21: SUBSIDIARIES OF THE REGISTRANT</w:t>
      </w:r>
    </w:p>
    <w:p>
      <w:pPr>
        <w:spacing w:after="0" w:line="200" w:lineRule="exact"/>
        <w:rPr>
          <w:sz w:val="20"/>
          <w:szCs w:val="20"/>
          <w:color w:val="auto"/>
        </w:rPr>
      </w:pPr>
    </w:p>
    <w:p>
      <w:pPr>
        <w:spacing w:after="0" w:line="210"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u w:val="single" w:color="auto"/>
          <w:color w:val="auto"/>
        </w:rPr>
        <w:t>Name</w:t>
      </w:r>
      <w:r>
        <w:rPr>
          <w:sz w:val="20"/>
          <w:szCs w:val="20"/>
          <w:color w:val="auto"/>
        </w:rPr>
        <w:tab/>
      </w:r>
      <w:r>
        <w:rPr>
          <w:rFonts w:ascii="Arial" w:cs="Arial" w:eastAsia="Arial" w:hAnsi="Arial"/>
          <w:sz w:val="18"/>
          <w:szCs w:val="18"/>
          <w:u w:val="single" w:color="auto"/>
          <w:color w:val="auto"/>
        </w:rPr>
        <w:t>State of Incorporation</w:t>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25 / 25</w:t>
      </w:r>
    </w:p>
    <w:p>
      <w:pPr>
        <w:sectPr>
          <w:pgSz w:w="11900" w:h="16838" w:orient="portrait"/>
          <w:cols w:equalWidth="0" w:num="1">
            <w:col w:w="9206"/>
          </w:cols>
          <w:pgMar w:left="1260" w:top="1440" w:right="1440" w:bottom="0" w:gutter="0" w:footer="0" w:header="0"/>
          <w:type w:val="continuous"/>
        </w:sectPr>
      </w:pPr>
    </w:p>
    <w:bookmarkStart w:id="267" w:name="page268"/>
    <w:bookmarkEnd w:id="267"/>
    <w:p>
      <w:pPr>
        <w:spacing w:after="0"/>
        <w:rPr>
          <w:sz w:val="20"/>
          <w:szCs w:val="20"/>
          <w:color w:val="auto"/>
        </w:rPr>
      </w:pPr>
      <w:r>
        <w:rPr>
          <w:rFonts w:ascii="Arial" w:cs="Arial" w:eastAsia="Arial" w:hAnsi="Arial"/>
          <w:sz w:val="20"/>
          <w:szCs w:val="20"/>
          <w:color w:val="auto"/>
        </w:rPr>
        <w:t>Pathfinder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New York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Pathfinder Statutory Trust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Delaware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Whispering Oaks Development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New York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Pathfinder Risk Management Company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New York (indirect)</w:t>
      </w:r>
    </w:p>
    <w:p>
      <w:pPr>
        <w:sectPr>
          <w:pgSz w:w="11900" w:h="16838" w:orient="portrait"/>
          <w:cols w:equalWidth="0" w:num="1">
            <w:col w:w="9206"/>
          </w:cols>
          <w:pgMar w:left="1260" w:top="128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 / 13</w:t>
      </w:r>
    </w:p>
    <w:p>
      <w:pPr>
        <w:sectPr>
          <w:pgSz w:w="11900" w:h="16838" w:orient="portrait"/>
          <w:cols w:equalWidth="0" w:num="1">
            <w:col w:w="9206"/>
          </w:cols>
          <w:pgMar w:left="1260" w:top="1283" w:right="1440" w:bottom="0" w:gutter="0" w:footer="0" w:header="0"/>
          <w:type w:val="continuous"/>
        </w:sectPr>
      </w:pPr>
    </w:p>
    <w:bookmarkStart w:id="268" w:name="page269"/>
    <w:bookmarkEnd w:id="2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1463040</wp:posOffset>
            </wp:positionV>
            <wp:extent cx="5967730" cy="190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 / 13</w:t>
      </w:r>
    </w:p>
    <w:p>
      <w:pPr>
        <w:sectPr>
          <w:pgSz w:w="11900" w:h="16838" w:orient="portrait"/>
          <w:cols w:equalWidth="0" w:num="1">
            <w:col w:w="9026"/>
          </w:cols>
          <w:pgMar w:left="1440" w:top="1440" w:right="1440" w:bottom="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13</w:t>
      </w:r>
    </w:p>
    <w:p>
      <w:pPr>
        <w:sectPr>
          <w:pgSz w:w="11900" w:h="16838" w:orient="portrait"/>
          <w:cols w:equalWidth="0" w:num="1">
            <w:col w:w="9026"/>
          </w:cols>
          <w:pgMar w:left="1440" w:top="1440" w:right="1440" w:bottom="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23: CONSENT OF BONADIO &amp; CO., LLP</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CONSENT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Pathfinder Bancorp, Inc.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Oswego, New York</w:t>
      </w:r>
    </w:p>
    <w:p>
      <w:pPr>
        <w:spacing w:after="0" w:line="32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We consent to the incorporation by reference in the registration statements on Forms S-8 (No. 333-202081, 333-224388 and 333-280216) of our report dated March 30, 2026 of Pathfinder Bancorp, Inc. relating to the consolidated financial statements, which report appears in this Annual Report on Form 10-K as of December 31, 2025 and 2024 and for the years then ended.</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Bonadio &amp; Co., LLP</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Bonadio &amp; Co., LLP</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Syracuse, New York</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1169035</wp:posOffset>
            </wp:positionV>
            <wp:extent cx="5967730" cy="1905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 / 13</w:t>
      </w:r>
    </w:p>
    <w:p>
      <w:pPr>
        <w:sectPr>
          <w:pgSz w:w="11900" w:h="16838" w:orient="portrait"/>
          <w:cols w:equalWidth="0" w:num="1">
            <w:col w:w="9320"/>
          </w:cols>
          <w:pgMar w:left="1260" w:top="1440" w:right="1326" w:bottom="0" w:gutter="0" w:footer="0" w:header="0"/>
          <w:type w:val="continuous"/>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13</w:t>
      </w:r>
    </w:p>
    <w:p>
      <w:pPr>
        <w:sectPr>
          <w:pgSz w:w="11900" w:h="16838" w:orient="portrait"/>
          <w:cols w:equalWidth="0" w:num="1">
            <w:col w:w="9026"/>
          </w:cols>
          <w:pgMar w:left="1440" w:top="1440" w:right="1440" w:bottom="0" w:gutter="0" w:footer="0" w:header="0"/>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 w:right="2060"/>
        <w:spacing w:after="0" w:line="428" w:lineRule="auto"/>
        <w:rPr>
          <w:sz w:val="20"/>
          <w:szCs w:val="20"/>
          <w:color w:val="auto"/>
        </w:rPr>
      </w:pPr>
      <w:r>
        <w:rPr>
          <w:rFonts w:ascii="Arial" w:cs="Arial" w:eastAsia="Arial" w:hAnsi="Arial"/>
          <w:sz w:val="20"/>
          <w:szCs w:val="20"/>
          <w:b w:val="1"/>
          <w:bCs w:val="1"/>
          <w:color w:val="auto"/>
        </w:rPr>
        <w:t xml:space="preserve">EXHIBIT 31.1: Rule 13a-14(a) / 15d-14(a) Certification of the Chief Executive Officer </w:t>
      </w:r>
      <w:r>
        <w:rPr>
          <w:rFonts w:ascii="Arial" w:cs="Arial" w:eastAsia="Arial" w:hAnsi="Arial"/>
          <w:sz w:val="20"/>
          <w:szCs w:val="20"/>
          <w:color w:val="auto"/>
        </w:rPr>
        <w:t>Certification of Chief Executive Officer</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0"/>
          <w:szCs w:val="20"/>
          <w:color w:val="auto"/>
        </w:rPr>
        <w:t>Pursuant to Section 302 of the Sarbanes-Oxley Act of 2002</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color w:val="auto"/>
        </w:rPr>
        <w:t>I, James A. Dowd, President and Chief Executive Officer, certify that:</w:t>
      </w:r>
    </w:p>
    <w:p>
      <w:pPr>
        <w:spacing w:after="0" w:line="236" w:lineRule="exact"/>
        <w:rPr>
          <w:sz w:val="20"/>
          <w:szCs w:val="20"/>
          <w:color w:val="auto"/>
        </w:rPr>
      </w:pPr>
    </w:p>
    <w:p>
      <w:pPr>
        <w:ind w:left="426" w:hanging="426"/>
        <w:spacing w:after="0"/>
        <w:tabs>
          <w:tab w:leader="none" w:pos="426" w:val="left"/>
        </w:tabs>
        <w:numPr>
          <w:ilvl w:val="0"/>
          <w:numId w:val="4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Pathfinder Bancorp, Inc.;</w:t>
      </w:r>
    </w:p>
    <w:p>
      <w:pPr>
        <w:spacing w:after="0" w:line="259" w:lineRule="exact"/>
        <w:rPr>
          <w:rFonts w:ascii="Arial" w:cs="Arial" w:eastAsia="Arial" w:hAnsi="Arial"/>
          <w:sz w:val="20"/>
          <w:szCs w:val="20"/>
          <w:color w:val="auto"/>
        </w:rPr>
      </w:pPr>
    </w:p>
    <w:p>
      <w:pPr>
        <w:ind w:left="426" w:right="40" w:hanging="426"/>
        <w:spacing w:after="0" w:line="370" w:lineRule="auto"/>
        <w:tabs>
          <w:tab w:leader="none" w:pos="426"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20"/>
          <w:szCs w:val="20"/>
          <w:color w:val="auto"/>
        </w:rPr>
      </w:pPr>
    </w:p>
    <w:p>
      <w:pPr>
        <w:jc w:val="both"/>
        <w:ind w:left="426" w:right="60" w:hanging="426"/>
        <w:spacing w:after="0" w:line="396" w:lineRule="auto"/>
        <w:tabs>
          <w:tab w:leader="none" w:pos="426" w:val="left"/>
        </w:tabs>
        <w:numPr>
          <w:ilvl w:val="0"/>
          <w:numId w:val="42"/>
        </w:numPr>
        <w:rPr>
          <w:rFonts w:ascii="Arial" w:cs="Arial" w:eastAsia="Arial" w:hAnsi="Arial"/>
          <w:sz w:val="19"/>
          <w:szCs w:val="19"/>
          <w:color w:val="auto"/>
        </w:rPr>
      </w:pPr>
      <w:r>
        <w:rPr>
          <w:rFonts w:ascii="Arial" w:cs="Arial" w:eastAsia="Arial" w:hAnsi="Arial"/>
          <w:sz w:val="19"/>
          <w:szCs w:val="19"/>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18" w:lineRule="exact"/>
        <w:rPr>
          <w:rFonts w:ascii="Arial" w:cs="Arial" w:eastAsia="Arial" w:hAnsi="Arial"/>
          <w:sz w:val="19"/>
          <w:szCs w:val="19"/>
          <w:color w:val="auto"/>
        </w:rPr>
      </w:pPr>
    </w:p>
    <w:p>
      <w:pPr>
        <w:ind w:left="426" w:right="140" w:hanging="426"/>
        <w:spacing w:after="0" w:line="425" w:lineRule="auto"/>
        <w:tabs>
          <w:tab w:leader="none" w:pos="4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846" w:hanging="420"/>
        <w:spacing w:after="0" w:line="372" w:lineRule="auto"/>
        <w:tabs>
          <w:tab w:leader="none" w:pos="846"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20"/>
          <w:szCs w:val="20"/>
          <w:color w:val="auto"/>
        </w:rPr>
      </w:pPr>
    </w:p>
    <w:p>
      <w:pPr>
        <w:jc w:val="both"/>
        <w:ind w:left="846" w:right="40" w:hanging="420"/>
        <w:spacing w:after="0" w:line="372" w:lineRule="auto"/>
        <w:tabs>
          <w:tab w:leader="none" w:pos="846"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34" w:lineRule="exact"/>
        <w:rPr>
          <w:rFonts w:ascii="Arial" w:cs="Arial" w:eastAsia="Arial" w:hAnsi="Arial"/>
          <w:sz w:val="20"/>
          <w:szCs w:val="20"/>
          <w:color w:val="auto"/>
        </w:rPr>
      </w:pPr>
    </w:p>
    <w:p>
      <w:pPr>
        <w:jc w:val="both"/>
        <w:ind w:left="846" w:right="40" w:hanging="420"/>
        <w:spacing w:after="0" w:line="370" w:lineRule="auto"/>
        <w:tabs>
          <w:tab w:leader="none" w:pos="846" w:val="left"/>
        </w:tabs>
        <w:numPr>
          <w:ilvl w:val="1"/>
          <w:numId w:val="4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20"/>
          <w:szCs w:val="20"/>
          <w:color w:val="auto"/>
        </w:rPr>
      </w:pPr>
    </w:p>
    <w:p>
      <w:pPr>
        <w:jc w:val="both"/>
        <w:ind w:left="846" w:right="20" w:hanging="420"/>
        <w:spacing w:after="0" w:line="372" w:lineRule="auto"/>
        <w:tabs>
          <w:tab w:leader="none" w:pos="846" w:val="left"/>
        </w:tabs>
        <w:numPr>
          <w:ilvl w:val="1"/>
          <w:numId w:val="4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20"/>
          <w:szCs w:val="20"/>
          <w:color w:val="auto"/>
        </w:rPr>
      </w:pPr>
    </w:p>
    <w:p>
      <w:pPr>
        <w:jc w:val="both"/>
        <w:ind w:left="426" w:right="40" w:hanging="426"/>
        <w:spacing w:after="0" w:line="370" w:lineRule="auto"/>
        <w:tabs>
          <w:tab w:leader="none" w:pos="426"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6 / 13</w:t>
      </w:r>
    </w:p>
    <w:p>
      <w:pPr>
        <w:sectPr>
          <w:pgSz w:w="11900" w:h="16838" w:orient="portrait"/>
          <w:cols w:equalWidth="0" w:num="1">
            <w:col w:w="9386"/>
          </w:cols>
          <w:pgMar w:left="1254" w:top="1440" w:right="1266" w:bottom="0" w:gutter="0" w:footer="0" w:header="0"/>
          <w:type w:val="continuous"/>
        </w:sectPr>
      </w:pPr>
    </w:p>
    <w:bookmarkStart w:id="273" w:name="page274"/>
    <w:bookmarkEnd w:id="273"/>
    <w:p>
      <w:pPr>
        <w:jc w:val="both"/>
        <w:ind w:left="840" w:right="80" w:hanging="420"/>
        <w:spacing w:after="0" w:line="370" w:lineRule="auto"/>
        <w:tabs>
          <w:tab w:leader="none" w:pos="8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20"/>
          <w:szCs w:val="20"/>
          <w:color w:val="auto"/>
        </w:rPr>
      </w:pPr>
    </w:p>
    <w:p>
      <w:pPr>
        <w:ind w:left="840" w:right="60" w:hanging="420"/>
        <w:spacing w:after="0" w:line="365" w:lineRule="auto"/>
        <w:tabs>
          <w:tab w:leader="none" w:pos="8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gridSpan w:val="2"/>
          </w:tcPr>
          <w:p>
            <w:pPr>
              <w:spacing w:after="0"/>
              <w:rPr>
                <w:sz w:val="20"/>
                <w:szCs w:val="20"/>
                <w:color w:val="auto"/>
              </w:rPr>
            </w:pPr>
            <w:r>
              <w:rPr>
                <w:rFonts w:ascii="Arial" w:cs="Arial" w:eastAsia="Arial" w:hAnsi="Arial"/>
                <w:sz w:val="20"/>
                <w:szCs w:val="20"/>
                <w:color w:val="auto"/>
              </w:rPr>
              <w:t>March 30, 2026</w:t>
            </w:r>
          </w:p>
        </w:tc>
        <w:tc>
          <w:tcPr>
            <w:tcW w:w="5640" w:type="dxa"/>
            <w:vAlign w:val="bottom"/>
            <w:gridSpan w:val="2"/>
          </w:tcPr>
          <w:p>
            <w:pPr>
              <w:spacing w:after="0"/>
              <w:rPr>
                <w:sz w:val="20"/>
                <w:szCs w:val="20"/>
                <w:color w:val="auto"/>
              </w:rPr>
            </w:pPr>
            <w:r>
              <w:rPr>
                <w:rFonts w:ascii="Arial" w:cs="Arial" w:eastAsia="Arial" w:hAnsi="Arial"/>
                <w:sz w:val="20"/>
                <w:szCs w:val="20"/>
                <w:color w:val="auto"/>
              </w:rPr>
              <w:t>/s/ James A. Dowd</w:t>
            </w:r>
          </w:p>
        </w:tc>
      </w:tr>
      <w:tr>
        <w:trPr>
          <w:trHeight w:val="300"/>
        </w:trPr>
        <w:tc>
          <w:tcPr>
            <w:tcW w:w="126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James A. Dowd</w:t>
            </w:r>
          </w:p>
        </w:tc>
        <w:tc>
          <w:tcPr>
            <w:tcW w:w="4140" w:type="dxa"/>
            <w:vAlign w:val="bottom"/>
          </w:tcPr>
          <w:p>
            <w:pPr>
              <w:spacing w:after="0"/>
              <w:rPr>
                <w:sz w:val="24"/>
                <w:szCs w:val="24"/>
                <w:color w:val="auto"/>
              </w:rPr>
            </w:pPr>
          </w:p>
        </w:tc>
      </w:tr>
      <w:tr>
        <w:trPr>
          <w:trHeight w:val="300"/>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20"/>
                <w:szCs w:val="20"/>
                <w:color w:val="auto"/>
              </w:rPr>
              <w:t>President and Chief Executive Officer</w:t>
            </w:r>
          </w:p>
        </w:tc>
      </w:tr>
      <w:tr>
        <w:trPr>
          <w:trHeight w:val="1521"/>
        </w:trPr>
        <w:tc>
          <w:tcPr>
            <w:tcW w:w="126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41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7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73">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33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13</w:t>
      </w:r>
    </w:p>
    <w:p>
      <w:pPr>
        <w:sectPr>
          <w:pgSz w:w="11900" w:h="16838" w:orient="portrait"/>
          <w:cols w:equalWidth="0" w:num="1">
            <w:col w:w="9400"/>
          </w:cols>
          <w:pgMar w:left="1260" w:top="1338" w:right="1246" w:bottom="0" w:gutter="0" w:footer="0" w:header="0"/>
          <w:type w:val="continuous"/>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13</w:t>
      </w:r>
    </w:p>
    <w:p>
      <w:pPr>
        <w:sectPr>
          <w:pgSz w:w="11900" w:h="16838" w:orient="portrait"/>
          <w:cols w:equalWidth="0" w:num="1">
            <w:col w:w="9026"/>
          </w:cols>
          <w:pgMar w:left="1440" w:top="1440" w:right="1440" w:bottom="0" w:gutter="0" w:footer="0" w:header="0"/>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 w:right="2100"/>
        <w:spacing w:after="0" w:line="428" w:lineRule="auto"/>
        <w:rPr>
          <w:sz w:val="20"/>
          <w:szCs w:val="20"/>
          <w:color w:val="auto"/>
        </w:rPr>
      </w:pPr>
      <w:r>
        <w:rPr>
          <w:rFonts w:ascii="Arial" w:cs="Arial" w:eastAsia="Arial" w:hAnsi="Arial"/>
          <w:sz w:val="20"/>
          <w:szCs w:val="20"/>
          <w:b w:val="1"/>
          <w:bCs w:val="1"/>
          <w:color w:val="auto"/>
        </w:rPr>
        <w:t xml:space="preserve">EXHIBIT 31.2: Rule 13a-14(a) / 15d-14(a) Certification of the Chief Financial Officer </w:t>
      </w:r>
      <w:r>
        <w:rPr>
          <w:rFonts w:ascii="Arial" w:cs="Arial" w:eastAsia="Arial" w:hAnsi="Arial"/>
          <w:sz w:val="20"/>
          <w:szCs w:val="20"/>
          <w:color w:val="auto"/>
        </w:rPr>
        <w:t>Certification of Chief Financial Officer</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0"/>
          <w:szCs w:val="20"/>
          <w:color w:val="auto"/>
        </w:rPr>
        <w:t>Pursuant to Section 302 of the Sarbanes-Oxley Act of 2002</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color w:val="auto"/>
        </w:rPr>
        <w:t>I, Justin K. Bigham, Executive Vice President, Chief Financial Officer, certify that:</w:t>
      </w:r>
    </w:p>
    <w:p>
      <w:pPr>
        <w:spacing w:after="0" w:line="236" w:lineRule="exact"/>
        <w:rPr>
          <w:sz w:val="20"/>
          <w:szCs w:val="20"/>
          <w:color w:val="auto"/>
        </w:rPr>
      </w:pPr>
    </w:p>
    <w:p>
      <w:pPr>
        <w:ind w:left="426" w:hanging="426"/>
        <w:spacing w:after="0"/>
        <w:tabs>
          <w:tab w:leader="none" w:pos="426"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Pathfinder Bancorp, Inc.;</w:t>
      </w:r>
    </w:p>
    <w:p>
      <w:pPr>
        <w:spacing w:after="0" w:line="259" w:lineRule="exact"/>
        <w:rPr>
          <w:rFonts w:ascii="Arial" w:cs="Arial" w:eastAsia="Arial" w:hAnsi="Arial"/>
          <w:sz w:val="20"/>
          <w:szCs w:val="20"/>
          <w:color w:val="auto"/>
        </w:rPr>
      </w:pPr>
    </w:p>
    <w:p>
      <w:pPr>
        <w:jc w:val="both"/>
        <w:ind w:left="426" w:right="40" w:hanging="426"/>
        <w:spacing w:after="0" w:line="370" w:lineRule="auto"/>
        <w:tabs>
          <w:tab w:leader="none" w:pos="426"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20"/>
          <w:szCs w:val="20"/>
          <w:color w:val="auto"/>
        </w:rPr>
      </w:pPr>
    </w:p>
    <w:p>
      <w:pPr>
        <w:jc w:val="both"/>
        <w:ind w:left="426" w:right="40" w:hanging="426"/>
        <w:spacing w:after="0" w:line="396" w:lineRule="auto"/>
        <w:tabs>
          <w:tab w:leader="none" w:pos="426" w:val="left"/>
        </w:tabs>
        <w:numPr>
          <w:ilvl w:val="0"/>
          <w:numId w:val="44"/>
        </w:numPr>
        <w:rPr>
          <w:rFonts w:ascii="Arial" w:cs="Arial" w:eastAsia="Arial" w:hAnsi="Arial"/>
          <w:sz w:val="19"/>
          <w:szCs w:val="19"/>
          <w:color w:val="auto"/>
        </w:rPr>
      </w:pPr>
      <w:r>
        <w:rPr>
          <w:rFonts w:ascii="Arial" w:cs="Arial" w:eastAsia="Arial" w:hAnsi="Arial"/>
          <w:sz w:val="19"/>
          <w:szCs w:val="19"/>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18" w:lineRule="exact"/>
        <w:rPr>
          <w:rFonts w:ascii="Arial" w:cs="Arial" w:eastAsia="Arial" w:hAnsi="Arial"/>
          <w:sz w:val="19"/>
          <w:szCs w:val="19"/>
          <w:color w:val="auto"/>
        </w:rPr>
      </w:pPr>
    </w:p>
    <w:p>
      <w:pPr>
        <w:jc w:val="both"/>
        <w:ind w:left="426" w:right="40" w:hanging="426"/>
        <w:spacing w:after="0" w:line="425" w:lineRule="auto"/>
        <w:tabs>
          <w:tab w:leader="none" w:pos="4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846" w:hanging="420"/>
        <w:spacing w:after="0" w:line="372" w:lineRule="auto"/>
        <w:tabs>
          <w:tab w:leader="none" w:pos="846" w:val="left"/>
        </w:tabs>
        <w:numPr>
          <w:ilvl w:val="1"/>
          <w:numId w:val="4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20"/>
          <w:szCs w:val="20"/>
          <w:color w:val="auto"/>
        </w:rPr>
      </w:pPr>
    </w:p>
    <w:p>
      <w:pPr>
        <w:jc w:val="both"/>
        <w:ind w:left="846" w:right="40" w:hanging="420"/>
        <w:spacing w:after="0" w:line="372" w:lineRule="auto"/>
        <w:tabs>
          <w:tab w:leader="none" w:pos="846" w:val="left"/>
        </w:tabs>
        <w:numPr>
          <w:ilvl w:val="1"/>
          <w:numId w:val="4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34" w:lineRule="exact"/>
        <w:rPr>
          <w:rFonts w:ascii="Arial" w:cs="Arial" w:eastAsia="Arial" w:hAnsi="Arial"/>
          <w:sz w:val="20"/>
          <w:szCs w:val="20"/>
          <w:color w:val="auto"/>
        </w:rPr>
      </w:pPr>
    </w:p>
    <w:p>
      <w:pPr>
        <w:jc w:val="both"/>
        <w:ind w:left="846" w:right="40" w:hanging="420"/>
        <w:spacing w:after="0" w:line="370" w:lineRule="auto"/>
        <w:tabs>
          <w:tab w:leader="none" w:pos="846" w:val="left"/>
        </w:tabs>
        <w:numPr>
          <w:ilvl w:val="1"/>
          <w:numId w:val="4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20"/>
          <w:szCs w:val="20"/>
          <w:color w:val="auto"/>
        </w:rPr>
      </w:pPr>
    </w:p>
    <w:p>
      <w:pPr>
        <w:jc w:val="both"/>
        <w:ind w:left="846" w:right="20" w:hanging="420"/>
        <w:spacing w:after="0" w:line="372" w:lineRule="auto"/>
        <w:tabs>
          <w:tab w:leader="none" w:pos="846" w:val="left"/>
        </w:tabs>
        <w:numPr>
          <w:ilvl w:val="1"/>
          <w:numId w:val="4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20"/>
          <w:szCs w:val="20"/>
          <w:color w:val="auto"/>
        </w:rPr>
      </w:pPr>
    </w:p>
    <w:p>
      <w:pPr>
        <w:jc w:val="both"/>
        <w:ind w:left="426" w:right="40" w:hanging="426"/>
        <w:spacing w:after="0" w:line="370" w:lineRule="auto"/>
        <w:tabs>
          <w:tab w:leader="none" w:pos="426"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9 / 13</w:t>
      </w:r>
    </w:p>
    <w:p>
      <w:pPr>
        <w:sectPr>
          <w:pgSz w:w="11900" w:h="16838" w:orient="portrait"/>
          <w:cols w:equalWidth="0" w:num="1">
            <w:col w:w="9386"/>
          </w:cols>
          <w:pgMar w:left="1254" w:top="1440" w:right="1266" w:bottom="0" w:gutter="0" w:footer="0" w:header="0"/>
          <w:type w:val="continuous"/>
        </w:sectPr>
      </w:pPr>
    </w:p>
    <w:bookmarkStart w:id="276" w:name="page277"/>
    <w:bookmarkEnd w:id="276"/>
    <w:p>
      <w:pPr>
        <w:jc w:val="both"/>
        <w:ind w:left="840" w:right="80" w:hanging="420"/>
        <w:spacing w:after="0" w:line="370" w:lineRule="auto"/>
        <w:tabs>
          <w:tab w:leader="none" w:pos="8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20"/>
          <w:szCs w:val="20"/>
          <w:color w:val="auto"/>
        </w:rPr>
      </w:pPr>
    </w:p>
    <w:p>
      <w:pPr>
        <w:ind w:left="840" w:right="60" w:hanging="420"/>
        <w:spacing w:after="0" w:line="365" w:lineRule="auto"/>
        <w:tabs>
          <w:tab w:leader="none" w:pos="8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gridSpan w:val="2"/>
          </w:tcPr>
          <w:p>
            <w:pPr>
              <w:spacing w:after="0"/>
              <w:rPr>
                <w:sz w:val="20"/>
                <w:szCs w:val="20"/>
                <w:color w:val="auto"/>
              </w:rPr>
            </w:pPr>
            <w:r>
              <w:rPr>
                <w:rFonts w:ascii="Arial" w:cs="Arial" w:eastAsia="Arial" w:hAnsi="Arial"/>
                <w:sz w:val="20"/>
                <w:szCs w:val="20"/>
                <w:color w:val="auto"/>
              </w:rPr>
              <w:t>March 30, 2026</w:t>
            </w:r>
          </w:p>
        </w:tc>
        <w:tc>
          <w:tcPr>
            <w:tcW w:w="5640" w:type="dxa"/>
            <w:vAlign w:val="bottom"/>
            <w:gridSpan w:val="2"/>
          </w:tcPr>
          <w:p>
            <w:pPr>
              <w:spacing w:after="0"/>
              <w:rPr>
                <w:sz w:val="20"/>
                <w:szCs w:val="20"/>
                <w:color w:val="auto"/>
              </w:rPr>
            </w:pPr>
            <w:r>
              <w:rPr>
                <w:rFonts w:ascii="Arial" w:cs="Arial" w:eastAsia="Arial" w:hAnsi="Arial"/>
                <w:sz w:val="20"/>
                <w:szCs w:val="20"/>
                <w:color w:val="auto"/>
              </w:rPr>
              <w:t>/s/ Justin K. Bigham</w:t>
            </w:r>
          </w:p>
        </w:tc>
      </w:tr>
      <w:tr>
        <w:trPr>
          <w:trHeight w:val="300"/>
        </w:trPr>
        <w:tc>
          <w:tcPr>
            <w:tcW w:w="126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Justin K. Bigham</w:t>
            </w:r>
          </w:p>
        </w:tc>
        <w:tc>
          <w:tcPr>
            <w:tcW w:w="4020" w:type="dxa"/>
            <w:vAlign w:val="bottom"/>
          </w:tcPr>
          <w:p>
            <w:pPr>
              <w:spacing w:after="0"/>
              <w:rPr>
                <w:sz w:val="24"/>
                <w:szCs w:val="24"/>
                <w:color w:val="auto"/>
              </w:rPr>
            </w:pPr>
          </w:p>
        </w:tc>
      </w:tr>
      <w:tr>
        <w:trPr>
          <w:trHeight w:val="300"/>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20"/>
                <w:szCs w:val="20"/>
                <w:color w:val="auto"/>
              </w:rPr>
              <w:t>Executive Vice President, Chief Financial Officer</w:t>
            </w:r>
          </w:p>
        </w:tc>
      </w:tr>
      <w:tr>
        <w:trPr>
          <w:trHeight w:val="2151"/>
        </w:trPr>
        <w:tc>
          <w:tcPr>
            <w:tcW w:w="126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40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5">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33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13</w:t>
      </w:r>
    </w:p>
    <w:p>
      <w:pPr>
        <w:sectPr>
          <w:pgSz w:w="11900" w:h="16838" w:orient="portrait"/>
          <w:cols w:equalWidth="0" w:num="1">
            <w:col w:w="9400"/>
          </w:cols>
          <w:pgMar w:left="1260" w:top="1338" w:right="1246" w:bottom="0" w:gutter="0" w:footer="0" w:header="0"/>
          <w:type w:val="continuous"/>
        </w:sectPr>
      </w:pPr>
    </w:p>
    <w:bookmarkStart w:id="277" w:name="page278"/>
    <w:bookmarkEnd w:id="2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13</w:t>
      </w:r>
    </w:p>
    <w:p>
      <w:pPr>
        <w:sectPr>
          <w:pgSz w:w="11900" w:h="16838" w:orient="portrait"/>
          <w:cols w:equalWidth="0" w:num="1">
            <w:col w:w="9026"/>
          </w:cols>
          <w:pgMar w:left="1440" w:top="1440" w:right="1440" w:bottom="0" w:gutter="0" w:footer="0" w:header="0"/>
        </w:sectPr>
      </w:pPr>
    </w:p>
    <w:bookmarkStart w:id="278" w:name="page279"/>
    <w:bookmarkEnd w:id="278"/>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EXHIBIT 32 Section 1350 Certification of the Chief Executive and Chief Financial Officers</w:t>
      </w:r>
    </w:p>
    <w:p>
      <w:pPr>
        <w:spacing w:after="0" w:line="320" w:lineRule="exact"/>
        <w:rPr>
          <w:sz w:val="20"/>
          <w:szCs w:val="20"/>
          <w:color w:val="auto"/>
        </w:rPr>
      </w:pPr>
    </w:p>
    <w:p>
      <w:pPr>
        <w:jc w:val="both"/>
        <w:ind w:left="6" w:right="60"/>
        <w:spacing w:after="0" w:line="302" w:lineRule="auto"/>
        <w:rPr>
          <w:sz w:val="20"/>
          <w:szCs w:val="20"/>
          <w:color w:val="auto"/>
        </w:rPr>
      </w:pPr>
      <w:r>
        <w:rPr>
          <w:rFonts w:ascii="Arial" w:cs="Arial" w:eastAsia="Arial" w:hAnsi="Arial"/>
          <w:sz w:val="20"/>
          <w:szCs w:val="20"/>
          <w:color w:val="auto"/>
        </w:rPr>
        <w:t>Certification pursuant to 18 U.S.C. Section 1350, as adopted pursuant to Section 906 of the Sarbanes-Oxley Act of 2002</w:t>
      </w:r>
    </w:p>
    <w:p>
      <w:pPr>
        <w:spacing w:after="0" w:line="261" w:lineRule="exact"/>
        <w:rPr>
          <w:sz w:val="20"/>
          <w:szCs w:val="20"/>
          <w:color w:val="auto"/>
        </w:rPr>
      </w:pPr>
    </w:p>
    <w:p>
      <w:pPr>
        <w:jc w:val="both"/>
        <w:ind w:left="6" w:right="60"/>
        <w:spacing w:after="0" w:line="309" w:lineRule="auto"/>
        <w:rPr>
          <w:sz w:val="20"/>
          <w:szCs w:val="20"/>
          <w:color w:val="auto"/>
        </w:rPr>
      </w:pPr>
      <w:r>
        <w:rPr>
          <w:rFonts w:ascii="Arial" w:cs="Arial" w:eastAsia="Arial" w:hAnsi="Arial"/>
          <w:sz w:val="20"/>
          <w:szCs w:val="20"/>
          <w:color w:val="auto"/>
        </w:rPr>
        <w:t>James A. Dowd, President and Chief Executive Officer, and Justin K. Bigham, Executive Vice President, Chief Financial Officer of Pathfinder Bancorp, Inc. (the "Company"), each certify in his capacity as an officer of the Company that he has reviewed the Annual Report of the Company on Form 10-K for the year ended December 31, 2025 and that to the best of his knowledge:</w:t>
      </w:r>
    </w:p>
    <w:p>
      <w:pPr>
        <w:spacing w:after="0" w:line="181" w:lineRule="exact"/>
        <w:rPr>
          <w:sz w:val="20"/>
          <w:szCs w:val="20"/>
          <w:color w:val="auto"/>
        </w:rPr>
      </w:pPr>
    </w:p>
    <w:p>
      <w:pPr>
        <w:ind w:left="426" w:hanging="426"/>
        <w:spacing w:after="0"/>
        <w:tabs>
          <w:tab w:leader="none" w:pos="4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of the Securities Exchange Act of 1934; and</w:t>
      </w:r>
    </w:p>
    <w:p>
      <w:pPr>
        <w:spacing w:after="0" w:line="273" w:lineRule="exact"/>
        <w:rPr>
          <w:rFonts w:ascii="Arial" w:cs="Arial" w:eastAsia="Arial" w:hAnsi="Arial"/>
          <w:sz w:val="18"/>
          <w:szCs w:val="18"/>
          <w:color w:val="auto"/>
        </w:rPr>
      </w:pPr>
    </w:p>
    <w:p>
      <w:pPr>
        <w:ind w:left="426" w:right="100" w:hanging="426"/>
        <w:spacing w:after="0" w:line="365" w:lineRule="auto"/>
        <w:tabs>
          <w:tab w:leader="none" w:pos="426"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consolidated financial condition and results of operations of the Company.</w:t>
      </w:r>
    </w:p>
    <w:p>
      <w:pPr>
        <w:spacing w:after="0" w:line="215" w:lineRule="exact"/>
        <w:rPr>
          <w:sz w:val="20"/>
          <w:szCs w:val="20"/>
          <w:color w:val="auto"/>
        </w:rPr>
      </w:pPr>
    </w:p>
    <w:p>
      <w:pPr>
        <w:ind w:left="6" w:right="60"/>
        <w:spacing w:after="0" w:line="302" w:lineRule="auto"/>
        <w:rPr>
          <w:sz w:val="20"/>
          <w:szCs w:val="20"/>
          <w:color w:val="auto"/>
        </w:rPr>
      </w:pPr>
      <w:r>
        <w:rPr>
          <w:rFonts w:ascii="Arial" w:cs="Arial" w:eastAsia="Arial" w:hAnsi="Arial"/>
          <w:sz w:val="20"/>
          <w:szCs w:val="20"/>
          <w:color w:val="auto"/>
        </w:rPr>
        <w:t>The purpose of this statement is solely to comply with Title 18, Chapter 63, Section 1350 of the United States Code, as amended by Section 906 of the Sarbanes-Oxley Act of 2002.</w:t>
      </w:r>
    </w:p>
    <w:p>
      <w:pPr>
        <w:spacing w:after="0" w:line="321"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20"/>
                <w:szCs w:val="20"/>
                <w:color w:val="auto"/>
              </w:rPr>
              <w:t>March 30, 2026</w:t>
            </w:r>
          </w:p>
        </w:tc>
        <w:tc>
          <w:tcPr>
            <w:tcW w:w="4620" w:type="dxa"/>
            <w:vAlign w:val="bottom"/>
            <w:gridSpan w:val="3"/>
          </w:tcPr>
          <w:p>
            <w:pPr>
              <w:spacing w:after="0"/>
              <w:rPr>
                <w:sz w:val="20"/>
                <w:szCs w:val="20"/>
                <w:color w:val="auto"/>
              </w:rPr>
            </w:pPr>
            <w:r>
              <w:rPr>
                <w:rFonts w:ascii="Arial" w:cs="Arial" w:eastAsia="Arial" w:hAnsi="Arial"/>
                <w:sz w:val="20"/>
                <w:szCs w:val="20"/>
                <w:color w:val="auto"/>
              </w:rPr>
              <w:t>/s/ James A. Dowd</w:t>
            </w:r>
          </w:p>
        </w:tc>
      </w:tr>
      <w:tr>
        <w:trPr>
          <w:trHeight w:val="300"/>
        </w:trPr>
        <w:tc>
          <w:tcPr>
            <w:tcW w:w="126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James A. Dowd</w:t>
            </w:r>
          </w:p>
        </w:tc>
        <w:tc>
          <w:tcPr>
            <w:tcW w:w="3100" w:type="dxa"/>
            <w:vAlign w:val="bottom"/>
            <w:gridSpan w:val="2"/>
          </w:tcPr>
          <w:p>
            <w:pPr>
              <w:spacing w:after="0"/>
              <w:rPr>
                <w:sz w:val="24"/>
                <w:szCs w:val="24"/>
                <w:color w:val="auto"/>
              </w:rPr>
            </w:pPr>
          </w:p>
        </w:tc>
      </w:tr>
      <w:tr>
        <w:trPr>
          <w:trHeight w:val="300"/>
        </w:trPr>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President and Chief Executive Officer</w:t>
            </w:r>
          </w:p>
        </w:tc>
      </w:tr>
      <w:tr>
        <w:trPr>
          <w:trHeight w:val="580"/>
        </w:trPr>
        <w:tc>
          <w:tcPr>
            <w:tcW w:w="4780" w:type="dxa"/>
            <w:vAlign w:val="bottom"/>
            <w:gridSpan w:val="2"/>
          </w:tcPr>
          <w:p>
            <w:pPr>
              <w:spacing w:after="0"/>
              <w:rPr>
                <w:sz w:val="20"/>
                <w:szCs w:val="20"/>
                <w:color w:val="auto"/>
              </w:rPr>
            </w:pPr>
            <w:r>
              <w:rPr>
                <w:rFonts w:ascii="Arial" w:cs="Arial" w:eastAsia="Arial" w:hAnsi="Arial"/>
                <w:sz w:val="20"/>
                <w:szCs w:val="20"/>
                <w:color w:val="auto"/>
              </w:rPr>
              <w:t>March 30, 2026</w:t>
            </w:r>
          </w:p>
        </w:tc>
        <w:tc>
          <w:tcPr>
            <w:tcW w:w="4620" w:type="dxa"/>
            <w:vAlign w:val="bottom"/>
            <w:gridSpan w:val="3"/>
          </w:tcPr>
          <w:p>
            <w:pPr>
              <w:spacing w:after="0"/>
              <w:rPr>
                <w:sz w:val="20"/>
                <w:szCs w:val="20"/>
                <w:color w:val="auto"/>
              </w:rPr>
            </w:pPr>
            <w:r>
              <w:rPr>
                <w:rFonts w:ascii="Arial" w:cs="Arial" w:eastAsia="Arial" w:hAnsi="Arial"/>
                <w:sz w:val="20"/>
                <w:szCs w:val="20"/>
                <w:color w:val="auto"/>
              </w:rPr>
              <w:t>/s/ Justin K. Bigham</w:t>
            </w:r>
          </w:p>
        </w:tc>
      </w:tr>
      <w:tr>
        <w:trPr>
          <w:trHeight w:val="300"/>
        </w:trPr>
        <w:tc>
          <w:tcPr>
            <w:tcW w:w="126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16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K. Bigham</w:t>
            </w:r>
          </w:p>
        </w:tc>
        <w:tc>
          <w:tcPr>
            <w:tcW w:w="2980" w:type="dxa"/>
            <w:vAlign w:val="bottom"/>
          </w:tcPr>
          <w:p>
            <w:pPr>
              <w:spacing w:after="0"/>
              <w:rPr>
                <w:sz w:val="24"/>
                <w:szCs w:val="24"/>
                <w:color w:val="auto"/>
              </w:rPr>
            </w:pPr>
          </w:p>
        </w:tc>
      </w:tr>
      <w:tr>
        <w:trPr>
          <w:trHeight w:val="300"/>
        </w:trPr>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Executive Vice President, Chief Financial Officer</w:t>
            </w:r>
          </w:p>
        </w:tc>
      </w:tr>
      <w:tr>
        <w:trPr>
          <w:trHeight w:val="1821"/>
        </w:trPr>
        <w:tc>
          <w:tcPr>
            <w:tcW w:w="1260" w:type="dxa"/>
            <w:vAlign w:val="bottom"/>
            <w:tcBorders>
              <w:bottom w:val="single" w:sz="8" w:color="010101"/>
            </w:tcBorders>
          </w:tcPr>
          <w:p>
            <w:pPr>
              <w:spacing w:after="0"/>
              <w:rPr>
                <w:sz w:val="24"/>
                <w:szCs w:val="24"/>
                <w:color w:val="auto"/>
              </w:rPr>
            </w:pPr>
          </w:p>
        </w:tc>
        <w:tc>
          <w:tcPr>
            <w:tcW w:w="352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9525" cy="1905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-18415</wp:posOffset>
            </wp:positionV>
            <wp:extent cx="9525" cy="190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7">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12 / 13</w:t>
      </w:r>
    </w:p>
    <w:p>
      <w:pPr>
        <w:sectPr>
          <w:pgSz w:w="11900" w:h="16838" w:orient="portrait"/>
          <w:cols w:equalWidth="0" w:num="1">
            <w:col w:w="9406"/>
          </w:cols>
          <w:pgMar w:left="1254" w:top="1440" w:right="1246" w:bottom="0" w:gutter="0" w:footer="0" w:header="0"/>
          <w:type w:val="continuous"/>
        </w:sectPr>
      </w:pPr>
    </w:p>
    <w:bookmarkStart w:id="279" w:name="page280"/>
    <w:bookmarkEnd w:id="2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13</w:t>
      </w:r>
    </w:p>
    <w:sectPr>
      <w:pgSz w:w="11900" w:h="16838" w:orient="portrait"/>
      <w:cols w:equalWidth="0" w:num="1">
        <w:col w:w="9026"/>
      </w:cols>
      <w:pgMar w:left="14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Roman"/>
      <w:start w:val="4"/>
    </w:lvl>
  </w:abstractNum>
  <w:abstractNum w:abstractNumId="3">
    <w:nsid w:val="79838CB2"/>
    <w:multiLevelType w:val="hybridMultilevel"/>
    <w:lvl w:ilvl="0">
      <w:lvlJc w:val="left"/>
      <w:lvlText w:val="(%1)"/>
      <w:numFmt w:val="lowerRoman"/>
      <w:start w:val="16"/>
    </w:lvl>
  </w:abstractNum>
  <w:abstractNum w:abstractNumId="4">
    <w:nsid w:val="4353D0CD"/>
    <w:multiLevelType w:val="hybridMultilevel"/>
    <w:lvl w:ilvl="0">
      <w:lvlJc w:val="left"/>
      <w:lvlText w:val="(%1)"/>
      <w:numFmt w:val="lowerRoman"/>
      <w:start w:val="2"/>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lvl w:ilvl="1">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amp;"/>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lvl w:ilvl="1">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2"/>
    </w:lvl>
    <w:lvl w:ilvl="1">
      <w:lvlJc w:val="left"/>
      <w:lvlText w:val="-"/>
      <w:numFmt w:val="bullet"/>
      <w:start w:val="1"/>
    </w:lvl>
  </w:abstractNum>
  <w:abstractNum w:abstractNumId="21">
    <w:nsid w:val="614FD4A1"/>
    <w:multiLevelType w:val="hybridMultilevel"/>
    <w:lvl w:ilvl="0">
      <w:lvlJc w:val="left"/>
      <w:lvlText w:val="%1."/>
      <w:numFmt w:val="decimal"/>
      <w:start w:val="7"/>
    </w:lvl>
  </w:abstractNum>
  <w:abstractNum w:abstractNumId="22">
    <w:nsid w:val="419AC241"/>
    <w:multiLevelType w:val="hybridMultilevel"/>
    <w:lvl w:ilvl="0">
      <w:lvlJc w:val="left"/>
      <w:lvlText w:val="%1."/>
      <w:numFmt w:val="decimal"/>
      <w:start w:val="5"/>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
    </w:lvl>
    <w:lvl w:ilvl="1">
      <w:lvlJc w:val="left"/>
      <w:lvlText w:val="-"/>
      <w:numFmt w:val="bullet"/>
      <w:start w:val="1"/>
    </w:lvl>
  </w:abstractNum>
  <w:abstractNum w:abstractNumId="27">
    <w:nsid w:val="77465F01"/>
    <w:multiLevelType w:val="hybridMultilevel"/>
    <w:lvl w:ilvl="0">
      <w:lvlJc w:val="left"/>
      <w:lvlText w:val="%1."/>
      <w:numFmt w:val="decimal"/>
      <w:start w:val="3"/>
    </w:lvl>
  </w:abstractNum>
  <w:abstractNum w:abstractNumId="28">
    <w:nsid w:val="7724C67E"/>
    <w:multiLevelType w:val="hybridMultilevel"/>
    <w:lvl w:ilvl="0">
      <w:lvlJc w:val="left"/>
      <w:lvlText w:val="(%1)"/>
      <w:numFmt w:val="decimal"/>
      <w:start w:val="2"/>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lowerLetter"/>
      <w:start w:val="1"/>
    </w:lvl>
    <w:lvl w:ilvl="1">
      <w:lvlJc w:val="left"/>
      <w:lvlText w:val="-"/>
      <w:numFmt w:val="bullet"/>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2"/>
    </w:lvl>
  </w:abstractNum>
  <w:abstractNum w:abstractNumId="34">
    <w:nsid w:val="580BD78F"/>
    <w:multiLevelType w:val="hybridMultilevel"/>
    <w:lvl w:ilvl="0">
      <w:lvlJc w:val="left"/>
      <w:lvlText w:val="%1"/>
      <w:numFmt w:val="decimal"/>
      <w:start w:val="14"/>
    </w:lvl>
  </w:abstractNum>
  <w:abstractNum w:abstractNumId="35">
    <w:nsid w:val="153EA438"/>
    <w:multiLevelType w:val="hybridMultilevel"/>
    <w:lvl w:ilvl="0">
      <w:lvlJc w:val="left"/>
      <w:lvlText w:val="%1"/>
      <w:numFmt w:val="decimal"/>
      <w:start w:val="19"/>
    </w:lvl>
  </w:abstractNum>
  <w:abstractNum w:abstractNumId="36">
    <w:nsid w:val="3855585C"/>
    <w:multiLevelType w:val="hybridMultilevel"/>
    <w:lvl w:ilvl="0">
      <w:lvlJc w:val="left"/>
      <w:lvlText w:val="%1"/>
      <w:numFmt w:val="decimal"/>
      <w:start w:val="21"/>
    </w:lvl>
  </w:abstractNum>
  <w:abstractNum w:abstractNumId="37">
    <w:nsid w:val="70A64E2A"/>
    <w:multiLevelType w:val="hybridMultilevel"/>
    <w:lvl w:ilvl="0">
      <w:lvlJc w:val="left"/>
      <w:lvlText w:val="%1"/>
      <w:numFmt w:val="decimal"/>
      <w:start w:val="23"/>
    </w:lvl>
  </w:abstractNum>
  <w:abstractNum w:abstractNumId="38">
    <w:nsid w:val="6A2342EC"/>
    <w:multiLevelType w:val="hybridMultilevel"/>
    <w:lvl w:ilvl="0">
      <w:lvlJc w:val="left"/>
      <w:lvlText w:val="%1"/>
      <w:numFmt w:val="decimal"/>
      <w:start w:val="32"/>
    </w:lvl>
  </w:abstractNum>
  <w:abstractNum w:abstractNumId="39">
    <w:nsid w:val="2A487CB0"/>
    <w:multiLevelType w:val="hybridMultilevel"/>
    <w:lvl w:ilvl="0">
      <w:lvlJc w:val="left"/>
      <w:lvlText w:val="%1"/>
      <w:numFmt w:val="decimal"/>
      <w:start w:val="97"/>
    </w:lvl>
  </w:abstractNum>
  <w:abstractNum w:abstractNumId="40">
    <w:nsid w:val="1D4ED43B"/>
    <w:multiLevelType w:val="hybridMultilevel"/>
    <w:lvl w:ilvl="0">
      <w:lvlJc w:val="left"/>
      <w:lvlText w:val="%1"/>
      <w:numFmt w:val="decimal"/>
      <w:start w:val="10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40" Type="http://schemas.openxmlformats.org/officeDocument/2006/relationships/image" Target="media/image820.png"/><Relationship Id="rId841" Type="http://schemas.openxmlformats.org/officeDocument/2006/relationships/image" Target="media/image821.png"/><Relationship Id="rId856" Type="http://schemas.openxmlformats.org/officeDocument/2006/relationships/image" Target="media/image822.png"/><Relationship Id="rId862" Type="http://schemas.openxmlformats.org/officeDocument/2006/relationships/image" Target="media/image823.png"/><Relationship Id="rId863" Type="http://schemas.openxmlformats.org/officeDocument/2006/relationships/image" Target="media/image824.png"/><Relationship Id="rId864" Type="http://schemas.openxmlformats.org/officeDocument/2006/relationships/image" Target="media/image825.png"/><Relationship Id="rId865" Type="http://schemas.openxmlformats.org/officeDocument/2006/relationships/image" Target="media/image826.png"/><Relationship Id="rId866" Type="http://schemas.openxmlformats.org/officeDocument/2006/relationships/image" Target="media/image827.png"/><Relationship Id="rId867" Type="http://schemas.openxmlformats.org/officeDocument/2006/relationships/image" Target="media/image828.png"/><Relationship Id="rId868" Type="http://schemas.openxmlformats.org/officeDocument/2006/relationships/image" Target="media/image829.png"/><Relationship Id="rId869" Type="http://schemas.openxmlformats.org/officeDocument/2006/relationships/image" Target="media/image830.png"/><Relationship Id="rId870" Type="http://schemas.openxmlformats.org/officeDocument/2006/relationships/image" Target="media/image831.png"/><Relationship Id="rId871" Type="http://schemas.openxmlformats.org/officeDocument/2006/relationships/image" Target="media/image832.png"/><Relationship Id="rId872" Type="http://schemas.openxmlformats.org/officeDocument/2006/relationships/image" Target="media/image833.png"/><Relationship Id="rId873" Type="http://schemas.openxmlformats.org/officeDocument/2006/relationships/image" Target="media/image834.png"/><Relationship Id="rId874" Type="http://schemas.openxmlformats.org/officeDocument/2006/relationships/image" Target="media/image835.png"/><Relationship Id="rId875" Type="http://schemas.openxmlformats.org/officeDocument/2006/relationships/image" Target="media/image836.png"/><Relationship Id="rId876" Type="http://schemas.openxmlformats.org/officeDocument/2006/relationships/image" Target="media/image837.png"/><Relationship Id="rId877" Type="http://schemas.openxmlformats.org/officeDocument/2006/relationships/image" Target="media/image838.png"/><Relationship Id="rId827" Type="http://schemas.openxmlformats.org/officeDocument/2006/relationships/hyperlink" Target="https://www.sec.gov/Archives/edgar/data/1609065/000157104914002349/t1400715_ex3-1.htm" TargetMode="External"/><Relationship Id="rId828" Type="http://schemas.openxmlformats.org/officeDocument/2006/relationships/hyperlink" Target="https://www.sec.gov/Archives/edgar/data/1609065/000157104914002349/t1400715_ex3-2.htm" TargetMode="External"/><Relationship Id="rId829" Type="http://schemas.openxmlformats.org/officeDocument/2006/relationships/hyperlink" Target="https://www.sec.gov/Archives/edgar/data/1609065/000119312519142340/d944933dex31.htm" TargetMode="External"/><Relationship Id="rId830" Type="http://schemas.openxmlformats.org/officeDocument/2006/relationships/hyperlink" Target="https://www.sec.gov/Archives/edgar/data/1609065/000156459020054267/pbhc-ex31_6.htm" TargetMode="External"/><Relationship Id="rId831" Type="http://schemas.openxmlformats.org/officeDocument/2006/relationships/hyperlink" Target="https://www.sec.gov/Archives/edgar/data/0001609065/000156459021032363/pbhc-8k_20210610.htm" TargetMode="External"/><Relationship Id="rId832" Type="http://schemas.openxmlformats.org/officeDocument/2006/relationships/hyperlink" Target="https://www.sec.gov/Archives/edgar/data/1609065/000157104914002349/t1400715_ex4.htm" TargetMode="External"/><Relationship Id="rId833" Type="http://schemas.openxmlformats.org/officeDocument/2006/relationships/hyperlink" Target="https://www.sec.gov/Archives/edgar/data/1609065/000157104914005335/t1402000_ex4-1.htm" TargetMode="External"/><Relationship Id="rId834" Type="http://schemas.openxmlformats.org/officeDocument/2006/relationships/hyperlink" Target="https://www.sec.gov/Archives/edgar/data/1609065/000157104914005335/t1402000_ex4-2.htm" TargetMode="External"/><Relationship Id="rId835" Type="http://schemas.openxmlformats.org/officeDocument/2006/relationships/hyperlink" Target="https://www.sec.gov/Archives/edgar/data/1609065/000119312519142340/d944933dex41.htm" TargetMode="External"/><Relationship Id="rId836" Type="http://schemas.openxmlformats.org/officeDocument/2006/relationships/hyperlink" Target="https://www.sec.gov/Archives/edgar/data/1609065/000156459020012167/pbhc-ex45_170.htm" TargetMode="External"/><Relationship Id="rId837" Type="http://schemas.openxmlformats.org/officeDocument/2006/relationships/hyperlink" Target="https://www.sec.gov/Archives/edgar/data/1609065/000156459020046491/pbhc-ex41_9.htm" TargetMode="External"/><Relationship Id="rId838" Type="http://schemas.openxmlformats.org/officeDocument/2006/relationships/hyperlink" Target="https://www.sec.gov/Archives/edgar/data/1046188/000104618809000007/exh10-3.htm" TargetMode="External"/><Relationship Id="rId839" Type="http://schemas.openxmlformats.org/officeDocument/2006/relationships/hyperlink" Target="https://www.sec.gov/Archives/edgar/data/1046188/000104618809000007/exh10-4.htm" TargetMode="External"/><Relationship Id="rId842" Type="http://schemas.openxmlformats.org/officeDocument/2006/relationships/hyperlink" Target="https://www.sec.gov/Archives/edgar/data/1046188/000104618814000010/ex-10_15.htm" TargetMode="External"/><Relationship Id="rId843" Type="http://schemas.openxmlformats.org/officeDocument/2006/relationships/hyperlink" Target="https://www.sec.gov/Archives/edgar/data/1609065/000157104914005335/t1402000_ex10-1.htm" TargetMode="External"/><Relationship Id="rId844" Type="http://schemas.openxmlformats.org/officeDocument/2006/relationships/hyperlink" Target="https://www.sec.gov/Archives/edgar/data/1609065/000160906515000006/form10-k.htm" TargetMode="External"/><Relationship Id="rId845" Type="http://schemas.openxmlformats.org/officeDocument/2006/relationships/hyperlink" Target="https://www.sec.gov/Archives/edgar/data/1609065/000094337415000543/form8k_101515.htm" TargetMode="External"/><Relationship Id="rId846" Type="http://schemas.openxmlformats.org/officeDocument/2006/relationships/hyperlink" Target="https://www.sec.gov/Archives/edgar/data/1609065/000160906516000056/def14a.htm" TargetMode="External"/><Relationship Id="rId847" Type="http://schemas.openxmlformats.org/officeDocument/2006/relationships/hyperlink" Target="https://www.sec.gov/Archives/edgar/data/1609065/000156459018007279/pbhc-ex1014_331.htm" TargetMode="External"/><Relationship Id="rId848" Type="http://schemas.openxmlformats.org/officeDocument/2006/relationships/hyperlink" Target="https://www.sec.gov/Archives/edgar/data/1609065/000156459019000310/pbhc-ex101_6.htm" TargetMode="External"/><Relationship Id="rId849" Type="http://schemas.openxmlformats.org/officeDocument/2006/relationships/hyperlink" Target="https://www.sec.gov/Archives/edgar/data/0001609065/000094337424000372/ex10-1_8k090424.htm" TargetMode="External"/><Relationship Id="rId850" Type="http://schemas.openxmlformats.org/officeDocument/2006/relationships/hyperlink" Target="https://www.sec.gov/Archives/edgar/data/0001609065/000094337424000372/ex10-2_8k090424.htm" TargetMode="External"/><Relationship Id="rId851" Type="http://schemas.openxmlformats.org/officeDocument/2006/relationships/hyperlink" Target="https://www.sec.gov/Archives/edgar/data/1609065/000119312519142340/d944933dex101.htm" TargetMode="External"/><Relationship Id="rId852" Type="http://schemas.openxmlformats.org/officeDocument/2006/relationships/hyperlink" Target="https://www.sec.gov/Archives/edgar/data/1609065/000119312519142340/d944933dex102.htm" TargetMode="External"/><Relationship Id="rId853" Type="http://schemas.openxmlformats.org/officeDocument/2006/relationships/hyperlink" Target="https://www.sec.gov/Archives/edgar/data/1609065/000156459020046491/pbhc-ex101_8.htm" TargetMode="External"/><Relationship Id="rId854" Type="http://schemas.openxmlformats.org/officeDocument/2006/relationships/hyperlink" Target="https://www.sec.gov/Archives/edgar/data/1609065/000156459020046491/pbhc-ex102_7.htm" TargetMode="External"/><Relationship Id="rId855" Type="http://schemas.openxmlformats.org/officeDocument/2006/relationships/hyperlink" Target="https://www.sec.gov/Archives/edgar/data/1609065/000156459020054267/pbhc-ex101_7.htm" TargetMode="External"/><Relationship Id="rId857" Type="http://schemas.openxmlformats.org/officeDocument/2006/relationships/hyperlink" Target="https://www.sec.gov/ix?doc=/Archives/edgar/data/0001609065/000094337425000180/form8k_042625.htm" TargetMode="External"/><Relationship Id="rId858" Type="http://schemas.openxmlformats.org/officeDocument/2006/relationships/hyperlink" Target="https://www.sec.gov/Archives/edgar/data/1609065/000095017024046248/pbhc-2024-def_14a.htm#appendix" TargetMode="External"/><Relationship Id="rId859" Type="http://schemas.openxmlformats.org/officeDocument/2006/relationships/hyperlink" Target="https://www.sec.gov/Archives/edgar/data/1046188/000104618804000013/doc1.txt" TargetMode="External"/><Relationship Id="rId860" Type="http://schemas.openxmlformats.org/officeDocument/2006/relationships/hyperlink" Target="https://www.sec.gov/Archives/edgar/data/1609065/000095017025047820/pbhc-ex19.htm" TargetMode="External"/><Relationship Id="rId861" Type="http://schemas.openxmlformats.org/officeDocument/2006/relationships/hyperlink" Target="https://www.sec.gov/Archives/edgar/data/0001609065/000095017024035248/pbhc-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2026-03-30T18:11:53Z</dcterms:created>
  <dcterms:modified xsi:type="dcterms:W3CDTF">2026-03-30T18:11:53Z</dcterms:modified>
</cp:coreProperties>
</file>