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15,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154305</wp:posOffset>
            </wp:positionV>
            <wp:extent cx="1817370" cy="420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1737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001-36695</w:t>
      </w:r>
    </w:p>
    <w:p>
      <w:pPr>
        <w:spacing w:after="0" w:line="212" w:lineRule="exact"/>
        <w:rPr>
          <w:sz w:val="24"/>
          <w:szCs w:val="24"/>
          <w:color w:val="auto"/>
        </w:rPr>
      </w:pPr>
    </w:p>
    <w:tbl>
      <w:tblPr>
        <w:tblLayout w:type="fixed"/>
        <w:tblInd w:w="62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3540" w:type="dxa"/>
            <w:vAlign w:val="bottom"/>
            <w:gridSpan w:val="2"/>
          </w:tcPr>
          <w:p>
            <w:pPr>
              <w:jc w:val="center"/>
              <w:ind w:right="2840"/>
              <w:spacing w:after="0"/>
              <w:rPr>
                <w:sz w:val="20"/>
                <w:szCs w:val="20"/>
                <w:color w:val="auto"/>
              </w:rPr>
            </w:pPr>
            <w:r>
              <w:rPr>
                <w:rFonts w:ascii="Arial" w:cs="Arial" w:eastAsia="Arial" w:hAnsi="Arial"/>
                <w:sz w:val="18"/>
                <w:szCs w:val="18"/>
                <w:color w:val="auto"/>
                <w:w w:val="94"/>
              </w:rPr>
              <w:t>Maryland</w:t>
            </w:r>
          </w:p>
        </w:tc>
        <w:tc>
          <w:tcPr>
            <w:tcW w:w="3900" w:type="dxa"/>
            <w:vAlign w:val="bottom"/>
            <w:gridSpan w:val="3"/>
          </w:tcPr>
          <w:p>
            <w:pPr>
              <w:jc w:val="right"/>
              <w:ind w:right="1040"/>
              <w:spacing w:after="0"/>
              <w:rPr>
                <w:sz w:val="20"/>
                <w:szCs w:val="20"/>
                <w:color w:val="auto"/>
              </w:rPr>
            </w:pPr>
            <w:r>
              <w:rPr>
                <w:rFonts w:ascii="Arial" w:cs="Arial" w:eastAsia="Arial" w:hAnsi="Arial"/>
                <w:sz w:val="18"/>
                <w:szCs w:val="18"/>
                <w:color w:val="auto"/>
              </w:rPr>
              <w:t>38-3941859</w:t>
            </w:r>
          </w:p>
        </w:tc>
      </w:tr>
      <w:tr>
        <w:trPr>
          <w:trHeight w:val="20"/>
        </w:trPr>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380" w:type="dxa"/>
            <w:vAlign w:val="bottom"/>
            <w:gridSpan w:val="3"/>
          </w:tcPr>
          <w:p>
            <w:pPr>
              <w:jc w:val="center"/>
              <w:ind w:right="9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00" w:type="dxa"/>
            <w:vAlign w:val="bottom"/>
            <w:gridSpan w:val="3"/>
          </w:tcPr>
          <w:p>
            <w:pPr>
              <w:jc w:val="center"/>
              <w:ind w:left="870"/>
              <w:spacing w:after="0"/>
              <w:rPr>
                <w:sz w:val="20"/>
                <w:szCs w:val="20"/>
                <w:color w:val="auto"/>
              </w:rPr>
            </w:pPr>
            <w:r>
              <w:rPr>
                <w:rFonts w:ascii="Arial" w:cs="Arial" w:eastAsia="Arial" w:hAnsi="Arial"/>
                <w:sz w:val="18"/>
                <w:szCs w:val="18"/>
                <w:color w:val="auto"/>
                <w:w w:val="93"/>
              </w:rPr>
              <w:t>(I.R.S. Employer Identification Number)</w:t>
            </w: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214 West First Street, Oswego, NY 13126</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 (Zip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(315) 343-0057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(Issuer's Telephone Number including area code)</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4"/>
          </w:tcPr>
          <w:p>
            <w:pPr>
              <w:jc w:val="center"/>
              <w:ind w:right="800"/>
              <w:spacing w:after="0"/>
              <w:rPr>
                <w:sz w:val="20"/>
                <w:szCs w:val="20"/>
                <w:color w:val="auto"/>
              </w:rPr>
            </w:pPr>
            <w:r>
              <w:rPr>
                <w:rFonts w:ascii="Arial" w:cs="Arial" w:eastAsia="Arial" w:hAnsi="Arial"/>
                <w:sz w:val="18"/>
                <w:szCs w:val="18"/>
                <w:color w:val="auto"/>
                <w:w w:val="91"/>
              </w:rPr>
              <w:t>Trading</w:t>
            </w:r>
          </w:p>
        </w:tc>
        <w:tc>
          <w:tcPr>
            <w:tcW w:w="318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5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3"/>
              </w:rPr>
              <w:t>Symbol(s)</w:t>
            </w:r>
          </w:p>
        </w:tc>
        <w:tc>
          <w:tcPr>
            <w:tcW w:w="80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37"/>
        </w:trPr>
        <w:tc>
          <w:tcPr>
            <w:tcW w:w="26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Common Stock, $0.01 par value</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PBHC</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00" w:lineRule="exact"/>
        <w:rPr>
          <w:sz w:val="24"/>
          <w:szCs w:val="24"/>
          <w:color w:val="auto"/>
        </w:rPr>
      </w:pPr>
    </w:p>
    <w:p>
      <w:pPr>
        <w:spacing w:after="0" w:line="21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7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879475</wp:posOffset>
            </wp:positionV>
            <wp:extent cx="714946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 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Filing of Quarterly Report on Form 10-Q</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Pathfinder Bancorp, Inc. (referred to as the “Company,” “we,” “our,” or “us”) is relying on the order issued by the U.S. Securities and Exchange Commission (the “SEC”) on March 25, 2020 in SEC Release No. 34-88465 pursuant to the SEC’s authority under Section 36 of the Securities Exchange Act of 1934 (the “Exchange Act”) granting exemptions from certain provisions of the Exchange Act and the rules thereunder related to the reporting requirements for certain public companies, subject to certain conditions (such order, the “Order”), to delay the filing of its Quarterly Report on Form 10-Q for the quarterly period ended March 31, 2020 (the “Quarterly Report”). The Company will file the Quarterly Report no later than June 25, 2020 (45 days after the original due date of the Quarterly Report) although the Company currently expects to file its Quarterly Report on or about May 29, 2020.</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operations and business have experienced disruptions due to the unprecedented conditions surrounding COVID-19 in the United States, resulting in our having to modify the Company’s business practices. Since the middle of March 2020, we have been following the recommendations of state and local health authorities to minimize the exposure risk for our employees, including restricting access to our physical offices. Our management has had to devote significant time and attention to assessing the potential impact of COVID-19 and related events on our operations and financial position and developing operational and financial plans to address those matters, which has temporarily diverted management resources from completing tasks necessary to file the Quarterly Report by the original due date of the Quarterly Report.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27, 2020, the United States Congress passed the Coronavirus Aid, Relief and Economic Security Act (“CARES Act”) which is intended to provide approximately $2.5 trillion of direct support to U.S. citizens and businesses affected by the COVID-19 outbreak. The operational management and staff of the Company has been heavily engaged with our participation in the Paycheck Protection Program (“PPP”). The PPP was established by the CARES Act and is a specialized, limited duration, low-interest loan program funded by the U.S. Treasury Department and administered by the U.S. Small Business Administration (“SBA”). Through May 6, 2020, the Bank has submitted to, and received approval from, the SBA for 598 loans totaling approximately $73.8 million under this program. Management believes that the administration of the PPP for the immediate benefit of our customers was of the highest priority in order for the Company to meet its obligations as an essential service provider to the communities that we serve. Accordingly, participation within the PPP was temporarily given the highest priority for resource utilization within the Company and temporarily precluded allocation of certain internal resources to the preparation of the Quarterly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Factor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factor set forth below is a cautionary statement identifying important factors that could cause the Company’s actual results to differ materially from those expressed in any forward-looking statements made by or on behalf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economic impact of the COVID-19 outbreak could adversely affect our financial condition and results of operations.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2019, a coronavirus (COVID-19) was reported in China, and, in March 2020, the World Health Organization declared it a pandemic. On March 12, 2020 the President of the United States declared the COVID-19 outbreak in the United States a national emergency. The COVID-19 pandemic has caused significant economic dislocation in the United States as many state and local governments have ordered non-essential businesses to close and residents to shelter in place at home. This has resulted in an unprecedented slow-down in economic activity and a related increase in unemployment. Since the middle of March 2020, when the COVID-19 outbreak began significantly affecting employment nationally, approximately 36.5 million people have filed claims for unemployment, and equity markets have declined in value and in particular bank stocks have significantly declined in value. In response to the COVID-19 outbreak, the Federal Reserve has reduced the benchmark Fed funds rate to a target range of 0% to 0.25%, and the yields on 10 and 30-year treasury notes have declined to historic lows.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certain federal agencies and the State of New York are requiring lenders to provide forbearance and other relief to borrowers (e.g., waiving late payment and other fees). The federal banking agencies have encouraged financial institutions to prudently work with affected borrowers and recently passed legislation has provided relief from reporting loan classifications due to modifications related to the COVID-19 outbreak. Certain industries have been particularly hard-hit, including the travel and hospitality industry, the restaurant industry and the retail industry.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State of New York, which has been, by many measures, among the most adversely affected regions in the entire world to date, has enacted unprecedented levels of “shelter in place,” social distancing and mandatory business closure orders in an attempt to limit the public health effects of the pandemic to the maximum degree possible. As a result, the spread of the coronavirus has caused us to modify our business practices, including employee travel, employee work locations, and cancellation of physical participation in meetings, events and conferences. We have many employees working remotely and we will take further actions as may be required by government authorities or that we determine are in the best interests of our employees, customers and business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both"/>
        <w:spacing w:after="0" w:line="257" w:lineRule="auto"/>
        <w:rPr>
          <w:sz w:val="20"/>
          <w:szCs w:val="20"/>
          <w:color w:val="auto"/>
        </w:rPr>
      </w:pPr>
      <w:r>
        <w:rPr>
          <w:rFonts w:ascii="Arial" w:cs="Arial" w:eastAsia="Arial" w:hAnsi="Arial"/>
          <w:sz w:val="18"/>
          <w:szCs w:val="18"/>
          <w:color w:val="auto"/>
        </w:rPr>
        <w:t>Given the ongoing and dynamic nature of the circumstances, it is difficult to predict the full impact of the COVID-19 outbreak on our business. The extent of such impact will depend on future developments, which are highly uncertain, including when the coronavirus can be controlled and abated and when and how the economy may be reopened. As the result of the COVID-19 pandemic and the related adverse local and national economic consequences, we could be subject to any of the following risks, any of which could have a material, adverse effect on our business, financial condition, liquidity, and results of operations:</w:t>
      </w:r>
    </w:p>
    <w:p>
      <w:pPr>
        <w:spacing w:after="0" w:line="188" w:lineRule="exact"/>
        <w:rPr>
          <w:sz w:val="20"/>
          <w:szCs w:val="20"/>
          <w:color w:val="auto"/>
        </w:rPr>
      </w:pPr>
    </w:p>
    <w:p>
      <w:pPr>
        <w:ind w:left="740" w:hanging="36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demand for our products and services may decline, making it difficult to grow assets and income;</w:t>
      </w:r>
    </w:p>
    <w:p>
      <w:pPr>
        <w:spacing w:after="0" w:line="23"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if the economy is unable to substantially reopen, and high levels of unemployment continue for an extended period of time, loan delinquencies, problem assets, and foreclosures may increase, resulting in increased charges and reduced income;</w:t>
      </w:r>
    </w:p>
    <w:p>
      <w:pPr>
        <w:ind w:left="740" w:hanging="36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collateral for loans, especially real estate, may decline in value, which could cause loan losses to increase;</w:t>
      </w:r>
    </w:p>
    <w:p>
      <w:pPr>
        <w:spacing w:after="0" w:line="9" w:lineRule="exact"/>
        <w:rPr>
          <w:rFonts w:ascii="Arial" w:cs="Arial" w:eastAsia="Arial" w:hAnsi="Arial"/>
          <w:sz w:val="18"/>
          <w:szCs w:val="18"/>
          <w:color w:val="auto"/>
        </w:rPr>
      </w:pPr>
    </w:p>
    <w:p>
      <w:pPr>
        <w:ind w:left="740" w:hanging="36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allowance for loan losses may have to be increased if borrowers experience financial difficulties beyond forbearance periods, which will adversely affect our net income;</w:t>
      </w:r>
    </w:p>
    <w:p>
      <w:pPr>
        <w:ind w:left="740" w:hanging="36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net worth and liquidity of loan guarantors may decline, impairing their ability to honor commitments to us;</w:t>
      </w:r>
    </w:p>
    <w:p>
      <w:pPr>
        <w:spacing w:after="0" w:line="9" w:lineRule="exact"/>
        <w:rPr>
          <w:rFonts w:ascii="Arial" w:cs="Arial" w:eastAsia="Arial" w:hAnsi="Arial"/>
          <w:sz w:val="18"/>
          <w:szCs w:val="18"/>
          <w:color w:val="auto"/>
        </w:rPr>
      </w:pPr>
    </w:p>
    <w:p>
      <w:pPr>
        <w:ind w:left="740" w:hanging="368"/>
        <w:spacing w:after="0" w:line="281" w:lineRule="auto"/>
        <w:tabs>
          <w:tab w:leader="none" w:pos="7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as the result of the decline in the Federal Reserve Board’s target federal funds rate to near 0%, the yield on our assets may decline to a greater extent than the decline in our cost of interest-bearing liabilities, reducing our net interest margin and spread and reducing net income;</w:t>
      </w:r>
    </w:p>
    <w:p>
      <w:pPr>
        <w:spacing w:after="0" w:line="1" w:lineRule="exact"/>
        <w:rPr>
          <w:rFonts w:ascii="Arial" w:cs="Arial" w:eastAsia="Arial" w:hAnsi="Arial"/>
          <w:sz w:val="16"/>
          <w:szCs w:val="16"/>
          <w:color w:val="auto"/>
        </w:rPr>
      </w:pPr>
    </w:p>
    <w:p>
      <w:pPr>
        <w:ind w:left="740" w:hanging="368"/>
        <w:spacing w:after="0"/>
        <w:tabs>
          <w:tab w:leader="none" w:pos="7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material decrease in net income or a net loss over several quarters could result in a decrease in the rate of our quarterly cash dividend;</w:t>
      </w:r>
    </w:p>
    <w:p>
      <w:pPr>
        <w:spacing w:after="0" w:line="20" w:lineRule="exact"/>
        <w:rPr>
          <w:rFonts w:ascii="Arial" w:cs="Arial" w:eastAsia="Arial" w:hAnsi="Arial"/>
          <w:sz w:val="17"/>
          <w:szCs w:val="17"/>
          <w:color w:val="auto"/>
        </w:rPr>
      </w:pPr>
    </w:p>
    <w:p>
      <w:pPr>
        <w:ind w:left="740" w:hanging="36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cyber security risks are increased as the result of an increase in the number of employees working remotely;</w:t>
      </w:r>
    </w:p>
    <w:p>
      <w:pPr>
        <w:spacing w:after="0" w:line="9" w:lineRule="exact"/>
        <w:rPr>
          <w:rFonts w:ascii="Arial" w:cs="Arial" w:eastAsia="Arial" w:hAnsi="Arial"/>
          <w:sz w:val="18"/>
          <w:szCs w:val="18"/>
          <w:color w:val="auto"/>
        </w:rPr>
      </w:pPr>
    </w:p>
    <w:p>
      <w:pPr>
        <w:ind w:left="740" w:right="20" w:hanging="368"/>
        <w:spacing w:after="0" w:line="250" w:lineRule="auto"/>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we rely on third party vendors for certain services and the unavailability of a critical service due to the COVID-19 outbreak could have an adverse effect on us; and</w:t>
      </w:r>
    </w:p>
    <w:p>
      <w:pPr>
        <w:ind w:left="740" w:hanging="368"/>
        <w:spacing w:after="0"/>
        <w:tabs>
          <w:tab w:leader="none" w:pos="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Federal Deposit Insurance Corporation premiums may increase if the agency experiences additional resolution costs.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our future success and profitability substantially depends on the management skills of our executive officers and directors, many of whom have held officer and director positions with us for many years. The unanticipated loss or unavailability of key employees due to the outbreak could harm our ability to operate our business or execute our business strategy. We may not be successful in finding and integrating suitable successors in the event of key employee loss or unavailability.</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Any one or a combination of the factors identified above could negatively impact our business, financial condition and results of operations and prospects.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509270</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PATHFINDER BANCORP, INC.</w:t>
            </w:r>
          </w:p>
        </w:tc>
      </w:tr>
      <w:tr>
        <w:trPr>
          <w:trHeight w:val="675"/>
        </w:trPr>
        <w:tc>
          <w:tcPr>
            <w:tcW w:w="3980" w:type="dxa"/>
            <w:vAlign w:val="bottom"/>
            <w:gridSpan w:val="2"/>
          </w:tcPr>
          <w:p>
            <w:pPr>
              <w:spacing w:after="0"/>
              <w:rPr>
                <w:sz w:val="20"/>
                <w:szCs w:val="20"/>
                <w:color w:val="auto"/>
              </w:rPr>
            </w:pPr>
            <w:r>
              <w:rPr>
                <w:rFonts w:ascii="Arial" w:cs="Arial" w:eastAsia="Arial" w:hAnsi="Arial"/>
                <w:sz w:val="18"/>
                <w:szCs w:val="18"/>
                <w:color w:val="auto"/>
              </w:rPr>
              <w:t>Date:  May 15, 2020</w:t>
            </w:r>
          </w:p>
        </w:tc>
        <w:tc>
          <w:tcPr>
            <w:tcW w:w="7260" w:type="dxa"/>
            <w:vAlign w:val="bottom"/>
            <w:gridSpan w:val="2"/>
          </w:tcPr>
          <w:p>
            <w:pPr>
              <w:ind w:left="1760"/>
              <w:spacing w:after="0"/>
              <w:rPr>
                <w:sz w:val="20"/>
                <w:szCs w:val="20"/>
                <w:color w:val="auto"/>
              </w:rPr>
            </w:pPr>
            <w:r>
              <w:rPr>
                <w:rFonts w:ascii="Arial" w:cs="Arial" w:eastAsia="Arial" w:hAnsi="Arial"/>
                <w:sz w:val="18"/>
                <w:szCs w:val="18"/>
                <w:color w:val="auto"/>
              </w:rPr>
              <w:t>By: /s/ Thomas W. Schneider</w:t>
            </w:r>
          </w:p>
        </w:tc>
      </w:tr>
      <w:tr>
        <w:trPr>
          <w:trHeight w:val="222"/>
        </w:trPr>
        <w:tc>
          <w:tcPr>
            <w:tcW w:w="540" w:type="dxa"/>
            <w:vAlign w:val="bottom"/>
          </w:tcPr>
          <w:p>
            <w:pPr>
              <w:spacing w:after="0"/>
              <w:rPr>
                <w:sz w:val="19"/>
                <w:szCs w:val="19"/>
                <w:color w:val="auto"/>
              </w:rPr>
            </w:pPr>
          </w:p>
        </w:tc>
        <w:tc>
          <w:tcPr>
            <w:tcW w:w="3440" w:type="dxa"/>
            <w:vAlign w:val="bottom"/>
            <w:tcBorders>
              <w:top w:val="single" w:sz="8" w:color="auto"/>
            </w:tcBorders>
          </w:tcPr>
          <w:p>
            <w:pPr>
              <w:spacing w:after="0"/>
              <w:rPr>
                <w:sz w:val="19"/>
                <w:szCs w:val="19"/>
                <w:color w:val="auto"/>
              </w:rPr>
            </w:pPr>
          </w:p>
        </w:tc>
        <w:tc>
          <w:tcPr>
            <w:tcW w:w="2100" w:type="dxa"/>
            <w:vAlign w:val="bottom"/>
          </w:tcPr>
          <w:p>
            <w:pPr>
              <w:spacing w:after="0"/>
              <w:rPr>
                <w:sz w:val="19"/>
                <w:szCs w:val="19"/>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W. Schneider</w:t>
            </w:r>
          </w:p>
        </w:tc>
      </w:tr>
      <w:tr>
        <w:trPr>
          <w:trHeight w:val="230"/>
        </w:trPr>
        <w:tc>
          <w:tcPr>
            <w:tcW w:w="54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2020-05-15T11:30:54Z</dcterms:created>
  <dcterms:modified xsi:type="dcterms:W3CDTF">2020-05-15T11:30:54Z</dcterms:modified>
</cp:coreProperties>
</file>