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306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ANNUAL REPORTS OF EMPLOYEE STOCK PURCHASE, SAVINGS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SIMILAR PLANS PURSUANT TO SECTION 15(d) OF THE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ANNUAL REPORT TO SECTION 15(d) OF THE SECURITIES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 the fiscal year ended: December 31, 2025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OR</w:t>
      </w:r>
    </w:p>
    <w:p>
      <w:pPr>
        <w:spacing w:after="0" w:line="229" w:lineRule="exact"/>
        <w:rPr>
          <w:sz w:val="24"/>
          <w:szCs w:val="24"/>
          <w:color w:val="auto"/>
        </w:rPr>
      </w:pPr>
    </w:p>
    <w:p>
      <w:pPr>
        <w:jc w:val="center"/>
        <w:ind w:left="3360" w:right="1019" w:hanging="2357"/>
        <w:spacing w:after="0" w:line="269" w:lineRule="auto"/>
        <w:tabs>
          <w:tab w:leader="none" w:pos="116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TRANSITION REPORT PURSUANT TO SECTION 15(d) OF THE SECURITIES EXCHANGE ACT OF 1934</w:t>
      </w:r>
    </w:p>
    <w:p>
      <w:pPr>
        <w:spacing w:after="0" w:line="17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0"/>
          <w:szCs w:val="20"/>
          <w:color w:val="auto"/>
        </w:rPr>
        <w:t>For the transition period from _______ to _______</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Commission File Number: 001-36695</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PATHFINDER BANK 401K SAVINGS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(Full Title of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1951355</wp:posOffset>
            </wp:positionH>
            <wp:positionV relativeFrom="paragraph">
              <wp:posOffset>5715</wp:posOffset>
            </wp:positionV>
            <wp:extent cx="18256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 of the securities held pursuant to the plan)</w:t>
      </w:r>
    </w:p>
    <w:p>
      <w:pPr>
        <w:spacing w:after="0" w:line="22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0"/>
          <w:szCs w:val="20"/>
          <w:color w:val="auto"/>
        </w:rPr>
        <w:t>214 West First Street</w:t>
      </w:r>
    </w:p>
    <w:p>
      <w:pPr>
        <w:spacing w:after="0" w:line="2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0"/>
          <w:szCs w:val="20"/>
          <w:color w:val="auto"/>
        </w:rPr>
        <w:t>Oswego, NY 13126</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1029970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PATHFINDER BANK</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401(K) SAVINGS PLAN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 Supplemental Schedule</w:t>
      </w:r>
    </w:p>
    <w:p>
      <w:pPr>
        <w:jc w:val="center"/>
        <w:ind w:right="19"/>
        <w:spacing w:after="0"/>
        <w:rPr>
          <w:sz w:val="20"/>
          <w:szCs w:val="20"/>
          <w:color w:val="auto"/>
        </w:rPr>
      </w:pPr>
      <w:r>
        <w:rPr>
          <w:rFonts w:ascii="Times New Roman" w:cs="Times New Roman" w:eastAsia="Times New Roman" w:hAnsi="Times New Roman"/>
          <w:sz w:val="19"/>
          <w:szCs w:val="19"/>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886460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PATHFINDER BANK 401(K) SAVINGS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1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668"/>
        </w:trPr>
        <w:tc>
          <w:tcPr>
            <w:tcW w:w="85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REPORT OF INDEPENDENT REGISTERED PUBLIC ACCOUNTING FIRM</w:t>
            </w:r>
          </w:p>
        </w:tc>
        <w:tc>
          <w:tcPr>
            <w:tcW w:w="22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13"/>
        </w:trPr>
        <w:tc>
          <w:tcPr>
            <w:tcW w:w="85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FINANCIAL STATEMENTS</w:t>
            </w:r>
            <w:r>
              <w:rPr>
                <w:rFonts w:ascii="Times New Roman" w:cs="Times New Roman" w:eastAsia="Times New Roman" w:hAnsi="Times New Roman"/>
                <w:sz w:val="20"/>
                <w:szCs w:val="20"/>
                <w:b w:val="1"/>
                <w:bCs w:val="1"/>
                <w:color w:val="auto"/>
              </w:rPr>
              <w:t>:</w:t>
            </w: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91"/>
        </w:trPr>
        <w:tc>
          <w:tcPr>
            <w:tcW w:w="300" w:type="dxa"/>
            <w:vAlign w:val="bottom"/>
          </w:tcPr>
          <w:p>
            <w:pPr>
              <w:spacing w:after="0"/>
              <w:rPr>
                <w:sz w:val="24"/>
                <w:szCs w:val="24"/>
                <w:color w:val="auto"/>
              </w:rPr>
            </w:pPr>
          </w:p>
        </w:tc>
        <w:tc>
          <w:tcPr>
            <w:tcW w:w="8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Statements of Net Assets Available for Benefits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r>
      <w:tr>
        <w:trPr>
          <w:trHeight w:val="318"/>
        </w:trPr>
        <w:tc>
          <w:tcPr>
            <w:tcW w:w="300" w:type="dxa"/>
            <w:vAlign w:val="bottom"/>
          </w:tcPr>
          <w:p>
            <w:pPr>
              <w:spacing w:after="0"/>
              <w:rPr>
                <w:sz w:val="24"/>
                <w:szCs w:val="24"/>
                <w:color w:val="auto"/>
              </w:rPr>
            </w:pPr>
          </w:p>
        </w:tc>
        <w:tc>
          <w:tcPr>
            <w:tcW w:w="8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Statements of Changes in Net Assets Available for Benefits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r>
      <w:tr>
        <w:trPr>
          <w:trHeight w:val="318"/>
        </w:trPr>
        <w:tc>
          <w:tcPr>
            <w:tcW w:w="300" w:type="dxa"/>
            <w:vAlign w:val="bottom"/>
          </w:tcPr>
          <w:p>
            <w:pPr>
              <w:spacing w:after="0"/>
              <w:rPr>
                <w:sz w:val="24"/>
                <w:szCs w:val="24"/>
                <w:color w:val="auto"/>
              </w:rPr>
            </w:pPr>
          </w:p>
        </w:tc>
        <w:tc>
          <w:tcPr>
            <w:tcW w:w="8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Notes to Financial Statements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702"/>
        </w:trPr>
        <w:tc>
          <w:tcPr>
            <w:tcW w:w="85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SUPPLEMENTAL SCHEDULE</w:t>
            </w:r>
            <w:r>
              <w:rPr>
                <w:rFonts w:ascii="Times New Roman" w:cs="Times New Roman" w:eastAsia="Times New Roman" w:hAnsi="Times New Roman"/>
                <w:sz w:val="20"/>
                <w:szCs w:val="20"/>
                <w:b w:val="1"/>
                <w:bCs w:val="1"/>
                <w:color w:val="auto"/>
              </w:rPr>
              <w:t>:</w:t>
            </w: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91"/>
        </w:trPr>
        <w:tc>
          <w:tcPr>
            <w:tcW w:w="300" w:type="dxa"/>
            <w:vAlign w:val="bottom"/>
          </w:tcPr>
          <w:p>
            <w:pPr>
              <w:spacing w:after="0"/>
              <w:rPr>
                <w:sz w:val="24"/>
                <w:szCs w:val="24"/>
                <w:color w:val="auto"/>
              </w:rPr>
            </w:pPr>
          </w:p>
        </w:tc>
        <w:tc>
          <w:tcPr>
            <w:tcW w:w="8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Schedule H, Line 4(i) – Schedule of Assets (Held at End of Year)</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r>
      <w:tr>
        <w:trPr>
          <w:trHeight w:val="790"/>
        </w:trPr>
        <w:tc>
          <w:tcPr>
            <w:tcW w:w="85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EXHIBITS:</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u w:val="single" w:color="auto"/>
          <w:color w:val="0000FF"/>
        </w:rPr>
        <w:t>Exhibit 23.1 – 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-10795</wp:posOffset>
            </wp:positionV>
            <wp:extent cx="3761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1740" cy="825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Audit Committee of Pathfinder Bank 401(K) Savings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the Pathfinder Bank 401(K) Savings Plan (the Plan) as of December 31, 2025 and 2024, and the related statements of changes in net assets available for benefits for the years then ended,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supplemental information contained in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Bonadio &amp; Company,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Bonadio &amp; Company, LLP</w:t>
      </w:r>
    </w:p>
    <w:p>
      <w:pPr>
        <w:spacing w:after="0"/>
        <w:rPr>
          <w:sz w:val="20"/>
          <w:szCs w:val="20"/>
          <w:color w:val="auto"/>
        </w:rPr>
      </w:pPr>
      <w:r>
        <w:rPr>
          <w:rFonts w:ascii="Times New Roman" w:cs="Times New Roman" w:eastAsia="Times New Roman" w:hAnsi="Times New Roman"/>
          <w:sz w:val="20"/>
          <w:szCs w:val="20"/>
          <w:color w:val="auto"/>
        </w:rPr>
        <w:t>Amherst, New York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PATHFINDER BANK 401(K) SAVINGS PLAN</w:t>
      </w:r>
    </w:p>
    <w:p>
      <w:pPr>
        <w:spacing w:after="0" w:line="229" w:lineRule="exact"/>
        <w:rPr>
          <w:sz w:val="20"/>
          <w:szCs w:val="20"/>
          <w:color w:val="auto"/>
        </w:rPr>
      </w:pPr>
    </w:p>
    <w:p>
      <w:pPr>
        <w:ind w:right="5600"/>
        <w:spacing w:after="0" w:line="273" w:lineRule="auto"/>
        <w:rPr>
          <w:sz w:val="20"/>
          <w:szCs w:val="20"/>
          <w:color w:val="auto"/>
        </w:rPr>
      </w:pPr>
      <w:r>
        <w:rPr>
          <w:rFonts w:ascii="Times New Roman" w:cs="Times New Roman" w:eastAsia="Times New Roman" w:hAnsi="Times New Roman"/>
          <w:sz w:val="20"/>
          <w:szCs w:val="20"/>
          <w:b w:val="1"/>
          <w:bCs w:val="1"/>
          <w:color w:val="auto"/>
        </w:rPr>
        <w:t>STATEMENTS OF NET ASSETS AVAILABLE FOR BENEFITS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63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20,783,923</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20,054,493</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435,889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442,043</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7,610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22,192</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EMPLOYEE CONTRIBUTIONS RECEIVABLE</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8,669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28,259</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Receivables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452,168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492,494</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21,236,091</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20,546,987</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6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-1357630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-1357630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-766445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-766445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PATHFINDER BANK 401(K) SAVINGS PLAN</w:t>
      </w:r>
    </w:p>
    <w:p>
      <w:pPr>
        <w:spacing w:after="0" w:line="229" w:lineRule="exact"/>
        <w:rPr>
          <w:sz w:val="20"/>
          <w:szCs w:val="20"/>
          <w:color w:val="auto"/>
        </w:rPr>
      </w:pPr>
    </w:p>
    <w:p>
      <w:pPr>
        <w:ind w:right="4300"/>
        <w:spacing w:after="0" w:line="273" w:lineRule="auto"/>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63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2025</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ADDITIONS: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income: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20"/>
                <w:szCs w:val="20"/>
                <w:color w:val="auto"/>
              </w:rPr>
              <w:t>1,578,290</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2,359,665</w:t>
            </w:r>
          </w:p>
        </w:tc>
        <w:tc>
          <w:tcPr>
            <w:tcW w:w="0" w:type="dxa"/>
            <w:vAlign w:val="bottom"/>
          </w:tcPr>
          <w:p>
            <w:pPr>
              <w:spacing w:after="0"/>
              <w:rPr>
                <w:sz w:val="1"/>
                <w:szCs w:val="1"/>
                <w:color w:val="auto"/>
              </w:rPr>
            </w:pPr>
          </w:p>
        </w:tc>
      </w:tr>
      <w:tr>
        <w:trPr>
          <w:trHeight w:val="230"/>
        </w:trPr>
        <w:tc>
          <w:tcPr>
            <w:tcW w:w="6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Dividend income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934,122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599,218</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Total investment income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2,512,412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2,958,883</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CONTRIBUTIONS: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Employer</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20"/>
                <w:szCs w:val="20"/>
                <w:color w:val="auto"/>
              </w:rPr>
              <w:t>903,661</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886,244</w:t>
            </w:r>
          </w:p>
        </w:tc>
        <w:tc>
          <w:tcPr>
            <w:tcW w:w="0" w:type="dxa"/>
            <w:vAlign w:val="bottom"/>
          </w:tcPr>
          <w:p>
            <w:pPr>
              <w:spacing w:after="0"/>
              <w:rPr>
                <w:sz w:val="1"/>
                <w:szCs w:val="1"/>
                <w:color w:val="auto"/>
              </w:rPr>
            </w:pPr>
          </w:p>
        </w:tc>
      </w:tr>
      <w:tr>
        <w:trPr>
          <w:trHeight w:val="229"/>
        </w:trPr>
        <w:tc>
          <w:tcPr>
            <w:tcW w:w="6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Participants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1,014,988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1,062,826</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Rollover</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20"/>
                <w:szCs w:val="20"/>
                <w:color w:val="auto"/>
              </w:rPr>
              <w:t>2,555</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25,002</w:t>
            </w:r>
          </w:p>
        </w:tc>
        <w:tc>
          <w:tcPr>
            <w:tcW w:w="0" w:type="dxa"/>
            <w:vAlign w:val="bottom"/>
          </w:tcPr>
          <w:p>
            <w:pPr>
              <w:spacing w:after="0"/>
              <w:rPr>
                <w:sz w:val="1"/>
                <w:szCs w:val="1"/>
                <w:color w:val="auto"/>
              </w:rPr>
            </w:pPr>
          </w:p>
        </w:tc>
      </w:tr>
      <w:tr>
        <w:trPr>
          <w:trHeight w:val="229"/>
        </w:trPr>
        <w:tc>
          <w:tcPr>
            <w:tcW w:w="6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31,547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34,130</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Total contributions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1,952,751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2,008,202</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Total additions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4,465,163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4,967,085</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DEDUCTIONS: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20"/>
                <w:szCs w:val="20"/>
                <w:color w:val="auto"/>
              </w:rPr>
              <w:t>3,713,512</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4,738,967</w:t>
            </w:r>
          </w:p>
        </w:tc>
        <w:tc>
          <w:tcPr>
            <w:tcW w:w="0" w:type="dxa"/>
            <w:vAlign w:val="bottom"/>
          </w:tcPr>
          <w:p>
            <w:pPr>
              <w:spacing w:after="0"/>
              <w:rPr>
                <w:sz w:val="1"/>
                <w:szCs w:val="1"/>
                <w:color w:val="auto"/>
              </w:rPr>
            </w:pPr>
          </w:p>
        </w:tc>
      </w:tr>
      <w:tr>
        <w:trPr>
          <w:trHeight w:val="230"/>
        </w:trPr>
        <w:tc>
          <w:tcPr>
            <w:tcW w:w="6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Administrative expenses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62,547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59,096</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Total deductions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3,776,059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4,798,063</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CHANGE IN NET ASSETS AVAILABLE FOR BENEFITS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689,104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169,022</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 beginning of year</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20,546,987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20,377,965</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 end of year</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21,236,091</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20,546,987</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6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PATHFINDER BANK 401(K)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PLAN</w:t>
      </w:r>
    </w:p>
    <w:p>
      <w:pPr>
        <w:spacing w:after="0" w:line="246" w:lineRule="exact"/>
        <w:rPr>
          <w:rFonts w:ascii="Times New Roman" w:cs="Times New Roman" w:eastAsia="Times New Roman" w:hAnsi="Times New Roman"/>
          <w:sz w:val="20"/>
          <w:szCs w:val="20"/>
          <w:b w:val="1"/>
          <w:bCs w:val="1"/>
          <w:color w:val="auto"/>
        </w:rPr>
      </w:pPr>
    </w:p>
    <w:p>
      <w:pPr>
        <w:ind w:left="3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brief description of the Pathfinder Bank 401(k) Savings Plan (the Plan) is provided for general information purposes only. Participants should refer to the Plan Document for a more complete description of the Plan’s provisions.</w:t>
      </w:r>
    </w:p>
    <w:p>
      <w:pPr>
        <w:spacing w:after="0" w:line="168"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233" w:lineRule="exact"/>
        <w:rPr>
          <w:rFonts w:ascii="Times New Roman" w:cs="Times New Roman" w:eastAsia="Times New Roman" w:hAnsi="Times New Roman"/>
          <w:sz w:val="20"/>
          <w:szCs w:val="20"/>
          <w:b w:val="1"/>
          <w:bCs w:val="1"/>
          <w:color w:val="auto"/>
        </w:rPr>
      </w:pPr>
    </w:p>
    <w:p>
      <w:pPr>
        <w:ind w:left="38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is a defined contribution plan covering all employees of Pathfinder Bank (the Bank). It is subject to the provisions of the Employee Retirement Income Security Act of 1974 (ERISA).</w:t>
      </w:r>
    </w:p>
    <w:p>
      <w:pPr>
        <w:spacing w:after="0" w:line="168"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Contributions</w:t>
      </w:r>
    </w:p>
    <w:p>
      <w:pPr>
        <w:spacing w:after="0" w:line="233" w:lineRule="exact"/>
        <w:rPr>
          <w:rFonts w:ascii="Times New Roman" w:cs="Times New Roman" w:eastAsia="Times New Roman" w:hAnsi="Times New Roman"/>
          <w:sz w:val="20"/>
          <w:szCs w:val="20"/>
          <w:b w:val="1"/>
          <w:bCs w:val="1"/>
          <w:color w:val="auto"/>
        </w:rPr>
      </w:pPr>
    </w:p>
    <w:p>
      <w:pPr>
        <w:jc w:val="both"/>
        <w:ind w:left="38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year, participants may contribute up to the annual dollar limit set by law of pretax annual compensation, as defined in the Plan. Participants who have attained age 50 before the end of the Plan year are eligible to make catch-up contributions. Participants may also contribute amounts representing distributions from other qualified defined benefit or defined contribution plans. Participants direct the investment of their contributions into various investment options offered by the Plan. The Bank makes matching contributions of 100% of the first 3% of employee deferrals and 50% of the next 3% of employee deferrals and is invested based on the participants’ investment allocations.</w:t>
      </w:r>
    </w:p>
    <w:p>
      <w:pPr>
        <w:spacing w:after="0" w:line="197" w:lineRule="exact"/>
        <w:rPr>
          <w:rFonts w:ascii="Times New Roman" w:cs="Times New Roman" w:eastAsia="Times New Roman" w:hAnsi="Times New Roman"/>
          <w:sz w:val="20"/>
          <w:szCs w:val="20"/>
          <w:b w:val="1"/>
          <w:bCs w:val="1"/>
          <w:color w:val="auto"/>
        </w:rPr>
      </w:pPr>
    </w:p>
    <w:p>
      <w:pPr>
        <w:ind w:left="3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addition, the Bank makes a safe harbor non-elective contribution to the account of each eligible employee in an amount equal to 3% of the participant’s annual compensation.</w:t>
      </w:r>
    </w:p>
    <w:p>
      <w:pPr>
        <w:spacing w:after="0" w:line="168"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Participants’ Accounts</w:t>
      </w:r>
    </w:p>
    <w:p>
      <w:pPr>
        <w:spacing w:after="0" w:line="233" w:lineRule="exact"/>
        <w:rPr>
          <w:rFonts w:ascii="Times New Roman" w:cs="Times New Roman" w:eastAsia="Times New Roman" w:hAnsi="Times New Roman"/>
          <w:sz w:val="20"/>
          <w:szCs w:val="20"/>
          <w:b w:val="1"/>
          <w:bCs w:val="1"/>
          <w:color w:val="auto"/>
        </w:rPr>
      </w:pPr>
    </w:p>
    <w:p>
      <w:pPr>
        <w:jc w:val="both"/>
        <w:ind w:left="38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participant’s account is credited with the participant’s contribution and allocations of (a) the Bank’s contribution and, (b) Plan earnings/(losses), and charged with an allocation of administrative expenses, if applicable. Allocations are based on participant earnings/(losses) or account balances, as defined. The benefit to which a participant is entitled is the benefit that can be provided from the participant’s vested account balance.</w:t>
      </w:r>
    </w:p>
    <w:p>
      <w:pPr>
        <w:spacing w:after="0" w:line="189"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w:t>
      </w:r>
    </w:p>
    <w:p>
      <w:pPr>
        <w:spacing w:after="0" w:line="233"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Vesting percentage is generally determined by years of service in accordance with the following schedule:</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6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Vested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Vesting Years</w:t>
            </w:r>
          </w:p>
        </w:tc>
        <w:tc>
          <w:tcPr>
            <w:tcW w:w="4980" w:type="dxa"/>
            <w:vAlign w:val="bottom"/>
          </w:tcPr>
          <w:p>
            <w:pPr>
              <w:spacing w:after="0"/>
              <w:rPr>
                <w:sz w:val="21"/>
                <w:szCs w:val="21"/>
                <w:color w:val="auto"/>
              </w:rPr>
            </w:pP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20"/>
                <w:szCs w:val="20"/>
                <w:color w:val="auto"/>
              </w:rPr>
              <w:t>Percentage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498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1 year</w:t>
            </w:r>
          </w:p>
        </w:tc>
        <w:tc>
          <w:tcPr>
            <w:tcW w:w="6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2 years</w:t>
            </w:r>
          </w:p>
        </w:tc>
        <w:tc>
          <w:tcPr>
            <w:tcW w:w="68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3 years</w:t>
            </w:r>
          </w:p>
        </w:tc>
        <w:tc>
          <w:tcPr>
            <w:tcW w:w="6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4 years</w:t>
            </w:r>
          </w:p>
        </w:tc>
        <w:tc>
          <w:tcPr>
            <w:tcW w:w="68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5 or more years</w:t>
            </w:r>
          </w:p>
        </w:tc>
        <w:tc>
          <w:tcPr>
            <w:tcW w:w="6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7" w:name="page8"/>
    <w:bookmarkEnd w:id="7"/>
    <w:p>
      <w:pPr>
        <w:ind w:left="372"/>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233" w:lineRule="exact"/>
        <w:rPr>
          <w:sz w:val="20"/>
          <w:szCs w:val="20"/>
          <w:color w:val="auto"/>
        </w:rPr>
      </w:pPr>
    </w:p>
    <w:p>
      <w:pPr>
        <w:jc w:val="both"/>
        <w:ind w:left="372"/>
        <w:spacing w:after="0" w:line="245" w:lineRule="auto"/>
        <w:rPr>
          <w:sz w:val="20"/>
          <w:szCs w:val="20"/>
          <w:color w:val="auto"/>
        </w:rPr>
      </w:pPr>
      <w:r>
        <w:rPr>
          <w:rFonts w:ascii="Times New Roman" w:cs="Times New Roman" w:eastAsia="Times New Roman" w:hAnsi="Times New Roman"/>
          <w:sz w:val="20"/>
          <w:szCs w:val="20"/>
          <w:color w:val="auto"/>
        </w:rPr>
        <w:t>Participants may borrow an amount up to the lesser of 50% of the amount of their vested balance or $50,000. The loan amount cannot exceed the maximum amount imposed by the Internal Revenue Code. A participant may borrow a minimum of $1,000. Loans are repayable over not more than five years, except in the case of a loan for the purchase of a primary residence. Participants must make loan payments through payroll deductions. The loans are secured by the balances in the participant’s account and are between the rates of 4.25% and 9.50%, which are determined by the Plan Administrator at the time of the loan application, considering the purpose of the loan and the rate being charged by representative commercial banks in the local area for a similar loan.</w:t>
      </w:r>
    </w:p>
    <w:p>
      <w:pPr>
        <w:spacing w:after="0" w:line="194"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233" w:lineRule="exact"/>
        <w:rPr>
          <w:sz w:val="20"/>
          <w:szCs w:val="20"/>
          <w:color w:val="auto"/>
        </w:rPr>
      </w:pPr>
    </w:p>
    <w:p>
      <w:pPr>
        <w:jc w:val="both"/>
        <w:ind w:left="372"/>
        <w:spacing w:after="0" w:line="254" w:lineRule="auto"/>
        <w:rPr>
          <w:sz w:val="20"/>
          <w:szCs w:val="20"/>
          <w:color w:val="auto"/>
        </w:rPr>
      </w:pPr>
      <w:r>
        <w:rPr>
          <w:rFonts w:ascii="Times New Roman" w:cs="Times New Roman" w:eastAsia="Times New Roman" w:hAnsi="Times New Roman"/>
          <w:sz w:val="20"/>
          <w:szCs w:val="20"/>
          <w:color w:val="auto"/>
        </w:rPr>
        <w:t>On termination of service due to death, disability or retirement, or due to other reasons a participant may elect to receive his or her benefits under the following options: lump sum or installment payments. The amount will be equal to the value of the participant’s vested interest in his or her account.</w:t>
      </w:r>
    </w:p>
    <w:p>
      <w:pPr>
        <w:spacing w:after="0" w:line="174" w:lineRule="exact"/>
        <w:rPr>
          <w:sz w:val="20"/>
          <w:szCs w:val="20"/>
          <w:color w:val="auto"/>
        </w:rPr>
      </w:pPr>
    </w:p>
    <w:p>
      <w:pPr>
        <w:jc w:val="both"/>
        <w:ind w:left="372"/>
        <w:spacing w:after="0" w:line="269" w:lineRule="auto"/>
        <w:rPr>
          <w:sz w:val="20"/>
          <w:szCs w:val="20"/>
          <w:color w:val="auto"/>
        </w:rPr>
      </w:pPr>
      <w:r>
        <w:rPr>
          <w:rFonts w:ascii="Times New Roman" w:cs="Times New Roman" w:eastAsia="Times New Roman" w:hAnsi="Times New Roman"/>
          <w:sz w:val="20"/>
          <w:szCs w:val="20"/>
          <w:color w:val="auto"/>
        </w:rPr>
        <w:t>Active participants may withdraw all or part of their share of each fund upon reaching age 59½ or earlier, if they suffer a financial hardship as described in the Plan Document.</w:t>
      </w:r>
    </w:p>
    <w:p>
      <w:pPr>
        <w:spacing w:after="0" w:line="169"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b w:val="1"/>
          <w:bCs w:val="1"/>
          <w:color w:val="auto"/>
        </w:rPr>
        <w:t>Forfeited Accounts</w:t>
      </w:r>
    </w:p>
    <w:p>
      <w:pPr>
        <w:spacing w:after="0" w:line="233" w:lineRule="exact"/>
        <w:rPr>
          <w:sz w:val="20"/>
          <w:szCs w:val="20"/>
          <w:color w:val="auto"/>
        </w:rPr>
      </w:pPr>
    </w:p>
    <w:p>
      <w:pPr>
        <w:jc w:val="both"/>
        <w:ind w:left="372"/>
        <w:spacing w:after="0" w:line="246" w:lineRule="auto"/>
        <w:rPr>
          <w:sz w:val="20"/>
          <w:szCs w:val="20"/>
          <w:color w:val="auto"/>
        </w:rPr>
      </w:pPr>
      <w:r>
        <w:rPr>
          <w:rFonts w:ascii="Times New Roman" w:cs="Times New Roman" w:eastAsia="Times New Roman" w:hAnsi="Times New Roman"/>
          <w:sz w:val="20"/>
          <w:szCs w:val="20"/>
          <w:color w:val="auto"/>
        </w:rPr>
        <w:t>At December 31, 2025 and 2024, forfeited non-vested accounts available totaled $16,842 and $129,001, respectively. Any forfeitures may be made available to reinstate previously forfeited account balances of participants and remaining forfeitures may be used to satisfy any contribution that may be required under the terms of the Plan Document or be used to pay any administrative expenses of the Plan. There were $139,094 in forfeitures used to satisfy contributions required by the Plan Document for the year ended December 31, 2025 and none used for the year ended December 31, 2024.</w:t>
      </w:r>
    </w:p>
    <w:p>
      <w:pPr>
        <w:spacing w:after="0" w:line="289" w:lineRule="exact"/>
        <w:rPr>
          <w:sz w:val="20"/>
          <w:szCs w:val="20"/>
          <w:color w:val="auto"/>
        </w:rPr>
      </w:pPr>
    </w:p>
    <w:p>
      <w:pPr>
        <w:ind w:left="372" w:right="5700" w:hanging="372"/>
        <w:spacing w:after="0" w:line="481" w:lineRule="auto"/>
        <w:tabs>
          <w:tab w:leader="none" w:pos="372"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Accounting</w:t>
      </w:r>
    </w:p>
    <w:p>
      <w:pPr>
        <w:ind w:left="37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financial statements of the Plan are prepared using the accrual method of accounting.</w:t>
      </w:r>
    </w:p>
    <w:p>
      <w:pPr>
        <w:spacing w:after="0" w:line="225" w:lineRule="exact"/>
        <w:rPr>
          <w:rFonts w:ascii="Times New Roman" w:cs="Times New Roman" w:eastAsia="Times New Roman" w:hAnsi="Times New Roman"/>
          <w:sz w:val="20"/>
          <w:szCs w:val="20"/>
          <w:b w:val="1"/>
          <w:bCs w:val="1"/>
          <w:color w:val="auto"/>
        </w:rPr>
      </w:pPr>
    </w:p>
    <w:p>
      <w:pPr>
        <w:ind w:left="37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 of Estimates</w:t>
      </w:r>
    </w:p>
    <w:p>
      <w:pPr>
        <w:spacing w:after="0" w:line="233" w:lineRule="exact"/>
        <w:rPr>
          <w:rFonts w:ascii="Times New Roman" w:cs="Times New Roman" w:eastAsia="Times New Roman" w:hAnsi="Times New Roman"/>
          <w:sz w:val="20"/>
          <w:szCs w:val="20"/>
          <w:b w:val="1"/>
          <w:bCs w:val="1"/>
          <w:color w:val="auto"/>
        </w:rPr>
      </w:pPr>
    </w:p>
    <w:p>
      <w:pPr>
        <w:jc w:val="both"/>
        <w:ind w:left="372"/>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disclosures of contingent assets and liabilities. Actual results could differ from those estimates, particularly given the economic disruptions and uncertainties associated with the current economy, and such differences, may be significant.</w:t>
      </w:r>
    </w:p>
    <w:p>
      <w:pPr>
        <w:spacing w:after="0" w:line="336" w:lineRule="exact"/>
        <w:rPr>
          <w:rFonts w:ascii="Times New Roman" w:cs="Times New Roman" w:eastAsia="Times New Roman" w:hAnsi="Times New Roman"/>
          <w:sz w:val="20"/>
          <w:szCs w:val="20"/>
          <w:b w:val="1"/>
          <w:bCs w:val="1"/>
          <w:color w:val="auto"/>
        </w:rPr>
      </w:pPr>
    </w:p>
    <w:p>
      <w:pPr>
        <w:ind w:left="5572" w:hanging="136"/>
        <w:spacing w:after="0"/>
        <w:tabs>
          <w:tab w:leader="none" w:pos="5572"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52" w:right="339" w:bottom="1440" w:gutter="0" w:footer="0" w:header="0"/>
        </w:sectPr>
      </w:pPr>
    </w:p>
    <w:bookmarkStart w:id="8" w:name="page9"/>
    <w:bookmarkEnd w:id="8"/>
    <w:p>
      <w:pPr>
        <w:ind w:left="372"/>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220" w:lineRule="exact"/>
        <w:rPr>
          <w:sz w:val="20"/>
          <w:szCs w:val="20"/>
          <w:color w:val="auto"/>
        </w:rPr>
      </w:pPr>
    </w:p>
    <w:p>
      <w:pPr>
        <w:jc w:val="both"/>
        <w:ind w:left="372"/>
        <w:spacing w:after="0" w:line="249"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If a participant ceases to make loan repayments and the Plan Administrator deems the participant loan to be in default, the participant loan balance is reduced and a benefit payment is recorded based upon the terms of the Plan Document.</w:t>
      </w:r>
    </w:p>
    <w:p>
      <w:pPr>
        <w:spacing w:after="0" w:line="176"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b w:val="1"/>
          <w:bCs w:val="1"/>
          <w:color w:val="auto"/>
        </w:rPr>
        <w:t>Investment Valuation and Income Recognition</w:t>
      </w:r>
    </w:p>
    <w:p>
      <w:pPr>
        <w:spacing w:after="0" w:line="220" w:lineRule="exact"/>
        <w:rPr>
          <w:sz w:val="20"/>
          <w:szCs w:val="20"/>
          <w:color w:val="auto"/>
        </w:rPr>
      </w:pPr>
    </w:p>
    <w:p>
      <w:pPr>
        <w:jc w:val="both"/>
        <w:ind w:left="372"/>
        <w:spacing w:after="0" w:line="295" w:lineRule="auto"/>
        <w:rPr>
          <w:sz w:val="20"/>
          <w:szCs w:val="20"/>
          <w:color w:val="auto"/>
        </w:rPr>
      </w:pPr>
      <w:r>
        <w:rPr>
          <w:rFonts w:ascii="Times New Roman" w:cs="Times New Roman" w:eastAsia="Times New Roman" w:hAnsi="Times New Roman"/>
          <w:sz w:val="19"/>
          <w:szCs w:val="19"/>
          <w:color w:val="auto"/>
        </w:rPr>
        <w:t>The Plan’s investments are stated at fair value. Fair value is the price that would be received to sell an asset or paid to transfer a liability in an orderly transaction between market participants at the measurement date. See Note 3 for discussion of fair value measurements.</w:t>
      </w:r>
    </w:p>
    <w:p>
      <w:pPr>
        <w:spacing w:after="0" w:line="138" w:lineRule="exact"/>
        <w:rPr>
          <w:sz w:val="20"/>
          <w:szCs w:val="20"/>
          <w:color w:val="auto"/>
        </w:rPr>
      </w:pPr>
    </w:p>
    <w:p>
      <w:pPr>
        <w:jc w:val="both"/>
        <w:ind w:left="372"/>
        <w:spacing w:after="0" w:line="254" w:lineRule="auto"/>
        <w:rPr>
          <w:sz w:val="20"/>
          <w:szCs w:val="20"/>
          <w:color w:val="auto"/>
        </w:rPr>
      </w:pPr>
      <w:r>
        <w:rPr>
          <w:rFonts w:ascii="Times New Roman" w:cs="Times New Roman" w:eastAsia="Times New Roman" w:hAnsi="Times New Roman"/>
          <w:sz w:val="20"/>
          <w:szCs w:val="20"/>
          <w:color w:val="auto"/>
        </w:rPr>
        <w:t>Purchases and sales of securities are recorded on a trade-date basis. Interest income is recorded on the accrual basis. Dividends are recorded on the ex-dividend date. Net appreciation includes the Plan’s gains on investments bought and sold as well as held during the year. All investments are participant-directed.</w:t>
      </w:r>
    </w:p>
    <w:p>
      <w:pPr>
        <w:spacing w:after="0" w:line="170"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b w:val="1"/>
          <w:bCs w:val="1"/>
          <w:color w:val="auto"/>
        </w:rPr>
        <w:t>Investment Fees</w:t>
      </w:r>
    </w:p>
    <w:p>
      <w:pPr>
        <w:spacing w:after="0" w:line="233" w:lineRule="exact"/>
        <w:rPr>
          <w:sz w:val="20"/>
          <w:szCs w:val="20"/>
          <w:color w:val="auto"/>
        </w:rPr>
      </w:pPr>
    </w:p>
    <w:p>
      <w:pPr>
        <w:jc w:val="both"/>
        <w:ind w:left="372"/>
        <w:spacing w:after="0" w:line="249" w:lineRule="auto"/>
        <w:rPr>
          <w:sz w:val="20"/>
          <w:szCs w:val="20"/>
          <w:color w:val="auto"/>
        </w:rPr>
      </w:pPr>
      <w:r>
        <w:rPr>
          <w:rFonts w:ascii="Times New Roman" w:cs="Times New Roman" w:eastAsia="Times New Roman" w:hAnsi="Times New Roman"/>
          <w:sz w:val="20"/>
          <w:szCs w:val="20"/>
          <w:color w:val="auto"/>
        </w:rPr>
        <w:t>Net investment returns are reported in the net appreciation in fair value of investments and reflect certain fees paid by the various investment funds to their affiliated investment advisors, transfer agents, and others as further described in each fund prospectus or other published documents. These fees are deducted prior to allocation of the Plan’s investment earnings activity and thus not separately identifiable as an expense.</w:t>
      </w:r>
    </w:p>
    <w:p>
      <w:pPr>
        <w:spacing w:after="0" w:line="189"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233"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12"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20"/>
          <w:szCs w:val="20"/>
          <w:b w:val="1"/>
          <w:bCs w:val="1"/>
          <w:color w:val="auto"/>
        </w:rPr>
        <w:t>Plan Expenses</w:t>
      </w:r>
    </w:p>
    <w:p>
      <w:pPr>
        <w:spacing w:after="0" w:line="233" w:lineRule="exact"/>
        <w:rPr>
          <w:sz w:val="20"/>
          <w:szCs w:val="20"/>
          <w:color w:val="auto"/>
        </w:rPr>
      </w:pPr>
    </w:p>
    <w:p>
      <w:pPr>
        <w:jc w:val="both"/>
        <w:ind w:left="372"/>
        <w:spacing w:after="0" w:line="254" w:lineRule="auto"/>
        <w:rPr>
          <w:sz w:val="20"/>
          <w:szCs w:val="20"/>
          <w:color w:val="auto"/>
        </w:rPr>
      </w:pPr>
      <w:r>
        <w:rPr>
          <w:rFonts w:ascii="Times New Roman" w:cs="Times New Roman" w:eastAsia="Times New Roman" w:hAnsi="Times New Roman"/>
          <w:sz w:val="20"/>
          <w:szCs w:val="20"/>
          <w:color w:val="auto"/>
        </w:rPr>
        <w:t>The Plan Document states that at the discretion of the Plan’s sponsor, any administrative expenses can be paid by either the Plan or the Plan’s sponsor. For the years ended December 31, 2025 and 2024, administrative expenses totaling $62,547 and $59,096, respectively, were paid for by the Plan.</w:t>
      </w:r>
    </w:p>
    <w:p>
      <w:pPr>
        <w:spacing w:after="0" w:line="278" w:lineRule="exact"/>
        <w:rPr>
          <w:sz w:val="20"/>
          <w:szCs w:val="20"/>
          <w:color w:val="auto"/>
        </w:rPr>
      </w:pPr>
    </w:p>
    <w:p>
      <w:pPr>
        <w:ind w:left="372" w:hanging="372"/>
        <w:spacing w:after="0"/>
        <w:tabs>
          <w:tab w:leader="none" w:pos="372"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327" w:lineRule="exact"/>
        <w:rPr>
          <w:rFonts w:ascii="Times New Roman" w:cs="Times New Roman" w:eastAsia="Times New Roman" w:hAnsi="Times New Roman"/>
          <w:sz w:val="20"/>
          <w:szCs w:val="20"/>
          <w:b w:val="1"/>
          <w:bCs w:val="1"/>
          <w:color w:val="auto"/>
        </w:rPr>
      </w:pPr>
    </w:p>
    <w:p>
      <w:pPr>
        <w:jc w:val="both"/>
        <w:ind w:left="372"/>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75" w:lineRule="exact"/>
        <w:rPr>
          <w:rFonts w:ascii="Times New Roman" w:cs="Times New Roman" w:eastAsia="Times New Roman" w:hAnsi="Times New Roman"/>
          <w:sz w:val="20"/>
          <w:szCs w:val="20"/>
          <w:b w:val="1"/>
          <w:bCs w:val="1"/>
          <w:color w:val="auto"/>
        </w:rPr>
      </w:pPr>
    </w:p>
    <w:p>
      <w:pPr>
        <w:ind w:left="372"/>
        <w:spacing w:after="0" w:line="27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Inputs to the valuation methodology are unadjusted quoted prices for identical assets or liabilities in active markets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has the ability to access.</w:t>
      </w:r>
    </w:p>
    <w:p>
      <w:pPr>
        <w:spacing w:after="0" w:line="313" w:lineRule="exact"/>
        <w:rPr>
          <w:rFonts w:ascii="Times New Roman" w:cs="Times New Roman" w:eastAsia="Times New Roman" w:hAnsi="Times New Roman"/>
          <w:sz w:val="20"/>
          <w:szCs w:val="20"/>
          <w:b w:val="1"/>
          <w:bCs w:val="1"/>
          <w:color w:val="auto"/>
        </w:rPr>
      </w:pPr>
    </w:p>
    <w:p>
      <w:pPr>
        <w:ind w:left="5572" w:hanging="136"/>
        <w:spacing w:after="0"/>
        <w:tabs>
          <w:tab w:leader="none" w:pos="5572"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52"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Inputs to the valuation methodology include: quoted prices for similar assets or liabilities in active markets; quoted prices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identical or similar assets or liabilities in inactive markets; inputs other than quoted prices that are observable for the asset or liability;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Inputs to the valuation methodology are unobservable and insignificant to the fair value measurement.</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description of the valuation methodologies used for assets measured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Level 1 Fair Value Measurements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fair value of the self-directed brokerage accounts, including common and preferred stock, unit investment trusts, employer stock and money market funds are based on quoted market prices. All investments are participant-directed.</w:t>
      </w:r>
    </w:p>
    <w:p>
      <w:pPr>
        <w:spacing w:after="0" w:line="1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Mutual funds are valued at the daily closing price as reported by the fund. Mutual funds held by the Plan are open-end mutual funds that are registered with the U.S. Securities and Exchange Commission. These funds are required to publish their daily net asset value and to transact at that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Level 2 Fair Value Measurements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Fixed annuities are valued at fair value by discounting the related cash flows based on current yields of similar instruments with comparable durations considering the credit-worthiness of the issuer. The fair value of the investment contract approximates contract value as of December 31, 2025 and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at NAV Practical Expedient</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Collective trust funds are valued at their net asset value ("NAV") on the last day of the calendar year of the period; as a result, these investments are not classified within the fair value hierarchy. Collective funds are comprised of units in such collective trust funds that are not publicly traded. The underlying assets in these funds are valued where applicable on exchanges and price quotes for the assets held by these funds are readily available. When current market prices or quotations are not available, valuations are determined using valuation models adopted by the trustee or other inputs principally from or corroborated by observable market data. The Plan held collective trust funds at December 31, 2025 and 2024 as described below.</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State Street Aggregate Bond Index Fund - Class K – The State Street Aggregate Bond Index Fund (the "fund") seeks to provide investment results that, before fees and expenses, correspond generally to the price and yield performance of an index that tracks the U.S. dollar denominated investment grade bond market over the long term. This fund is not FDIC-insured. There are no unfunded commitments and no withdrawal restrictions.</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5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2025</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17,912,772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17,912,772</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Fixed Annuities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278,082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278,082</w:t>
            </w:r>
          </w:p>
        </w:tc>
        <w:tc>
          <w:tcPr>
            <w:tcW w:w="120" w:type="dxa"/>
            <w:vAlign w:val="bottom"/>
          </w:tcPr>
          <w:p>
            <w:pPr>
              <w:spacing w:after="0"/>
              <w:rPr>
                <w:sz w:val="18"/>
                <w:szCs w:val="18"/>
                <w:color w:val="auto"/>
              </w:rPr>
            </w:pPr>
          </w:p>
        </w:tc>
      </w:tr>
      <w:tr>
        <w:trPr>
          <w:trHeight w:val="210"/>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17,912,772</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278,082</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18,190,854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Self-directed brokerage accounts: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stock-employer stock</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1,754,416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1,754,416</w:t>
            </w:r>
          </w:p>
        </w:tc>
        <w:tc>
          <w:tcPr>
            <w:tcW w:w="12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345,014</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self-directed brokerage accounts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2,099,430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2,099,430</w:t>
            </w:r>
          </w:p>
        </w:tc>
        <w:tc>
          <w:tcPr>
            <w:tcW w:w="12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Collective Trust Funds(a)</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493,639</w:t>
            </w: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20,012,202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278,082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20,783,923</w:t>
            </w:r>
          </w:p>
        </w:tc>
        <w:tc>
          <w:tcPr>
            <w:tcW w:w="1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-1285240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-1285240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-1285240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-727710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-727710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-727710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-727710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2024</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15,908,553</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15,908,553</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Fixed Annuities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457,782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457,782</w:t>
            </w:r>
          </w:p>
        </w:tc>
        <w:tc>
          <w:tcPr>
            <w:tcW w:w="120" w:type="dxa"/>
            <w:vAlign w:val="bottom"/>
          </w:tcPr>
          <w:p>
            <w:pPr>
              <w:spacing w:after="0"/>
              <w:rPr>
                <w:sz w:val="18"/>
                <w:szCs w:val="18"/>
                <w:color w:val="auto"/>
              </w:rPr>
            </w:pPr>
          </w:p>
        </w:tc>
      </w:tr>
      <w:tr>
        <w:trPr>
          <w:trHeight w:val="210"/>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15,908,553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457,782</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16,366,335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Self-directed brokerage accounts: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stock-employer stock</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2,479,730</w:t>
            </w:r>
          </w:p>
        </w:tc>
        <w:tc>
          <w:tcPr>
            <w:tcW w:w="12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761,621</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761,621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self-directed brokerage accounts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3,241,351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3,241,351</w:t>
            </w:r>
          </w:p>
        </w:tc>
        <w:tc>
          <w:tcPr>
            <w:tcW w:w="120" w:type="dxa"/>
            <w:vAlign w:val="bottom"/>
          </w:tcPr>
          <w:p>
            <w:pPr>
              <w:spacing w:after="0"/>
              <w:rPr>
                <w:sz w:val="18"/>
                <w:szCs w:val="18"/>
                <w:color w:val="auto"/>
              </w:rPr>
            </w:pPr>
          </w:p>
        </w:tc>
      </w:tr>
      <w:tr>
        <w:trPr>
          <w:trHeight w:val="210"/>
        </w:trPr>
        <w:tc>
          <w:tcPr>
            <w:tcW w:w="4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Collective Trust Funds(a)</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446,807</w:t>
            </w: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19,149,904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457,782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20,054,493</w:t>
            </w:r>
          </w:p>
        </w:tc>
        <w:tc>
          <w:tcPr>
            <w:tcW w:w="1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-1285240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-1285240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-1285240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-728345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-728345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-728345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8"/>
        <w:spacing w:after="0" w:line="266" w:lineRule="auto"/>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Accounting Standards Codification (“ASC”) Subtopic 820-10, certain investments that were measured at net asset value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328" w:lineRule="exact"/>
        <w:rPr>
          <w:rFonts w:ascii="Times New Roman" w:cs="Times New Roman" w:eastAsia="Times New Roman" w:hAnsi="Times New Roman"/>
          <w:sz w:val="18"/>
          <w:szCs w:val="18"/>
          <w:color w:val="auto"/>
        </w:rPr>
      </w:pPr>
    </w:p>
    <w:p>
      <w:pPr>
        <w:ind w:left="5580" w:hanging="136"/>
        <w:spacing w:after="0"/>
        <w:tabs>
          <w:tab w:leader="none" w:pos="55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1" w:name="page12"/>
    <w:bookmarkEnd w:id="11"/>
    <w:p>
      <w:pPr>
        <w:ind w:left="372" w:hanging="372"/>
        <w:spacing w:after="0"/>
        <w:tabs>
          <w:tab w:leader="none" w:pos="372"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STATUS</w:t>
      </w:r>
    </w:p>
    <w:p>
      <w:pPr>
        <w:spacing w:after="0" w:line="219" w:lineRule="exact"/>
        <w:rPr>
          <w:rFonts w:ascii="Times New Roman" w:cs="Times New Roman" w:eastAsia="Times New Roman" w:hAnsi="Times New Roman"/>
          <w:sz w:val="20"/>
          <w:szCs w:val="20"/>
          <w:b w:val="1"/>
          <w:bCs w:val="1"/>
          <w:color w:val="auto"/>
        </w:rPr>
      </w:pPr>
    </w:p>
    <w:p>
      <w:pPr>
        <w:jc w:val="both"/>
        <w:ind w:left="372"/>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is operating under a non-standardized prototype cash or deferred profit-sharing plan sponsored by Lifetime Benefit Solutions. The prototype plan obtained its latest determination letter on June 30, 2020, in which the Internal Revenue Service stated that the prototype plan, as then designed, was in compliance with the applicable requirements of the Internal Revenue Code. The Plan has been amended since receiving the determination letter. However, the Plan Administrator and its advisors believe that the Plan is currently designed and being operated in compliance with the applicable regulations of the Internal Revenue Code. Therefore, they believe that the Plan is qualified and the related trust is tax-exempt.</w:t>
      </w:r>
    </w:p>
    <w:p>
      <w:pPr>
        <w:spacing w:after="0" w:line="301" w:lineRule="exact"/>
        <w:rPr>
          <w:rFonts w:ascii="Times New Roman" w:cs="Times New Roman" w:eastAsia="Times New Roman" w:hAnsi="Times New Roman"/>
          <w:sz w:val="20"/>
          <w:szCs w:val="20"/>
          <w:b w:val="1"/>
          <w:bCs w:val="1"/>
          <w:color w:val="auto"/>
        </w:rPr>
      </w:pPr>
    </w:p>
    <w:p>
      <w:pPr>
        <w:ind w:left="372" w:hanging="372"/>
        <w:spacing w:after="0"/>
        <w:tabs>
          <w:tab w:leader="none" w:pos="372"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PARTY-IN-INTEREST</w:t>
      </w:r>
    </w:p>
    <w:p>
      <w:pPr>
        <w:spacing w:after="0" w:line="233" w:lineRule="exact"/>
        <w:rPr>
          <w:rFonts w:ascii="Times New Roman" w:cs="Times New Roman" w:eastAsia="Times New Roman" w:hAnsi="Times New Roman"/>
          <w:sz w:val="20"/>
          <w:szCs w:val="20"/>
          <w:b w:val="1"/>
          <w:bCs w:val="1"/>
          <w:color w:val="auto"/>
        </w:rPr>
      </w:pPr>
    </w:p>
    <w:p>
      <w:pPr>
        <w:ind w:left="37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Certain Plan investments are shares of registered investment companies that are managed by the trustee of the Plan’s assets, therefore these transactions qualify as party-in-interest.</w:t>
      </w:r>
    </w:p>
    <w:p>
      <w:pPr>
        <w:spacing w:after="0" w:line="159" w:lineRule="exact"/>
        <w:rPr>
          <w:rFonts w:ascii="Times New Roman" w:cs="Times New Roman" w:eastAsia="Times New Roman" w:hAnsi="Times New Roman"/>
          <w:sz w:val="20"/>
          <w:szCs w:val="20"/>
          <w:b w:val="1"/>
          <w:bCs w:val="1"/>
          <w:color w:val="auto"/>
        </w:rPr>
      </w:pPr>
    </w:p>
    <w:p>
      <w:pPr>
        <w:jc w:val="both"/>
        <w:ind w:left="372"/>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2025 and 2024, the Plan provided participants the election of an investment in Pathfinder Bancorp, Inc.’s common stock through self-directed brokerage accounts. As of December 31, 2025, the Plan held 124,338 shares of Pathfinder Bancorp, Inc.’s common stock fund at a per-share price of $14.03. As of December 31, 2024, the Plan held 145,353 shares of Pathfinder Bancorp, Inc.’s common stock fund at a per-share price of $17.06.</w:t>
      </w:r>
    </w:p>
    <w:p>
      <w:pPr>
        <w:spacing w:after="0" w:line="179" w:lineRule="exact"/>
        <w:rPr>
          <w:rFonts w:ascii="Times New Roman" w:cs="Times New Roman" w:eastAsia="Times New Roman" w:hAnsi="Times New Roman"/>
          <w:sz w:val="20"/>
          <w:szCs w:val="20"/>
          <w:b w:val="1"/>
          <w:bCs w:val="1"/>
          <w:color w:val="auto"/>
        </w:rPr>
      </w:pPr>
    </w:p>
    <w:p>
      <w:pPr>
        <w:jc w:val="both"/>
        <w:ind w:left="37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addition, the Plan issues notes receivable to participants, which are secured by the balances in the participants’ accounts. Therefore, related transactions qualify as party-in-interest transactions. All other transactions which may be considered party-in-interest transactions relate to normal plan management and administrative services, and the related payment of fees.</w:t>
      </w:r>
    </w:p>
    <w:p>
      <w:pPr>
        <w:spacing w:after="0" w:line="237" w:lineRule="exact"/>
        <w:rPr>
          <w:rFonts w:ascii="Times New Roman" w:cs="Times New Roman" w:eastAsia="Times New Roman" w:hAnsi="Times New Roman"/>
          <w:sz w:val="20"/>
          <w:szCs w:val="20"/>
          <w:b w:val="1"/>
          <w:bCs w:val="1"/>
          <w:color w:val="auto"/>
        </w:rPr>
      </w:pPr>
    </w:p>
    <w:p>
      <w:pPr>
        <w:ind w:left="372" w:hanging="372"/>
        <w:spacing w:after="0"/>
        <w:tabs>
          <w:tab w:leader="none" w:pos="372"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PLAN TERMINATION</w:t>
      </w:r>
    </w:p>
    <w:p>
      <w:pPr>
        <w:spacing w:after="0" w:line="233" w:lineRule="exact"/>
        <w:rPr>
          <w:rFonts w:ascii="Times New Roman" w:cs="Times New Roman" w:eastAsia="Times New Roman" w:hAnsi="Times New Roman"/>
          <w:sz w:val="20"/>
          <w:szCs w:val="20"/>
          <w:b w:val="1"/>
          <w:bCs w:val="1"/>
          <w:color w:val="auto"/>
        </w:rPr>
      </w:pPr>
    </w:p>
    <w:p>
      <w:pPr>
        <w:jc w:val="both"/>
        <w:ind w:left="37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Although it has not expressed any intent to do so, the Bank has the right under the Plan to discontinue its contributions at any time and to terminate the Plan subject to the provisions of ERISA. In the event of Plan termination, participants would become 100% vested in their entire account.</w:t>
      </w:r>
    </w:p>
    <w:p>
      <w:pPr>
        <w:spacing w:after="0" w:line="170" w:lineRule="exact"/>
        <w:rPr>
          <w:rFonts w:ascii="Times New Roman" w:cs="Times New Roman" w:eastAsia="Times New Roman" w:hAnsi="Times New Roman"/>
          <w:sz w:val="20"/>
          <w:szCs w:val="20"/>
          <w:b w:val="1"/>
          <w:bCs w:val="1"/>
          <w:color w:val="auto"/>
        </w:rPr>
      </w:pPr>
    </w:p>
    <w:p>
      <w:pPr>
        <w:ind w:left="372" w:hanging="372"/>
        <w:spacing w:after="0"/>
        <w:tabs>
          <w:tab w:leader="none" w:pos="372"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RISKS AND UNCERTAINTIES</w:t>
      </w:r>
    </w:p>
    <w:p>
      <w:pPr>
        <w:spacing w:after="0" w:line="233" w:lineRule="exact"/>
        <w:rPr>
          <w:rFonts w:ascii="Times New Roman" w:cs="Times New Roman" w:eastAsia="Times New Roman" w:hAnsi="Times New Roman"/>
          <w:sz w:val="20"/>
          <w:szCs w:val="20"/>
          <w:b w:val="1"/>
          <w:bCs w:val="1"/>
          <w:color w:val="auto"/>
        </w:rPr>
      </w:pPr>
    </w:p>
    <w:p>
      <w:pPr>
        <w:jc w:val="both"/>
        <w:ind w:left="372"/>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336" w:lineRule="exact"/>
        <w:rPr>
          <w:rFonts w:ascii="Times New Roman" w:cs="Times New Roman" w:eastAsia="Times New Roman" w:hAnsi="Times New Roman"/>
          <w:sz w:val="20"/>
          <w:szCs w:val="20"/>
          <w:b w:val="1"/>
          <w:bCs w:val="1"/>
          <w:color w:val="auto"/>
        </w:rPr>
      </w:pPr>
    </w:p>
    <w:p>
      <w:pPr>
        <w:ind w:left="5512" w:hanging="130"/>
        <w:spacing w:after="0"/>
        <w:tabs>
          <w:tab w:leader="none" w:pos="5512"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5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PATHFINDER BANK 401(K) SAVINGS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H - LINE 4(i) - SCHEDULE OF ASSETS (Held at End of Year)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EIN: 15-0408130 PLAN NUMBER: 002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0637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hanging="399"/>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Identity of Issuer, Borrower, Lessor or Similar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91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 of Investment Including Maturity Date, Rate of</w:t>
      </w:r>
    </w:p>
    <w:p>
      <w:pPr>
        <w:spacing w:after="0" w:line="26" w:lineRule="exact"/>
        <w:rPr>
          <w:sz w:val="20"/>
          <w:szCs w:val="20"/>
          <w:color w:val="auto"/>
        </w:rPr>
      </w:pPr>
    </w:p>
    <w:p>
      <w:pPr>
        <w:ind w:left="420"/>
        <w:spacing w:after="0"/>
        <w:tabs>
          <w:tab w:leader="none" w:pos="4340" w:val="left"/>
          <w:tab w:leader="none" w:pos="5280" w:val="left"/>
        </w:tabs>
        <w:rPr>
          <w:sz w:val="20"/>
          <w:szCs w:val="20"/>
          <w:color w:val="auto"/>
        </w:rPr>
      </w:pPr>
      <w:r>
        <w:rPr>
          <w:rFonts w:ascii="Times New Roman" w:cs="Times New Roman" w:eastAsia="Times New Roman" w:hAnsi="Times New Roman"/>
          <w:sz w:val="16"/>
          <w:szCs w:val="16"/>
          <w:color w:val="auto"/>
        </w:rPr>
        <w:t>Interest, Collateral, Par, or Maturity Value (c )</w:t>
      </w:r>
      <w:r>
        <w:rPr>
          <w:sz w:val="20"/>
          <w:szCs w:val="20"/>
          <w:color w:val="auto"/>
        </w:rPr>
        <w:tab/>
      </w:r>
      <w:r>
        <w:rPr>
          <w:rFonts w:ascii="Times New Roman" w:cs="Times New Roman" w:eastAsia="Times New Roman" w:hAnsi="Times New Roman"/>
          <w:sz w:val="16"/>
          <w:szCs w:val="16"/>
          <w:color w:val="auto"/>
        </w:rPr>
        <w:t>Cost (d)</w:t>
      </w:r>
      <w:r>
        <w:rPr>
          <w:sz w:val="20"/>
          <w:szCs w:val="20"/>
          <w:color w:val="auto"/>
        </w:rPr>
        <w:tab/>
      </w:r>
      <w:r>
        <w:rPr>
          <w:rFonts w:ascii="Times New Roman" w:cs="Times New Roman" w:eastAsia="Times New Roman" w:hAnsi="Times New Roman"/>
          <w:sz w:val="16"/>
          <w:szCs w:val="16"/>
          <w:color w:val="auto"/>
        </w:rPr>
        <w:t>Current Value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15875</wp:posOffset>
            </wp:positionV>
            <wp:extent cx="4243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460"/>
            <w:col w:w="6660"/>
          </w:cols>
          <w:pgMar w:left="320" w:top="1163" w:right="3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  Pathfinder Bancorp,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1,754,416</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Alphabet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406</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Amazon.com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Apple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32,524</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Ascent Solar Technologies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Broadcom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Canopy Growth Corp</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Chipotle Mexican Grill</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5,550</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Clearway Energy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Constellation Energy</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3,188</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Crowdstrike Holdings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Embecta Corporation</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1,141</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Exelixis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 Aerospace</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3,696</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GE Heathcare Techno</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 Vernova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1,961</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Gilead Sciences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r>
      <w:tr>
        <w:trPr>
          <w:trHeight w:val="202"/>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Global Technologies</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Jet Blue Airways Corp</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Keycorp</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845</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Kinross Gold Corp</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 &amp; T Bank Corp</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11,887</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Microsoft Corp</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Netflix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NVIDIA Corp</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97,006</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Palantir Technolgies</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Palo Alto Networks</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389</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Paypal Holdings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Planet Fitness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12,359</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Pyxis Oncology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Robinhood Mkts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Sofi Technologies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Sorrento Theraputics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Tesla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1,374</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Tilray Inc</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Uber Technologies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2,451</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Vanguard S&amp;P 500</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Mutual Funds</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627</w:t>
            </w:r>
          </w:p>
        </w:tc>
      </w:tr>
      <w:tr>
        <w:trPr>
          <w:trHeight w:val="202"/>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Verisign Inc</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Vertex Pharmaceutical</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Vistra Corp</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Walt Disney</w:t>
            </w:r>
          </w:p>
        </w:tc>
        <w:tc>
          <w:tcPr>
            <w:tcW w:w="39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808</w:t>
            </w:r>
          </w:p>
        </w:tc>
      </w:tr>
      <w:tr>
        <w:trPr>
          <w:trHeight w:val="210"/>
        </w:trPr>
        <w:tc>
          <w:tcPr>
            <w:tcW w:w="3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Schwab Money Market Portfolio</w:t>
            </w:r>
          </w:p>
        </w:tc>
        <w:tc>
          <w:tcPr>
            <w:tcW w:w="39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Money Market Fund</w:t>
            </w: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167,257</w:t>
            </w:r>
          </w:p>
        </w:tc>
      </w:tr>
    </w:tbl>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PATHFINDER BANK 401(K) SAVINGS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EIN: 15-0408130 PLAN NUMBER: 002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0637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Description of Investment Including Maturity Date, Rate of</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Identity of Issuer, Borrower, Lessor or Similar Party (b)</w:t>
            </w:r>
          </w:p>
        </w:tc>
        <w:tc>
          <w:tcPr>
            <w:tcW w:w="4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Interest, Collateral, Par, or Maturity Value (c )</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Cost (d)</w:t>
            </w: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Value (e)</w:t>
            </w:r>
          </w:p>
        </w:tc>
      </w:tr>
      <w:tr>
        <w:trPr>
          <w:trHeight w:val="199"/>
        </w:trPr>
        <w:tc>
          <w:tcPr>
            <w:tcW w:w="4280" w:type="dxa"/>
            <w:vAlign w:val="bottom"/>
            <w:tcBorders>
              <w:top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American Funds American Mutual R6</w:t>
            </w:r>
          </w:p>
        </w:tc>
        <w:tc>
          <w:tcPr>
            <w:tcW w:w="440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1,790,723</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American Funds Bond Fund of Amer R6</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735,427</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American Funds Emerging Markets BD R6</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82,608</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American Funds New World R6</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660,551</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BlackRock High Yield Bond Portfolio K</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174,155</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ClearBridge Select IS</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451,949</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EI Fixed Account</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Fixed Annuity</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278,082</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Fidelity 500 Index</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2,263,513</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Fidelity Advisor Intl Small Cap Z</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405,336</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Fidelity Advisor Small Cap Value Z</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293,592</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Fidelity Mid Cap Index</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846,968</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Fidelity Small Cap Index</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581,333</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Franklin DynaTech R6</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1,823,631</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Franklin Intl Growth R6</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262,150</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Janus Henderson Contrarian N</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203,474</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JPMorgan Hedged Equity 2 R6</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117,128</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Lord Abbett Bond Debenture R6</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268,145</w:t>
            </w:r>
          </w:p>
        </w:tc>
        <w:tc>
          <w:tcPr>
            <w:tcW w:w="100" w:type="dxa"/>
            <w:vAlign w:val="bottom"/>
            <w:shd w:val="clear" w:color="auto" w:fill="CFF0FC"/>
          </w:tcPr>
          <w:p>
            <w:pPr>
              <w:spacing w:after="0"/>
              <w:rPr>
                <w:sz w:val="17"/>
                <w:szCs w:val="17"/>
                <w:color w:val="auto"/>
              </w:rPr>
            </w:pPr>
          </w:p>
        </w:tc>
      </w:tr>
      <w:tr>
        <w:trPr>
          <w:trHeight w:val="202"/>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Lord Abbett Developing Growth R6</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197,921</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PGIM QMA International Equity R6</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514,273</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PGIM US Real Estate R6</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151,241</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PIMCO Int Bond (USD-Hedged) Inst</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Street Global Eq ex-US Index K</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184,741</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2025 K</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500,572</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2030 K</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1,260,636</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2035 K</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110,560</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2040 K</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133,542</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2045 K</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1,539,879</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2050 K</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749,285</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2055 K</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777,738</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2060 K</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115,177</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2065 K</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168,242</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Street Target Retirement K</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430,257</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  Western Asset Core Bond IS</w:t>
            </w: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117,166</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State Street US Bond Index Non-Lending K</w:t>
            </w: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Collective Trust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493,639</w:t>
            </w:r>
          </w:p>
        </w:tc>
        <w:tc>
          <w:tcPr>
            <w:tcW w:w="100" w:type="dxa"/>
            <w:vAlign w:val="bottom"/>
          </w:tcPr>
          <w:p>
            <w:pPr>
              <w:spacing w:after="0"/>
              <w:rPr>
                <w:sz w:val="17"/>
                <w:szCs w:val="17"/>
                <w:color w:val="auto"/>
              </w:rPr>
            </w:pPr>
          </w:p>
        </w:tc>
      </w:tr>
      <w:tr>
        <w:trPr>
          <w:trHeight w:val="203"/>
        </w:trPr>
        <w:tc>
          <w:tcPr>
            <w:tcW w:w="42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  Notes receivable from participants</w:t>
            </w:r>
          </w:p>
        </w:tc>
        <w:tc>
          <w:tcPr>
            <w:tcW w:w="4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4.25% - 9.50%</w:t>
            </w:r>
          </w:p>
        </w:tc>
        <w:tc>
          <w:tcPr>
            <w:tcW w:w="1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435,889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4"/>
        </w:trPr>
        <w:tc>
          <w:tcPr>
            <w:tcW w:w="42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21,219,812</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-4445</wp:posOffset>
            </wp:positionV>
            <wp:extent cx="848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ind w:left="160"/>
        <w:spacing w:after="0"/>
        <w:tabs>
          <w:tab w:leader="none" w:pos="360" w:val="left"/>
        </w:tabs>
        <w:rPr>
          <w:sz w:val="20"/>
          <w:szCs w:val="20"/>
          <w:color w:val="auto"/>
        </w:rPr>
      </w:pPr>
      <w:r>
        <w:rPr>
          <w:rFonts w:ascii="Times New Roman" w:cs="Times New Roman" w:eastAsia="Times New Roman" w:hAnsi="Times New Roman"/>
          <w:sz w:val="16"/>
          <w:szCs w:val="16"/>
          <w:color w:val="auto"/>
        </w:rPr>
        <w:t>*</w:t>
        <w:tab/>
        <w:t>Denotes party-in-interest.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-116205</wp:posOffset>
            </wp:positionV>
            <wp:extent cx="848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6" w:lineRule="exact"/>
        <w:rPr>
          <w:sz w:val="20"/>
          <w:szCs w:val="20"/>
          <w:color w:val="auto"/>
        </w:rPr>
      </w:pPr>
    </w:p>
    <w:p>
      <w:pPr>
        <w:ind w:left="380" w:right="5500" w:hanging="271"/>
        <w:spacing w:after="0" w:line="552"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cost has not been presented since this investment is participant-directed. The accompanying notes are an integral part of this schedule.</w:t>
      </w:r>
    </w:p>
    <w:p>
      <w:pPr>
        <w:spacing w:after="0" w:line="117" w:lineRule="exact"/>
        <w:rPr>
          <w:rFonts w:ascii="Times New Roman" w:cs="Times New Roman" w:eastAsia="Times New Roman" w:hAnsi="Times New Roman"/>
          <w:sz w:val="16"/>
          <w:szCs w:val="16"/>
          <w:color w:val="auto"/>
        </w:rPr>
      </w:pPr>
    </w:p>
    <w:p>
      <w:pPr>
        <w:ind w:left="5520" w:hanging="130"/>
        <w:spacing w:after="0"/>
        <w:tabs>
          <w:tab w:leader="none" w:pos="552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PATHFINDER BANCORP, INC.</w:t>
            </w:r>
          </w:p>
        </w:tc>
      </w:tr>
      <w:tr>
        <w:trPr>
          <w:trHeight w:val="256"/>
        </w:trPr>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4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20"/>
                <w:szCs w:val="20"/>
                <w:color w:val="auto"/>
              </w:rPr>
              <w:t>(registrant)</w:t>
            </w:r>
          </w:p>
        </w:tc>
        <w:tc>
          <w:tcPr>
            <w:tcW w:w="2500" w:type="dxa"/>
            <w:vAlign w:val="bottom"/>
            <w:gridSpan w:val="2"/>
          </w:tcPr>
          <w:p>
            <w:pPr>
              <w:spacing w:after="0"/>
              <w:rPr>
                <w:sz w:val="22"/>
                <w:szCs w:val="22"/>
                <w:color w:val="auto"/>
              </w:rPr>
            </w:pPr>
          </w:p>
        </w:tc>
      </w:tr>
      <w:tr>
        <w:trPr>
          <w:trHeight w:val="615"/>
        </w:trPr>
        <w:tc>
          <w:tcPr>
            <w:tcW w:w="2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June 17, 2026</w:t>
            </w:r>
          </w:p>
        </w:tc>
        <w:tc>
          <w:tcPr>
            <w:tcW w:w="900" w:type="dxa"/>
            <w:vAlign w:val="bottom"/>
          </w:tcPr>
          <w:p>
            <w:pPr>
              <w:spacing w:after="0"/>
              <w:rPr>
                <w:sz w:val="24"/>
                <w:szCs w:val="24"/>
                <w:color w:val="auto"/>
              </w:rPr>
            </w:pPr>
          </w:p>
        </w:tc>
        <w:tc>
          <w:tcPr>
            <w:tcW w:w="5340" w:type="dxa"/>
            <w:vAlign w:val="bottom"/>
            <w:gridSpan w:val="4"/>
          </w:tcPr>
          <w:p>
            <w:pPr>
              <w:ind w:left="2320"/>
              <w:spacing w:after="0"/>
              <w:rPr>
                <w:sz w:val="20"/>
                <w:szCs w:val="20"/>
                <w:color w:val="auto"/>
              </w:rPr>
            </w:pPr>
            <w:r>
              <w:rPr>
                <w:rFonts w:ascii="Times New Roman" w:cs="Times New Roman" w:eastAsia="Times New Roman" w:hAnsi="Times New Roman"/>
                <w:sz w:val="20"/>
                <w:szCs w:val="20"/>
                <w:color w:val="auto"/>
              </w:rPr>
              <w:t>/s/ James A. Dowd</w:t>
            </w:r>
          </w:p>
        </w:tc>
      </w:tr>
      <w:tr>
        <w:trPr>
          <w:trHeight w:val="20"/>
        </w:trPr>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7"/>
        </w:trPr>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40" w:type="dxa"/>
            <w:vAlign w:val="bottom"/>
            <w:gridSpan w:val="4"/>
          </w:tcPr>
          <w:p>
            <w:pPr>
              <w:ind w:left="2320"/>
              <w:spacing w:after="0" w:line="228" w:lineRule="exact"/>
              <w:rPr>
                <w:sz w:val="20"/>
                <w:szCs w:val="20"/>
                <w:color w:val="auto"/>
              </w:rPr>
            </w:pPr>
            <w:r>
              <w:rPr>
                <w:rFonts w:ascii="Times New Roman" w:cs="Times New Roman" w:eastAsia="Times New Roman" w:hAnsi="Times New Roman"/>
                <w:sz w:val="20"/>
                <w:szCs w:val="20"/>
                <w:color w:val="auto"/>
              </w:rPr>
              <w:t>James A. Dowd</w:t>
            </w:r>
          </w:p>
        </w:tc>
      </w:tr>
      <w:tr>
        <w:trPr>
          <w:trHeight w:val="258"/>
        </w:trPr>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340" w:type="dxa"/>
            <w:vAlign w:val="bottom"/>
            <w:gridSpan w:val="4"/>
          </w:tcPr>
          <w:p>
            <w:pPr>
              <w:ind w:left="2320"/>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52"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the reference in the Registration Statement (No. 333-202081) on Form S-8 of Pathfinder Bancorp, Inc. of our report dated June 17, 2026, appearing in this annual Report on Form 11-K of the Pathfinder Bank 401 (k) Savings Plan for the year ended December 31, 2025.</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Bonadio &amp; Co.,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Amherst, New York</w:t>
      </w:r>
    </w:p>
    <w:p>
      <w:pPr>
        <w:spacing w:after="0"/>
        <w:rPr>
          <w:sz w:val="20"/>
          <w:szCs w:val="20"/>
          <w:color w:val="auto"/>
        </w:rPr>
      </w:pPr>
      <w:r>
        <w:rPr>
          <w:rFonts w:ascii="Times New Roman" w:cs="Times New Roman" w:eastAsia="Times New Roman" w:hAnsi="Times New Roman"/>
          <w:sz w:val="20"/>
          <w:szCs w:val="20"/>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
      <w:numFmt w:val="bullet"/>
      <w:start w:val="1"/>
    </w:lvl>
  </w:abstractNum>
  <w:abstractNum w:abstractNumId="3">
    <w:nsid w:val="507ED7AB"/>
    <w:multiLevelType w:val="hybridMultilevel"/>
    <w:lvl w:ilvl="0">
      <w:lvlJc w:val="left"/>
      <w:lvlText w:val="%1."/>
      <w:numFmt w:val="decimal"/>
      <w:start w:val="3"/>
    </w:lvl>
    <w:lvl w:ilvl="1">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
      <w:numFmt w:val="bullet"/>
      <w:start w:val="1"/>
    </w:lvl>
  </w:abstractNum>
  <w:abstractNum w:abstractNumId="5">
    <w:nsid w:val="41B71EFB"/>
    <w:multiLevelType w:val="hybridMultilevel"/>
    <w:lvl w:ilvl="0">
      <w:lvlJc w:val="left"/>
      <w:lvlText w:val="%1."/>
      <w:numFmt w:val="decimal"/>
      <w:start w:val="4"/>
    </w:lvl>
    <w:lvl w:ilvl="1">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2026-06-17T09:45:25Z</dcterms:created>
  <dcterms:modified xsi:type="dcterms:W3CDTF">2026-06-17T09:45:25Z</dcterms:modified>
</cp:coreProperties>
</file>