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6" w:lineRule="exact"/>
        <w:rPr>
          <w:sz w:val="24"/>
          <w:szCs w:val="24"/>
          <w:color w:val="auto"/>
        </w:rPr>
      </w:pPr>
    </w:p>
    <w:p>
      <w:pPr>
        <w:ind w:left="3000" w:hanging="407"/>
        <w:spacing w:after="0"/>
        <w:tabs>
          <w:tab w:leader="none" w:pos="30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QUARTERLY REPORT PURSUANT TO SECTION 13 OR 15(d) OF THE</w:t>
      </w:r>
    </w:p>
    <w:p>
      <w:pPr>
        <w:spacing w:after="0" w:line="29" w:lineRule="exact"/>
        <w:rPr>
          <w:rFonts w:ascii="MS PGothic" w:cs="MS PGothic" w:eastAsia="MS PGothic" w:hAnsi="MS PGothic"/>
          <w:sz w:val="18"/>
          <w:szCs w:val="18"/>
          <w:color w:val="auto"/>
          <w:highlight w:val="black"/>
        </w:rPr>
      </w:pP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13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2980" w:hanging="387"/>
        <w:spacing w:after="0"/>
        <w:tabs>
          <w:tab w:leader="none" w:pos="2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128905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222885</wp:posOffset>
            </wp:positionV>
            <wp:extent cx="1825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113030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318"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001-36695</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38-3941859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08" w:lineRule="exact"/>
        <w:rPr>
          <w:sz w:val="24"/>
          <w:szCs w:val="24"/>
          <w:color w:val="auto"/>
        </w:rPr>
      </w:pPr>
    </w:p>
    <w:p>
      <w:pPr>
        <w:sectPr>
          <w:pgSz w:w="11900" w:h="16838" w:orient="portrait"/>
          <w:cols w:equalWidth="0" w:num="3">
            <w:col w:w="4080" w:space="720"/>
            <w:col w:w="2180" w:space="720"/>
            <w:col w:w="3540"/>
          </w:cols>
          <w:pgMar w:left="320" w:top="1215"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Oswego, NY 13126</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5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64"/>
        </w:trPr>
        <w:tc>
          <w:tcPr>
            <w:tcW w:w="30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0" w:type="dxa"/>
            <w:vAlign w:val="bottom"/>
          </w:tcPr>
          <w:p>
            <w:pPr>
              <w:spacing w:after="0"/>
              <w:rPr>
                <w:sz w:val="22"/>
                <w:szCs w:val="22"/>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PBHC</w:t>
            </w:r>
          </w:p>
        </w:tc>
        <w:tc>
          <w:tcPr>
            <w:tcW w:w="38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ind w:left="180"/>
        <w:spacing w:after="0" w:line="207" w:lineRule="exact"/>
        <w:tabs>
          <w:tab w:leader="none" w:pos="2280" w:val="left"/>
          <w:tab w:leader="none" w:pos="4020" w:val="left"/>
          <w:tab w:leader="none" w:pos="6160" w:val="left"/>
          <w:tab w:leader="none" w:pos="88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90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4, 2024, there were 4,719,788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 - FINANCIAL INFORMATION</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PAGE NO.</w:t>
            </w:r>
          </w:p>
        </w:tc>
      </w:tr>
      <w:tr>
        <w:trPr>
          <w:trHeight w:val="76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Consolidated Financial Statements (Unaudited)</w:t>
            </w:r>
          </w:p>
        </w:tc>
        <w:tc>
          <w:tcPr>
            <w:tcW w:w="49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Condition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Income</w:t>
            </w:r>
          </w:p>
        </w:tc>
        <w:tc>
          <w:tcPr>
            <w:tcW w:w="5680" w:type="dxa"/>
            <w:vAlign w:val="bottom"/>
            <w:gridSpan w:val="10"/>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Income (Loss)</w:t>
            </w:r>
          </w:p>
        </w:tc>
        <w:tc>
          <w:tcPr>
            <w:tcW w:w="20" w:type="dxa"/>
            <w:vAlign w:val="bottom"/>
            <w:tcBorders>
              <w:bottom w:val="single" w:sz="8" w:color="0000EE"/>
            </w:tcBorders>
          </w:tcPr>
          <w:p>
            <w:pPr>
              <w:spacing w:after="0"/>
              <w:rPr>
                <w:sz w:val="20"/>
                <w:szCs w:val="20"/>
                <w:color w:val="auto"/>
              </w:rPr>
            </w:pPr>
          </w:p>
        </w:tc>
        <w:tc>
          <w:tcPr>
            <w:tcW w:w="4000" w:type="dxa"/>
            <w:vAlign w:val="bottom"/>
            <w:gridSpan w:val="5"/>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Changes in Shareholders' Equity</w:t>
            </w:r>
          </w:p>
        </w:tc>
        <w:tc>
          <w:tcPr>
            <w:tcW w:w="3880" w:type="dxa"/>
            <w:vAlign w:val="bottom"/>
            <w:gridSpan w:val="2"/>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 (Unaudited)</w:t>
            </w:r>
          </w:p>
        </w:tc>
        <w:tc>
          <w:tcPr>
            <w:tcW w:w="6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9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Controls and Procedures</w:t>
            </w:r>
          </w:p>
        </w:tc>
        <w:tc>
          <w:tcPr>
            <w:tcW w:w="20" w:type="dxa"/>
            <w:vAlign w:val="bottom"/>
            <w:tcBorders>
              <w:bottom w:val="single" w:sz="8" w:color="0000EE"/>
            </w:tcBorders>
          </w:tcPr>
          <w:p>
            <w:pPr>
              <w:spacing w:after="0"/>
              <w:rPr>
                <w:sz w:val="24"/>
                <w:szCs w:val="24"/>
                <w:color w:val="auto"/>
              </w:rPr>
            </w:pPr>
          </w:p>
        </w:tc>
        <w:tc>
          <w:tcPr>
            <w:tcW w:w="672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540"/>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II - OTHER INFORMATION</w:t>
            </w:r>
          </w:p>
        </w:tc>
        <w:tc>
          <w:tcPr>
            <w:tcW w:w="1620" w:type="dxa"/>
            <w:vAlign w:val="bottom"/>
          </w:tcPr>
          <w:p>
            <w:pPr>
              <w:spacing w:after="0"/>
              <w:rPr>
                <w:sz w:val="24"/>
                <w:szCs w:val="24"/>
                <w:color w:val="auto"/>
              </w:rPr>
            </w:pPr>
          </w:p>
        </w:tc>
      </w:tr>
      <w:tr>
        <w:trPr>
          <w:trHeight w:val="46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1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Legal Proceedings</w:t>
            </w:r>
          </w:p>
        </w:tc>
        <w:tc>
          <w:tcPr>
            <w:tcW w:w="7220" w:type="dxa"/>
            <w:vAlign w:val="bottom"/>
            <w:gridSpan w:val="1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Risk Factor</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25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Defaults upon Senior Securities</w:t>
            </w:r>
          </w:p>
        </w:tc>
        <w:tc>
          <w:tcPr>
            <w:tcW w:w="2260" w:type="dxa"/>
            <w:vAlign w:val="bottom"/>
            <w:tcBorders>
              <w:top w:val="single" w:sz="8" w:color="0000FF"/>
            </w:tcBorders>
            <w:gridSpan w:val="8"/>
          </w:tcPr>
          <w:p>
            <w:pPr>
              <w:spacing w:after="0"/>
              <w:rPr>
                <w:sz w:val="20"/>
                <w:szCs w:val="20"/>
                <w:color w:val="auto"/>
              </w:rPr>
            </w:pPr>
          </w:p>
        </w:tc>
        <w:tc>
          <w:tcPr>
            <w:tcW w:w="3920" w:type="dxa"/>
            <w:vAlign w:val="bottom"/>
            <w:gridSpan w:val="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Mine Safety Disclosures</w:t>
            </w:r>
          </w:p>
        </w:tc>
        <w:tc>
          <w:tcPr>
            <w:tcW w:w="6740" w:type="dxa"/>
            <w:vAlign w:val="bottom"/>
            <w:gridSpan w:val="1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1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Exhibits</w:t>
            </w:r>
          </w:p>
        </w:tc>
        <w:tc>
          <w:tcPr>
            <w:tcW w:w="7260" w:type="dxa"/>
            <w:vAlign w:val="bottom"/>
            <w:gridSpan w:val="16"/>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1256"/>
        </w:trPr>
        <w:tc>
          <w:tcPr>
            <w:tcW w:w="2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r>
      <w:tr>
        <w:trPr>
          <w:trHeight w:val="236"/>
        </w:trPr>
        <w:tc>
          <w:tcPr>
            <w:tcW w:w="7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176"/>
        </w:trPr>
        <w:tc>
          <w:tcPr>
            <w:tcW w:w="762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18,923</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12,338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Interest-earning deposits</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16,401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36,394</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0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35,324</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48,732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271,977</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258,716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of $154,972 and $168,034, respectively)</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161,385</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Marketable equity securities, at fair value</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Federal Home Loan Bank stock, at cost</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5,401</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8,748</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921,660</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897,207</w:t>
            </w:r>
          </w:p>
        </w:tc>
      </w:tr>
      <w:tr>
        <w:trPr>
          <w:trHeight w:val="233"/>
        </w:trPr>
        <w:tc>
          <w:tcPr>
            <w:tcW w:w="20" w:type="dxa"/>
            <w:vAlign w:val="bottom"/>
            <w:tcBorders>
              <w:bottom w:val="single" w:sz="8" w:color="auto"/>
            </w:tcBorders>
            <w:shd w:val="clear" w:color="auto" w:fill="CFF0FC"/>
          </w:tcPr>
          <w:p>
            <w:pPr>
              <w:spacing w:after="0"/>
              <w:rPr>
                <w:sz w:val="20"/>
                <w:szCs w:val="20"/>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0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17,274</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15,975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Loans receivable, net</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904,386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881,232</w:t>
            </w: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18,989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18,441</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Assets held-for-sale</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3,042</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1,425</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16,873</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4,073</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6,806</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Foreclosed real estate</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6,217</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5,752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24,560</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24,641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20,159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22,097</w:t>
            </w:r>
          </w:p>
        </w:tc>
      </w:tr>
      <w:tr>
        <w:trPr>
          <w:trHeight w:val="263"/>
        </w:trPr>
        <w:tc>
          <w:tcPr>
            <w:tcW w:w="20" w:type="dxa"/>
            <w:vAlign w:val="bottom"/>
            <w:tcBorders>
              <w:bottom w:val="single" w:sz="8" w:color="auto"/>
            </w:tcBorders>
            <w:shd w:val="clear" w:color="auto" w:fill="CFF0FC"/>
          </w:tcPr>
          <w:p>
            <w:pPr>
              <w:spacing w:after="0"/>
              <w:rPr>
                <w:sz w:val="22"/>
                <w:szCs w:val="22"/>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1,483,126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3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406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12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986,103</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949,898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210,110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deposits</w:t>
            </w:r>
          </w:p>
        </w:tc>
        <w:tc>
          <w:tcPr>
            <w:tcW w:w="10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1,196,213</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Short-term borrowings</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60,315</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125,680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Long-term borrowings</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39,769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49,919</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Subordinated debt</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30,057</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1,621</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16,829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16,986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11,625</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1,362,026</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1,345,542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Shareholders' equity:</w:t>
            </w: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Voting common stock, par value $0.01; 25,000,000 authorized shares; 4,719,788 and 4,719,288 shares</w:t>
            </w:r>
          </w:p>
        </w:tc>
        <w:tc>
          <w:tcPr>
            <w:tcW w:w="10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0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202"/>
        </w:trPr>
        <w:tc>
          <w:tcPr>
            <w:tcW w:w="20" w:type="dxa"/>
            <w:vAlign w:val="bottom"/>
          </w:tcPr>
          <w:p>
            <w:pPr>
              <w:spacing w:after="0"/>
              <w:rPr>
                <w:sz w:val="17"/>
                <w:szCs w:val="17"/>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Non-Voting common stock, par value $0.01; 1,505,283 authorized shares; 1,380,283 shares</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53,231</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53,114</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0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73,670</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76,060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(6,716 )</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Pathfinder Bancorp, Inc. shareholders' equity</w:t>
            </w:r>
          </w:p>
        </w:tc>
        <w:tc>
          <w:tcPr>
            <w:tcW w:w="10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120,246</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119,495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equity</w:t>
            </w:r>
          </w:p>
        </w:tc>
        <w:tc>
          <w:tcPr>
            <w:tcW w:w="10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121,100</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120,256</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1,483,126</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584"/>
              <w:spacing w:after="0"/>
              <w:rPr>
                <w:sz w:val="20"/>
                <w:szCs w:val="20"/>
                <w:color w:val="auto"/>
              </w:rPr>
            </w:pPr>
            <w:r>
              <w:rPr>
                <w:rFonts w:ascii="Times New Roman" w:cs="Times New Roman" w:eastAsia="Times New Roman" w:hAnsi="Times New Roman"/>
                <w:sz w:val="15"/>
                <w:szCs w:val="15"/>
                <w:color w:val="auto"/>
              </w:rPr>
              <w:t>For the three months ended</w:t>
            </w: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484"/>
              <w:spacing w:after="0"/>
              <w:rPr>
                <w:sz w:val="20"/>
                <w:szCs w:val="20"/>
                <w:color w:val="auto"/>
              </w:rPr>
            </w:pPr>
            <w:r>
              <w:rPr>
                <w:rFonts w:ascii="Times New Roman" w:cs="Times New Roman" w:eastAsia="Times New Roman" w:hAnsi="Times New Roman"/>
                <w:sz w:val="15"/>
                <w:szCs w:val="15"/>
                <w:color w:val="auto"/>
              </w:rPr>
              <w:t>For the nine months ended</w:t>
            </w:r>
          </w:p>
        </w:tc>
        <w:tc>
          <w:tcPr>
            <w:tcW w:w="0" w:type="dxa"/>
            <w:vAlign w:val="bottom"/>
          </w:tcPr>
          <w:p>
            <w:pPr>
              <w:spacing w:after="0"/>
              <w:rPr>
                <w:sz w:val="1"/>
                <w:szCs w:val="1"/>
                <w:color w:val="auto"/>
              </w:rPr>
            </w:pPr>
          </w:p>
        </w:tc>
      </w:tr>
      <w:tr>
        <w:trPr>
          <w:trHeight w:val="152"/>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160" w:type="dxa"/>
            <w:vAlign w:val="bottom"/>
          </w:tcPr>
          <w:p>
            <w:pPr>
              <w:spacing w:after="0"/>
              <w:rPr>
                <w:sz w:val="13"/>
                <w:szCs w:val="13"/>
                <w:color w:val="auto"/>
              </w:rPr>
            </w:pPr>
          </w:p>
        </w:tc>
        <w:tc>
          <w:tcPr>
            <w:tcW w:w="1180" w:type="dxa"/>
            <w:vAlign w:val="bottom"/>
          </w:tcPr>
          <w:p>
            <w:pPr>
              <w:jc w:val="right"/>
              <w:ind w:right="144"/>
              <w:spacing w:after="0" w:line="152" w:lineRule="exact"/>
              <w:rPr>
                <w:sz w:val="20"/>
                <w:szCs w:val="20"/>
                <w:color w:val="auto"/>
              </w:rPr>
            </w:pPr>
            <w:r>
              <w:rPr>
                <w:rFonts w:ascii="Times New Roman" w:cs="Times New Roman" w:eastAsia="Times New Roman" w:hAnsi="Times New Roman"/>
                <w:sz w:val="15"/>
                <w:szCs w:val="15"/>
                <w:color w:val="auto"/>
              </w:rPr>
              <w:t>September 30,</w:t>
            </w:r>
          </w:p>
        </w:tc>
        <w:tc>
          <w:tcPr>
            <w:tcW w:w="260" w:type="dxa"/>
            <w:vAlign w:val="bottom"/>
          </w:tcPr>
          <w:p>
            <w:pPr>
              <w:spacing w:after="0"/>
              <w:rPr>
                <w:sz w:val="13"/>
                <w:szCs w:val="13"/>
                <w:color w:val="auto"/>
              </w:rPr>
            </w:pPr>
          </w:p>
        </w:tc>
        <w:tc>
          <w:tcPr>
            <w:tcW w:w="1200" w:type="dxa"/>
            <w:vAlign w:val="bottom"/>
          </w:tcPr>
          <w:p>
            <w:pPr>
              <w:jc w:val="right"/>
              <w:ind w:right="144"/>
              <w:spacing w:after="0" w:line="152" w:lineRule="exact"/>
              <w:rPr>
                <w:sz w:val="20"/>
                <w:szCs w:val="20"/>
                <w:color w:val="auto"/>
              </w:rPr>
            </w:pPr>
            <w:r>
              <w:rPr>
                <w:rFonts w:ascii="Times New Roman" w:cs="Times New Roman" w:eastAsia="Times New Roman" w:hAnsi="Times New Roman"/>
                <w:sz w:val="15"/>
                <w:szCs w:val="15"/>
                <w:color w:val="auto"/>
              </w:rPr>
              <w:t>September 30,</w:t>
            </w:r>
          </w:p>
        </w:tc>
        <w:tc>
          <w:tcPr>
            <w:tcW w:w="240" w:type="dxa"/>
            <w:vAlign w:val="bottom"/>
          </w:tcPr>
          <w:p>
            <w:pPr>
              <w:spacing w:after="0"/>
              <w:rPr>
                <w:sz w:val="13"/>
                <w:szCs w:val="13"/>
                <w:color w:val="auto"/>
              </w:rPr>
            </w:pPr>
          </w:p>
        </w:tc>
        <w:tc>
          <w:tcPr>
            <w:tcW w:w="1160" w:type="dxa"/>
            <w:vAlign w:val="bottom"/>
          </w:tcPr>
          <w:p>
            <w:pPr>
              <w:jc w:val="right"/>
              <w:ind w:right="124"/>
              <w:spacing w:after="0" w:line="152" w:lineRule="exact"/>
              <w:rPr>
                <w:sz w:val="20"/>
                <w:szCs w:val="20"/>
                <w:color w:val="auto"/>
              </w:rPr>
            </w:pPr>
            <w:r>
              <w:rPr>
                <w:rFonts w:ascii="Times New Roman" w:cs="Times New Roman" w:eastAsia="Times New Roman" w:hAnsi="Times New Roman"/>
                <w:sz w:val="15"/>
                <w:szCs w:val="15"/>
                <w:color w:val="auto"/>
              </w:rPr>
              <w:t>September 30,</w:t>
            </w:r>
          </w:p>
        </w:tc>
        <w:tc>
          <w:tcPr>
            <w:tcW w:w="220" w:type="dxa"/>
            <w:vAlign w:val="bottom"/>
          </w:tcPr>
          <w:p>
            <w:pPr>
              <w:spacing w:after="0"/>
              <w:rPr>
                <w:sz w:val="13"/>
                <w:szCs w:val="13"/>
                <w:color w:val="auto"/>
              </w:rPr>
            </w:pPr>
          </w:p>
        </w:tc>
        <w:tc>
          <w:tcPr>
            <w:tcW w:w="1120" w:type="dxa"/>
            <w:vAlign w:val="bottom"/>
          </w:tcPr>
          <w:p>
            <w:pPr>
              <w:jc w:val="right"/>
              <w:ind w:right="84"/>
              <w:spacing w:after="0" w:line="152" w:lineRule="exact"/>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193"/>
        </w:trPr>
        <w:tc>
          <w:tcPr>
            <w:tcW w:w="57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Interest and dividend income:</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Loans, including fees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14,425</w:t>
            </w:r>
          </w:p>
        </w:tc>
        <w:tc>
          <w:tcPr>
            <w:tcW w:w="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12,470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39,182</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34,919</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Debt securities: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Taxable</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5,664</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4,488</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17,007</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12,408</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Tax-exempt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469</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507</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1,475</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1,441</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149</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140</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456</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Federal funds sold and interest earning deposits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492</w:t>
            </w: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66</w:t>
            </w:r>
          </w:p>
        </w:tc>
        <w:tc>
          <w:tcPr>
            <w:tcW w:w="2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711</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 interest and dividend income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21,199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17,671</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58,831</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49,335</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on deposits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7,633</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6,223</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22,670</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15,885</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Interest on short-term borrowings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1,136</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674</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3,476</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1,624</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on long-term borrowings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202</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222</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597</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619</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Interest on subordinated debt</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496</w:t>
            </w: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492</w:t>
            </w:r>
          </w:p>
        </w:tc>
        <w:tc>
          <w:tcPr>
            <w:tcW w:w="2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1,476</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1,447</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 interest expense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9,467</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7,611</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28,219</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19,575</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interest income</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11,732</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10,060</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30,612</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29,760</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Provision for (benefit from) credit losses: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Loans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9,104</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798</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10,118</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2,675</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Held-to-maturity securities</w:t>
            </w:r>
          </w:p>
        </w:tc>
        <w:tc>
          <w:tcPr>
            <w:tcW w:w="16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(31 )</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(90 )</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Unfunded commitments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(104 )</w:t>
            </w: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30</w:t>
            </w:r>
          </w:p>
        </w:tc>
        <w:tc>
          <w:tcPr>
            <w:tcW w:w="2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(43 )</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Total provision for credit losses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8,969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833</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9,985</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2,665</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interest income after provision for credit losses</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2,763</w:t>
            </w:r>
          </w:p>
        </w:tc>
        <w:tc>
          <w:tcPr>
            <w:tcW w:w="2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9,227</w:t>
            </w:r>
          </w:p>
        </w:tc>
        <w:tc>
          <w:tcPr>
            <w:tcW w:w="2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20,627</w:t>
            </w:r>
          </w:p>
        </w:tc>
        <w:tc>
          <w:tcPr>
            <w:tcW w:w="2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27,095</w:t>
            </w:r>
          </w:p>
        </w:tc>
        <w:tc>
          <w:tcPr>
            <w:tcW w:w="0" w:type="dxa"/>
            <w:vAlign w:val="bottom"/>
          </w:tcPr>
          <w:p>
            <w:pPr>
              <w:spacing w:after="0"/>
              <w:rPr>
                <w:sz w:val="1"/>
                <w:szCs w:val="1"/>
                <w:color w:val="auto"/>
              </w:rPr>
            </w:pPr>
          </w:p>
        </w:tc>
      </w:tr>
      <w:tr>
        <w:trPr>
          <w:trHeight w:val="183"/>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income: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Service charges on deposit accounts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392</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343</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1,031</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913</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Earnings and gain on bank owned life insurance</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361</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165</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685</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466</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Loan servicing fees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79</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99</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279</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realized (losses) gains on sales and redemptions of investment securities</w:t>
            </w:r>
          </w:p>
        </w:tc>
        <w:tc>
          <w:tcPr>
            <w:tcW w:w="16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(188 )</w:t>
            </w:r>
          </w:p>
        </w:tc>
        <w:tc>
          <w:tcPr>
            <w:tcW w:w="260" w:type="dxa"/>
            <w:vAlign w:val="bottom"/>
          </w:tcPr>
          <w:p>
            <w:pPr>
              <w:spacing w:after="0"/>
              <w:rPr>
                <w:sz w:val="16"/>
                <w:szCs w:val="16"/>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(13 )</w:t>
            </w:r>
          </w:p>
        </w:tc>
        <w:tc>
          <w:tcPr>
            <w:tcW w:w="24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(320 )</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realized gains (losses) on sales of marketable equity securities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(39 )</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(208 )</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Gains on sales of loans and foreclosed real estate</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90</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41</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148</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on sale of premises and equipment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(36 )</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(36 )</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Debit card interchange fees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300</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610</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455</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Insurance agency revenue</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367</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310</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1,024</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1,001</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Other charges, commissions &amp; fees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280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265</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1,203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764</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noninterest income</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1,707</w:t>
            </w:r>
          </w:p>
        </w:tc>
        <w:tc>
          <w:tcPr>
            <w:tcW w:w="2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1,193</w:t>
            </w:r>
          </w:p>
        </w:tc>
        <w:tc>
          <w:tcPr>
            <w:tcW w:w="2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4,655</w:t>
            </w:r>
          </w:p>
        </w:tc>
        <w:tc>
          <w:tcPr>
            <w:tcW w:w="2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3,872</w:t>
            </w:r>
          </w:p>
        </w:tc>
        <w:tc>
          <w:tcPr>
            <w:tcW w:w="0" w:type="dxa"/>
            <w:vAlign w:val="bottom"/>
          </w:tcPr>
          <w:p>
            <w:pPr>
              <w:spacing w:after="0"/>
              <w:rPr>
                <w:sz w:val="1"/>
                <w:szCs w:val="1"/>
                <w:color w:val="auto"/>
              </w:rPr>
            </w:pPr>
          </w:p>
        </w:tc>
      </w:tr>
      <w:tr>
        <w:trPr>
          <w:trHeight w:val="183"/>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expense: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Salaries and employee benefits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4,959</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4,154</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13,687</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12,243</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Building and occupancy</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1,134</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868</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2,864</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2,699</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Data processing</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672</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483</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1,750</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1,519</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Professional and other services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1,820</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492</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3,078</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1,531</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Advertising</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165</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144</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386</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516</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assessments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228</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222</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685</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Audits and exams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123</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159</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416</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476</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Insurance agency expense</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308</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273</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825</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817</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Community service activities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55</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111</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Foreclosed real estate expenses</w:t>
            </w:r>
          </w:p>
        </w:tc>
        <w:tc>
          <w:tcPr>
            <w:tcW w:w="1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tcPr>
          <w:p>
            <w:pPr>
              <w:spacing w:after="0"/>
              <w:rPr>
                <w:sz w:val="16"/>
                <w:szCs w:val="16"/>
                <w:color w:val="auto"/>
              </w:rPr>
            </w:pPr>
          </w:p>
        </w:tc>
        <w:tc>
          <w:tcPr>
            <w:tcW w:w="12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44</w:t>
            </w:r>
          </w:p>
        </w:tc>
        <w:tc>
          <w:tcPr>
            <w:tcW w:w="24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82</w:t>
            </w:r>
          </w:p>
        </w:tc>
        <w:tc>
          <w:tcPr>
            <w:tcW w:w="2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expenses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803</w:t>
            </w: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759</w:t>
            </w:r>
          </w:p>
        </w:tc>
        <w:tc>
          <w:tcPr>
            <w:tcW w:w="2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1,989</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1,660</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Total noninterest expense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10,259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7,653</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25,873</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22,351</w:t>
            </w: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income before provision for income taxes</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(5,789 )</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2,767</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(591 )</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8,616</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(1,173 )</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573</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(160 )</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1,772</w:t>
            </w:r>
          </w:p>
        </w:tc>
        <w:tc>
          <w:tcPr>
            <w:tcW w:w="0" w:type="dxa"/>
            <w:vAlign w:val="bottom"/>
          </w:tcPr>
          <w:p>
            <w:pPr>
              <w:spacing w:after="0"/>
              <w:rPr>
                <w:sz w:val="1"/>
                <w:szCs w:val="1"/>
                <w:color w:val="auto"/>
              </w:rPr>
            </w:pPr>
          </w:p>
        </w:tc>
      </w:tr>
      <w:tr>
        <w:trPr>
          <w:trHeight w:val="148"/>
        </w:trPr>
        <w:tc>
          <w:tcPr>
            <w:tcW w:w="570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Net (loss) income attributable to noncontrolling interest and</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7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Pathfinder Bancorp, Inc.</w:t>
            </w: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(4,616 )</w:t>
            </w: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2,194</w:t>
            </w: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(431 )</w:t>
            </w: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6,844</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28</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93</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income attributable to Pathfinder Bancorp Inc.</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(4,644 )</w:t>
            </w:r>
          </w:p>
        </w:tc>
        <w:tc>
          <w:tcPr>
            <w:tcW w:w="2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2,176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(524 )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6,757</w:t>
            </w:r>
          </w:p>
        </w:tc>
        <w:tc>
          <w:tcPr>
            <w:tcW w:w="0" w:type="dxa"/>
            <w:vAlign w:val="bottom"/>
          </w:tcPr>
          <w:p>
            <w:pPr>
              <w:spacing w:after="0"/>
              <w:rPr>
                <w:sz w:val="1"/>
                <w:szCs w:val="1"/>
                <w:color w:val="auto"/>
              </w:rPr>
            </w:pPr>
          </w:p>
        </w:tc>
      </w:tr>
      <w:tr>
        <w:trPr>
          <w:trHeight w:val="169"/>
        </w:trPr>
        <w:tc>
          <w:tcPr>
            <w:tcW w:w="5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Voting Earnings per common share - basic and diluted</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(0.75 )</w:t>
            </w:r>
          </w:p>
        </w:tc>
        <w:tc>
          <w:tcPr>
            <w:tcW w:w="2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0.35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(0.09 )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70"/>
        </w:trPr>
        <w:tc>
          <w:tcPr>
            <w:tcW w:w="5700" w:type="dxa"/>
            <w:vAlign w:val="bottom"/>
            <w:tcBorders>
              <w:bottom w:val="single" w:sz="8" w:color="auto"/>
            </w:tcBorders>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Series A Non-Voting Earnings per common share- basic and diluted</w:t>
            </w: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(0.75 )</w:t>
            </w:r>
          </w:p>
        </w:tc>
        <w:tc>
          <w:tcPr>
            <w:tcW w:w="2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0.35</w:t>
            </w:r>
          </w:p>
        </w:tc>
        <w:tc>
          <w:tcPr>
            <w:tcW w:w="2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(0.09 )</w:t>
            </w:r>
          </w:p>
        </w:tc>
        <w:tc>
          <w:tcPr>
            <w:tcW w:w="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Borders>
              <w:bottom w:val="single" w:sz="8" w:color="auto"/>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Dividends per common share (Voting and Series A Non-Voting)</w:t>
            </w:r>
          </w:p>
        </w:tc>
        <w:tc>
          <w:tcPr>
            <w:tcW w:w="16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0.10</w:t>
            </w:r>
          </w:p>
        </w:tc>
        <w:tc>
          <w:tcPr>
            <w:tcW w:w="26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0.09</w:t>
            </w:r>
          </w:p>
        </w:tc>
        <w:tc>
          <w:tcPr>
            <w:tcW w:w="2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0.30</w:t>
            </w:r>
          </w:p>
        </w:tc>
        <w:tc>
          <w:tcPr>
            <w:tcW w:w="2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0.27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color w:val="auto"/>
              </w:rPr>
              <w:t>For the nine months ended</w:t>
            </w:r>
          </w:p>
        </w:tc>
        <w:tc>
          <w:tcPr>
            <w:tcW w:w="0" w:type="dxa"/>
            <w:vAlign w:val="bottom"/>
          </w:tcPr>
          <w:p>
            <w:pPr>
              <w:spacing w:after="0"/>
              <w:rPr>
                <w:sz w:val="1"/>
                <w:szCs w:val="1"/>
                <w:color w:val="auto"/>
              </w:rPr>
            </w:pPr>
          </w:p>
        </w:tc>
      </w:tr>
      <w:tr>
        <w:trPr>
          <w:trHeight w:val="202"/>
        </w:trPr>
        <w:tc>
          <w:tcPr>
            <w:tcW w:w="56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22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September 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(4,616 )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2,194</w:t>
            </w:r>
          </w:p>
        </w:tc>
        <w:tc>
          <w:tcPr>
            <w:tcW w:w="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(431 )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 (Loss)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Retirement Plans: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5640" w:type="dxa"/>
            <w:vAlign w:val="bottom"/>
            <w:tcBorders>
              <w:bottom w:val="single" w:sz="8" w:color="auto"/>
            </w:tcBorders>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Net unrealized gain on retirement plans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Unrealized holding gains (losses) on available-for-sale securities: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arising during the period</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2,847</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(3,016 )</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3,085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(gains) losses included in net income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(losses) on available-for-sale securities</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2,847</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(3,017 )</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3,224</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Derivatives and hedging activities:</w:t>
            </w:r>
          </w:p>
        </w:tc>
        <w:tc>
          <w:tcPr>
            <w:tcW w:w="3380" w:type="dxa"/>
            <w:vAlign w:val="bottom"/>
            <w:tcBorders>
              <w:bottom w:val="single" w:sz="8" w:color="CFF0FC"/>
            </w:tcBorders>
            <w:gridSpan w:val="3"/>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Unrealized holding (losses) gains arising during the period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(82 )</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574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(losses) gains on derivatives and hedging activities</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(82 )</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574</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2,803</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(2,688 )</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3,911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(733 )</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(1,022 )</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2,070</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(1,986 )</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2,889</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(2,546 )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208</w:t>
            </w:r>
          </w:p>
        </w:tc>
        <w:tc>
          <w:tcPr>
            <w:tcW w:w="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5,660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Pathfinder Bancorp,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(2,574 )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190</w:t>
            </w:r>
          </w:p>
        </w:tc>
        <w:tc>
          <w:tcPr>
            <w:tcW w:w="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5,573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Tax Effect Allocated to Each Component of Other Comprehensive (Loss) Income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2"/>
        </w:trPr>
        <w:tc>
          <w:tcPr>
            <w:tcW w:w="56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Unrealized holding (gains) losses on available-for-sale securities arising during the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(744 )</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788</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(806 )</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2"/>
        </w:trPr>
        <w:tc>
          <w:tcPr>
            <w:tcW w:w="56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net losses on available-for-sale securities</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5640" w:type="dxa"/>
            <w:vAlign w:val="bottom"/>
            <w:tcBorders>
              <w:bottom w:val="single" w:sz="8" w:color="auto"/>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included in net income</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(36 )</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 and hedging arising during the period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(150 )</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effect related to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(733 )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(1,022 )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2024 and September 30, 2023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4"/>
              </w:rPr>
              <w:t>Voting</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0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Non-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l Paid in</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ensive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controllin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 Interest</w:t>
            </w: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53,182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78,936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(8,786 )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826</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$ 124,174</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(4,616 )</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2,070</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2,070</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Voting common stock dividends declared ($0.10 per</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0" w:type="dxa"/>
            <w:vAlign w:val="bottom"/>
          </w:tcPr>
          <w:p>
            <w:pPr>
              <w:spacing w:after="0"/>
              <w:rPr>
                <w:sz w:val="1"/>
                <w:szCs w:val="1"/>
                <w:color w:val="auto"/>
              </w:rPr>
            </w:pPr>
          </w:p>
        </w:tc>
      </w:tr>
      <w:tr>
        <w:trPr>
          <w:trHeight w:val="202"/>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($0.10 per share)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53,231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73,670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854</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$ 121,100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52,645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72,664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(11,370 )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$ 114,429</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2,176</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2,194</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(1,986 )</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(1,986 )</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255</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Voting common stock dividends declared ($0.09 per</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0" w:type="dxa"/>
            <w:vAlign w:val="bottom"/>
          </w:tcPr>
          <w:p>
            <w:pPr>
              <w:spacing w:after="0"/>
              <w:rPr>
                <w:sz w:val="1"/>
                <w:szCs w:val="1"/>
                <w:color w:val="auto"/>
              </w:rPr>
            </w:pPr>
          </w:p>
        </w:tc>
      </w:tr>
      <w:tr>
        <w:trPr>
          <w:trHeight w:val="202"/>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($0.09 per share)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($0.09 per share)</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52,963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74,282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$ 114,442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Nine months ended September 30, 2024 and September 30, 2023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4"/>
              </w:rPr>
              <w:t>Voting</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0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Non-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l Paid in</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ensive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controllin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 Interest</w:t>
            </w: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53,114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76,060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$ 120,256</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2,889</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2,889</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(18,332 shares)</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2"/>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Voting common stock dividends declared ($0.30 per</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(1,414 )</w:t>
            </w: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($0.30 per share)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($0.30 per share)</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53,231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73,670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854</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$ 121,100</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52,101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71,322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(12,172 )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$ 111,582</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6,757</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6,844</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(1,184 )</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(1,184 )</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(18,332 shares)</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623</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Voting common stock dividends declared ($0.27 per</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(1,256 )</w:t>
            </w:r>
          </w:p>
        </w:tc>
        <w:tc>
          <w:tcPr>
            <w:tcW w:w="0" w:type="dxa"/>
            <w:vAlign w:val="bottom"/>
          </w:tcPr>
          <w:p>
            <w:pPr>
              <w:spacing w:after="0"/>
              <w:rPr>
                <w:sz w:val="1"/>
                <w:szCs w:val="1"/>
                <w:color w:val="auto"/>
              </w:rPr>
            </w:pPr>
          </w:p>
        </w:tc>
      </w:tr>
      <w:tr>
        <w:trPr>
          <w:trHeight w:val="202"/>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($0.27 per share)</w:t>
            </w:r>
          </w:p>
        </w:tc>
        <w:tc>
          <w:tcPr>
            <w:tcW w:w="3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0" w:type="dxa"/>
            <w:vAlign w:val="bottom"/>
          </w:tcPr>
          <w:p>
            <w:pPr>
              <w:spacing w:after="0"/>
              <w:rPr>
                <w:sz w:val="1"/>
                <w:szCs w:val="1"/>
                <w:color w:val="auto"/>
              </w:rPr>
            </w:pPr>
          </w:p>
        </w:tc>
      </w:tr>
      <w:tr>
        <w:trPr>
          <w:trHeight w:val="23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($0.27 per share)</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2"/>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Adoption of ASU 2016-13 Current Expected Credit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Losses</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52,963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74,282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$ 114,442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For the nine months ended September 30,</w:t>
            </w: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r>
      <w:tr>
        <w:trPr>
          <w:trHeight w:val="22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Pathfinder Bancorp, Inc.</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(524 )   $</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6,757</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flows from operating activities: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9,985</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2,665</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sales of loans held-for-sale</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4,519</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4,244</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Originations of loans held-for-sale</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(4,410 )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(4,013 )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Realized (gains) losses on sales, redemptions and calls of:</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Foreclosed real estate</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(39 )</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Loans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(109 )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(212 )</w:t>
            </w: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Available-for-sale investment securities</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139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Held-to-maturity investment securities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181</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(31 )</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208</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1,049</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1,051</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mortgage servicing rights</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(31 )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71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(341 )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fees from subordinated debt</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143</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earnings on bank owned life insurance</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83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amortization of premiums and discounts on investment securities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(133 )</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1,633</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115</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 based compensation and ESOP expense</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247</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374</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accrued interest receivable</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480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(426 )</w:t>
            </w:r>
          </w:p>
        </w:tc>
      </w:tr>
      <w:tr>
        <w:trPr>
          <w:trHeight w:val="230"/>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other assets and liabilities</w:t>
            </w:r>
          </w:p>
        </w:tc>
        <w:tc>
          <w:tcPr>
            <w:tcW w:w="220" w:type="dxa"/>
            <w:vAlign w:val="bottom"/>
            <w:tcBorders>
              <w:bottom w:val="single" w:sz="8" w:color="auto"/>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2,470</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(4,645 )</w:t>
            </w:r>
          </w:p>
        </w:tc>
      </w:tr>
      <w:tr>
        <w:trPr>
          <w:trHeight w:val="225"/>
        </w:trPr>
        <w:tc>
          <w:tcPr>
            <w:tcW w:w="7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inflows from operating activities</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13,864</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7,003</w:t>
            </w:r>
          </w:p>
        </w:tc>
      </w:tr>
      <w:tr>
        <w:trPr>
          <w:trHeight w:val="22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available-for-sale securities</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(71,015 )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(49,256 )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held-to-maturity securities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(10,573 )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(12,787 )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(635 )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Federal Home Loan Bank stock</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(9,477 )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(13,415 )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redemption of Federal Home Loan Bank stock</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12,824</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13,573</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available-for-sale securities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58,749</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12,921</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held-to-maturity securities</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24,678</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20,878</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sales, redemptions and calls of:</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3,449</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17,396</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Held-to-maturity securities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3,823</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278</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estate acquired through foreclosure</w:t>
            </w:r>
          </w:p>
        </w:tc>
        <w:tc>
          <w:tcPr>
            <w:tcW w:w="220" w:type="dxa"/>
            <w:vAlign w:val="bottom"/>
          </w:tcPr>
          <w:p>
            <w:pPr>
              <w:spacing w:after="0"/>
              <w:rPr>
                <w:sz w:val="19"/>
                <w:szCs w:val="19"/>
                <w:color w:val="auto"/>
              </w:rPr>
            </w:pPr>
          </w:p>
        </w:tc>
        <w:tc>
          <w:tcPr>
            <w:tcW w:w="22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167</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loans</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(33,300 )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(736 )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core deposit intangible asset</w:t>
            </w:r>
          </w:p>
        </w:tc>
        <w:tc>
          <w:tcPr>
            <w:tcW w:w="220" w:type="dxa"/>
            <w:vAlign w:val="bottom"/>
          </w:tcPr>
          <w:p>
            <w:pPr>
              <w:spacing w:after="0"/>
              <w:rPr>
                <w:sz w:val="19"/>
                <w:szCs w:val="19"/>
                <w:color w:val="auto"/>
              </w:rPr>
            </w:pPr>
          </w:p>
        </w:tc>
        <w:tc>
          <w:tcPr>
            <w:tcW w:w="22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(6,271 )</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sale of assets held-for-sale</w:t>
            </w:r>
          </w:p>
        </w:tc>
        <w:tc>
          <w:tcPr>
            <w:tcW w:w="220" w:type="dxa"/>
            <w:vAlign w:val="bottom"/>
            <w:shd w:val="clear" w:color="auto" w:fill="CFF0FC"/>
          </w:tcPr>
          <w:p>
            <w:pPr>
              <w:spacing w:after="0"/>
              <w:rPr>
                <w:sz w:val="20"/>
                <w:szCs w:val="20"/>
                <w:color w:val="auto"/>
              </w:rPr>
            </w:pPr>
          </w:p>
        </w:tc>
        <w:tc>
          <w:tcPr>
            <w:tcW w:w="22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rPr>
              <w:t>3,007</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rPr>
              <w:t>(1,621 )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(1,670 )</w:t>
            </w:r>
          </w:p>
        </w:tc>
      </w:tr>
      <w:tr>
        <w:trPr>
          <w:trHeight w:val="225"/>
        </w:trPr>
        <w:tc>
          <w:tcPr>
            <w:tcW w:w="764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outflows from investing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7"/>
                <w:szCs w:val="17"/>
                <w:color w:val="auto"/>
              </w:rPr>
              <w:t>(26,195 )</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(13,889 )</w:t>
            </w:r>
          </w:p>
        </w:tc>
      </w:tr>
      <w:tr>
        <w:trPr>
          <w:trHeight w:val="427"/>
        </w:trPr>
        <w:tc>
          <w:tcPr>
            <w:tcW w:w="76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4"/>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1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demand deposits, NOW accounts, savings accounts, money management</w:t>
            </w:r>
          </w:p>
        </w:tc>
        <w:tc>
          <w:tcPr>
            <w:tcW w:w="1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48"/>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deposit accounts, MMDA accounts and escrow deposits</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94,078</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(67,468 )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time deposits</w:t>
            </w:r>
          </w:p>
        </w:tc>
        <w:tc>
          <w:tcPr>
            <w:tcW w:w="12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95,175</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74,902</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brokered deposits</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(113,107 )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(65,365 )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(20,850 )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2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10,700</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4,776</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voting shareholders</w:t>
            </w:r>
          </w:p>
        </w:tc>
        <w:tc>
          <w:tcPr>
            <w:tcW w:w="1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non-voting shareholders</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(414 )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warrants</w:t>
            </w:r>
          </w:p>
        </w:tc>
        <w:tc>
          <w:tcPr>
            <w:tcW w:w="1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noncontrolling interest, net</w:t>
            </w:r>
          </w:p>
        </w:tc>
        <w:tc>
          <w:tcPr>
            <w:tcW w:w="1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38"/>
        </w:trPr>
        <w:tc>
          <w:tcPr>
            <w:tcW w:w="6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outflows from financing activities</w:t>
            </w: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(1,077 )</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(3,922 )</w:t>
            </w:r>
          </w:p>
        </w:tc>
      </w:tr>
      <w:tr>
        <w:trPr>
          <w:trHeight w:val="23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(13,408 )</w:t>
            </w:r>
          </w:p>
        </w:tc>
        <w:tc>
          <w:tcPr>
            <w:tcW w:w="6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(10,808 )</w:t>
            </w:r>
          </w:p>
        </w:tc>
      </w:tr>
      <w:tr>
        <w:trPr>
          <w:trHeight w:val="239"/>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48,732</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35,282</w:t>
            </w:r>
          </w:p>
        </w:tc>
      </w:tr>
      <w:tr>
        <w:trPr>
          <w:trHeight w:val="278"/>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0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35,324</w:t>
            </w:r>
          </w:p>
        </w:tc>
        <w:tc>
          <w:tcPr>
            <w:tcW w:w="6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24,474</w:t>
            </w: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30,228</w:t>
            </w:r>
          </w:p>
        </w:tc>
        <w:tc>
          <w:tcPr>
            <w:tcW w:w="6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18,819</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ACTIVITY</w:t>
            </w:r>
          </w:p>
        </w:tc>
        <w:tc>
          <w:tcPr>
            <w:tcW w:w="1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acquired in exchange for loans</w:t>
            </w:r>
          </w:p>
        </w:tc>
        <w:tc>
          <w:tcPr>
            <w:tcW w:w="12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2023 consolidated financial statements may have been reclassified to conform to the current period presentation. These reclassifications had no effect on net income or comprehensive income as previously reported. Operating results for the three and nine months ended September 30, 2024 are not necessarily indicative of the results that may be expected for the full year ending December 31, 2024 or any other interim period.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the Company owned, through its wholly owned subsidiary Pathfinder Risk Management Company, Inc., 51% of the membership interest in FitzGibbons Agency, LLC (“Agency”) as of September 30, 2024, the Company is required to consolidate 100% of the Agency within the consolidated financial statements. The 49% of which the Company does not own is accounted for separately as noncontrolling interests within the consolidated financial statements. On October 1, 2024, the Company completed the sale of its majority membership interest in the FitzGibbons Agency to Marshall &amp; Sterling Enterprises, Inc. For additional information related to this sale, please see Note 18 Subsequent Events.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July 19, 2024, the Company completed the purchase and assumption of the East Syracuse, NY branch of Berkshire Bank. For additional information related to this purchase, please see Note 16 Branch Acquisition.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Standards Not Yet Adopted as of September 30, 2024</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60" w:type="dxa"/>
            <w:vAlign w:val="bottom"/>
            <w:tcBorders>
              <w:top w:val="single" w:sz="8" w:color="auto"/>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top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Reference Rate Reform</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The amendments provide optional expedients and exceptions for applying</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Upon issuance, January 7,</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is not expected</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(ASU 2020-04:</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generally accepted accounting principles (GAAP) to contracts, hedging</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2021, through December 31,</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have a 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Facilitation of the Effects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relationships, and other transactions affected by reference rate reform. The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 as amended by ASU</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of Reference Rate Reform</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amendments apply only to contracts, hedging relationships, and other</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2022-06.</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on Financial Reporting</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transactions that reference LIBOR or another reference rate expected to be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[Topic 848]: Deferral of</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discontinued because of reference rate reform. The amendments (1) apply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the Sunset Date of Topic</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contract modifications that replace a reference rate affected by reference rate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848)</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reform, (2) provide exceptions to existing guidance related to changes to the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critical terms of a hedging relationship due to reference rate reform (3)</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optional expedients for fair value hedging relationships, cash flow</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hedging relationships, and net investment hedging relationships, and (4)</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a onetime election to sell, transfer, or both sell and transfer debt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securities classified as held-to-maturity that reference a rate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and that are classified as held-to-maturity before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January 1, 2020. In January 2021, the FASB issued ASU 2021-01,</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(Topic 848): Scope. ASU 2021-01 clarifies that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certain optional expedients and exceptions in ASC 848 for contract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modifications and hedge accounting apply to derivatives that are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the discounting transition. ASU 2021-01 also amends the expedients and</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exceptions in ASC 848 to capture the incremental consequences of the scope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clarification and to tailor the existing guidance to derivative instruments</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affected by the discounting transition.</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201"/>
        </w:trPr>
        <w:tc>
          <w:tcPr>
            <w:tcW w:w="1760" w:type="dxa"/>
            <w:vAlign w:val="bottom"/>
            <w:tcBorders>
              <w:left w:val="single" w:sz="8" w:color="auto"/>
              <w:right w:val="single" w:sz="8" w:color="auto"/>
            </w:tcBorders>
            <w:shd w:val="clear" w:color="auto" w:fill="CFF0FC"/>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right w:val="single" w:sz="8" w:color="auto"/>
            </w:tcBorders>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 xml:space="preserve">Income taxes </w:t>
            </w:r>
            <w:r>
              <w:rPr>
                <w:rFonts w:ascii="Times New Roman" w:cs="Times New Roman" w:eastAsia="Times New Roman" w:hAnsi="Times New Roman"/>
                <w:sz w:val="15"/>
                <w:szCs w:val="15"/>
                <w:i w:val="1"/>
                <w:iCs w:val="1"/>
                <w:color w:val="auto"/>
              </w:rPr>
              <w:t>(Topic</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Amendments to ASC740 are being made to enhance the transparency and</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Public business entities are</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is not expected</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740): Improvements to</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decision usefulness of income tax disclosures. The enhancements are made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required to apply this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have a 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Income Tax Disclosures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to provide information to better assess how an entity's operations and related</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guidance to annual periods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2023-09</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tax risks and tax planning and operational opportunities affect its tax rate</w:t>
            </w:r>
          </w:p>
        </w:tc>
        <w:tc>
          <w:tcPr>
            <w:tcW w:w="190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beginning after December 15,</w:t>
            </w:r>
          </w:p>
        </w:tc>
        <w:tc>
          <w:tcPr>
            <w:tcW w:w="272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and prospects for future cash flows. The objective of these disclosure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requirements is for an entity, particularly an entity operating in multiple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jurisdictions, to disclose sufficient information to enable users of financial</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statements to understand the nature and magnitude of factors contributing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difference between the effective tax rate and the statutory tax rate.</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425"/>
        </w:trPr>
        <w:tc>
          <w:tcPr>
            <w:tcW w:w="1760" w:type="dxa"/>
            <w:vAlign w:val="bottom"/>
          </w:tcPr>
          <w:p>
            <w:pPr>
              <w:spacing w:after="0"/>
              <w:rPr>
                <w:sz w:val="24"/>
                <w:szCs w:val="24"/>
                <w:color w:val="auto"/>
              </w:rPr>
            </w:pPr>
          </w:p>
        </w:tc>
        <w:tc>
          <w:tcPr>
            <w:tcW w:w="486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p>
        </w:tc>
        <w:tc>
          <w:tcPr>
            <w:tcW w:w="1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63"/>
        </w:trPr>
        <w:tc>
          <w:tcPr>
            <w:tcW w:w="1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Note 3:  Earnings per Common Share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employee stock ownership plan ("ESOP") are not included in the weighted average number of common shares outstanding for purposes of calculating earnings per common share until they are committed to be released to plan participants.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Anti-dilutive shares are common stock equivalents with average exercise prices in excess of the weighted average market price for the period presented. Anti-dilutive stock options, not included in the computation below, were -0- for the three and nine months ended September 30, 2024, and September 30,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Three months ended</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Nine months ended</w:t>
            </w:r>
          </w:p>
        </w:tc>
        <w:tc>
          <w:tcPr>
            <w:tcW w:w="680" w:type="dxa"/>
            <w:vAlign w:val="bottom"/>
          </w:tcPr>
          <w:p>
            <w:pPr>
              <w:spacing w:after="0"/>
              <w:rPr>
                <w:sz w:val="18"/>
                <w:szCs w:val="18"/>
                <w:color w:val="auto"/>
              </w:rPr>
            </w:pPr>
          </w:p>
        </w:tc>
      </w:tr>
      <w:tr>
        <w:trPr>
          <w:trHeight w:val="243"/>
        </w:trPr>
        <w:tc>
          <w:tcPr>
            <w:tcW w:w="4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September 30,</w:t>
            </w:r>
          </w:p>
        </w:tc>
        <w:tc>
          <w:tcPr>
            <w:tcW w:w="68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September 30,</w:t>
            </w:r>
          </w:p>
        </w:tc>
        <w:tc>
          <w:tcPr>
            <w:tcW w:w="680" w:type="dxa"/>
            <w:vAlign w:val="bottom"/>
            <w:tcBorders>
              <w:bottom w:val="single" w:sz="8" w:color="auto"/>
            </w:tcBorders>
          </w:tcPr>
          <w:p>
            <w:pPr>
              <w:spacing w:after="0"/>
              <w:rPr>
                <w:sz w:val="21"/>
                <w:szCs w:val="21"/>
                <w:color w:val="auto"/>
              </w:rPr>
            </w:pP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Pathfinder Bancorp, Inc.</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(4,644 )</w:t>
            </w:r>
          </w:p>
        </w:tc>
        <w:tc>
          <w:tcPr>
            <w:tcW w:w="82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2,176</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(524 )</w:t>
            </w:r>
          </w:p>
        </w:tc>
        <w:tc>
          <w:tcPr>
            <w:tcW w:w="7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6,757</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280" w:type="dxa"/>
            <w:vAlign w:val="bottom"/>
          </w:tcPr>
          <w:p>
            <w:pPr>
              <w:spacing w:after="0"/>
              <w:rPr>
                <w:sz w:val="19"/>
                <w:szCs w:val="19"/>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138</w:t>
            </w:r>
          </w:p>
        </w:tc>
        <w:tc>
          <w:tcPr>
            <w:tcW w:w="82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414</w:t>
            </w:r>
          </w:p>
        </w:tc>
        <w:tc>
          <w:tcPr>
            <w:tcW w:w="74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w:t>
            </w:r>
          </w:p>
        </w:tc>
      </w:tr>
      <w:tr>
        <w:trPr>
          <w:trHeight w:val="23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38</w:t>
            </w: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(1,275 )</w:t>
            </w: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(579 )</w:t>
            </w: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w:t>
            </w:r>
          </w:p>
        </w:tc>
      </w:tr>
      <w:tr>
        <w:trPr>
          <w:trHeight w:val="263"/>
        </w:trPr>
        <w:tc>
          <w:tcPr>
            <w:tcW w:w="4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available to common shareholders-Voting</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(3,519 )</w:t>
            </w:r>
          </w:p>
        </w:tc>
        <w:tc>
          <w:tcPr>
            <w:tcW w:w="82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1,645</w:t>
            </w:r>
          </w:p>
        </w:tc>
        <w:tc>
          <w:tcPr>
            <w:tcW w:w="800" w:type="dxa"/>
            <w:vAlign w:val="bottom"/>
            <w:tcBorders>
              <w:bottom w:val="single" w:sz="8" w:color="auto"/>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(397 )</w:t>
            </w:r>
          </w:p>
        </w:tc>
        <w:tc>
          <w:tcPr>
            <w:tcW w:w="7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5,102</w:t>
            </w:r>
          </w:p>
        </w:tc>
      </w:tr>
      <w:tr>
        <w:trPr>
          <w:trHeight w:val="217"/>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Pathfinder Bancorp, Inc.</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(4,644 )</w:t>
            </w:r>
          </w:p>
        </w:tc>
        <w:tc>
          <w:tcPr>
            <w:tcW w:w="82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2,176</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(524 )</w:t>
            </w:r>
          </w:p>
        </w:tc>
        <w:tc>
          <w:tcPr>
            <w:tcW w:w="7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6,757</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280" w:type="dxa"/>
            <w:vAlign w:val="bottom"/>
          </w:tcPr>
          <w:p>
            <w:pPr>
              <w:spacing w:after="0"/>
              <w:rPr>
                <w:sz w:val="19"/>
                <w:szCs w:val="19"/>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472</w:t>
            </w:r>
          </w:p>
        </w:tc>
        <w:tc>
          <w:tcPr>
            <w:tcW w:w="82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1,414</w:t>
            </w:r>
          </w:p>
        </w:tc>
        <w:tc>
          <w:tcPr>
            <w:tcW w:w="74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w:t>
            </w:r>
          </w:p>
        </w:tc>
      </w:tr>
      <w:tr>
        <w:trPr>
          <w:trHeight w:val="23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38</w:t>
            </w: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(4,097 )</w:t>
            </w: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1,257</w:t>
            </w: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(1,859 )</w:t>
            </w: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3,950</w:t>
            </w:r>
          </w:p>
        </w:tc>
      </w:tr>
      <w:tr>
        <w:trPr>
          <w:trHeight w:val="263"/>
        </w:trPr>
        <w:tc>
          <w:tcPr>
            <w:tcW w:w="4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available to common shareholders-Voting</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(1,031 )</w:t>
            </w:r>
          </w:p>
        </w:tc>
        <w:tc>
          <w:tcPr>
            <w:tcW w:w="82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800" w:type="dxa"/>
            <w:vAlign w:val="bottom"/>
            <w:tcBorders>
              <w:bottom w:val="single" w:sz="8" w:color="auto"/>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(117 )</w:t>
            </w:r>
          </w:p>
        </w:tc>
        <w:tc>
          <w:tcPr>
            <w:tcW w:w="7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1,517</w:t>
            </w:r>
          </w:p>
        </w:tc>
      </w:tr>
      <w:tr>
        <w:trPr>
          <w:trHeight w:val="217"/>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outstanding-Voting</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4,714</w:t>
            </w: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4,671</w:t>
            </w: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4,708</w:t>
            </w:r>
          </w:p>
        </w:tc>
        <w:tc>
          <w:tcPr>
            <w:tcW w:w="7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4,640</w:t>
            </w:r>
          </w:p>
        </w:tc>
      </w:tr>
      <w:tr>
        <w:trPr>
          <w:trHeight w:val="20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outstanding-Series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Non-Voting</w:t>
            </w:r>
          </w:p>
        </w:tc>
        <w:tc>
          <w:tcPr>
            <w:tcW w:w="280" w:type="dxa"/>
            <w:vAlign w:val="bottom"/>
          </w:tcPr>
          <w:p>
            <w:pPr>
              <w:spacing w:after="0"/>
              <w:rPr>
                <w:sz w:val="19"/>
                <w:szCs w:val="19"/>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1,380</w:t>
            </w:r>
          </w:p>
        </w:tc>
        <w:tc>
          <w:tcPr>
            <w:tcW w:w="82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1,380</w:t>
            </w:r>
          </w:p>
        </w:tc>
        <w:tc>
          <w:tcPr>
            <w:tcW w:w="74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39"/>
        </w:trPr>
        <w:tc>
          <w:tcPr>
            <w:tcW w:w="4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share-Voting</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(0.75 )</w:t>
            </w: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0.35</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(0.09 )</w:t>
            </w: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3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share-Series A Non-Voting</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(0.75 )</w:t>
            </w:r>
          </w:p>
        </w:tc>
        <w:tc>
          <w:tcPr>
            <w:tcW w:w="82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0.35</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(0.09 )</w:t>
            </w:r>
          </w:p>
        </w:tc>
        <w:tc>
          <w:tcPr>
            <w:tcW w:w="7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432"/>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available-for-sale and held-to-maturity investment securities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7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7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7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79,254</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539</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(2,963 )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76,830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34,236</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33,042</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10,975</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248</w:t>
            </w: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10,956</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19,295</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19,160</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35,703</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35,234</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14,897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84,429</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298</w:t>
            </w:r>
          </w:p>
        </w:tc>
        <w:tc>
          <w:tcPr>
            <w:tcW w:w="7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(2,465 )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82,262</w:t>
            </w:r>
          </w:p>
        </w:tc>
      </w:tr>
      <w:tr>
        <w:trPr>
          <w:trHeight w:val="236"/>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278,789</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1,561</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(8,579 )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271,771</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278,995</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1,561</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(8,579 )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271,977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3,658</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3,458</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17,341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15,870</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44,395</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(1,742 )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42,673</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13,709</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13,237</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6,746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(491 )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6,297</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12,517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11,462</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63,281</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270</w:t>
            </w:r>
          </w:p>
        </w:tc>
        <w:tc>
          <w:tcPr>
            <w:tcW w:w="7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(1,576 )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61,975</w:t>
            </w:r>
          </w:p>
        </w:tc>
      </w:tr>
      <w:tr>
        <w:trPr>
          <w:trHeight w:val="237"/>
        </w:trPr>
        <w:tc>
          <w:tcPr>
            <w:tcW w:w="20" w:type="dxa"/>
            <w:vAlign w:val="bottom"/>
          </w:tcPr>
          <w:p>
            <w:pPr>
              <w:spacing w:after="0"/>
              <w:rPr>
                <w:sz w:val="20"/>
                <w:szCs w:val="20"/>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161,647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391</w:t>
            </w:r>
          </w:p>
        </w:tc>
        <w:tc>
          <w:tcPr>
            <w:tcW w:w="7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(7,066 )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154,972</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262</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161,385</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391</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(7,066 )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154,972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82,588</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754</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(3,259 )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34,588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11,008</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10,919</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25,446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81,812</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(3,845 )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7"/>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268,751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258,510</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268,957</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20" w:type="dxa"/>
            <w:vAlign w:val="bottom"/>
            <w:shd w:val="clear" w:color="auto" w:fill="CFF0FC"/>
          </w:tcPr>
          <w:p>
            <w:pPr>
              <w:spacing w:after="0"/>
              <w:rPr>
                <w:sz w:val="16"/>
                <w:szCs w:val="16"/>
                <w:color w:val="auto"/>
              </w:rPr>
            </w:pPr>
          </w:p>
        </w:tc>
        <w:tc>
          <w:tcPr>
            <w:tcW w:w="442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auto"/>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3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3,760</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(304 )</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16,576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(1,874 )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14,730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45,427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42,155</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16,860</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(1,180 )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15,680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6,974</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13,221</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(1,293 )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11,928</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76,819</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(3,178 )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73,761</w:t>
            </w:r>
          </w:p>
        </w:tc>
      </w:tr>
      <w:tr>
        <w:trPr>
          <w:trHeight w:val="241"/>
        </w:trPr>
        <w:tc>
          <w:tcPr>
            <w:tcW w:w="20" w:type="dxa"/>
            <w:vAlign w:val="bottom"/>
            <w:shd w:val="clear" w:color="auto" w:fill="CFF0FC"/>
          </w:tcPr>
          <w:p>
            <w:pPr>
              <w:spacing w:after="0"/>
              <w:rPr>
                <w:sz w:val="20"/>
                <w:szCs w:val="20"/>
                <w:color w:val="auto"/>
              </w:rPr>
            </w:pPr>
          </w:p>
        </w:tc>
        <w:tc>
          <w:tcPr>
            <w:tcW w:w="44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179,637</w:t>
            </w:r>
          </w:p>
        </w:tc>
        <w:tc>
          <w:tcPr>
            <w:tcW w:w="5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44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179,286</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amortized cost and estimated fair value of debt investments at September 30, 2024 by contractual maturity are shown below. Expected maturities may differ from contractual maturities because borrowers may have the right to call or prepay obligations with or without penalties. Amounts disclosed are gross values and do not include any allowance for credit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900" w:type="dxa"/>
            <w:vAlign w:val="bottom"/>
            <w:tcBorders>
              <w:bottom w:val="single" w:sz="8" w:color="auto"/>
            </w:tcBorders>
          </w:tcPr>
          <w:p>
            <w:pPr>
              <w:spacing w:after="0"/>
              <w:rPr>
                <w:sz w:val="21"/>
                <w:szCs w:val="21"/>
                <w:color w:val="auto"/>
              </w:rPr>
            </w:pPr>
          </w:p>
        </w:tc>
      </w:tr>
      <w:tr>
        <w:trPr>
          <w:trHeight w:val="234"/>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7,075</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6,709</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6,672</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10,013</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18,439</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18,257</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41,457</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38,109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38,105</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35,584</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85,215</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84,875</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15,850</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14,725</w:t>
            </w:r>
          </w:p>
        </w:tc>
      </w:tr>
      <w:tr>
        <w:trPr>
          <w:trHeight w:val="241"/>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143,760</w:t>
            </w:r>
          </w:p>
        </w:tc>
        <w:tc>
          <w:tcPr>
            <w:tcW w:w="7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139,988</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79,103</w:t>
            </w:r>
          </w:p>
        </w:tc>
        <w:tc>
          <w:tcPr>
            <w:tcW w:w="7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75,238</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35,703</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35,234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6,746</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6,297</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14,897</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12,517</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11,462</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84,429</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82,262</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63,281</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61,975</w:t>
            </w:r>
          </w:p>
        </w:tc>
      </w:tr>
      <w:tr>
        <w:trPr>
          <w:trHeight w:val="276"/>
        </w:trPr>
        <w:tc>
          <w:tcPr>
            <w:tcW w:w="4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278,789</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271,771</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161,647</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154,972</w:t>
            </w:r>
          </w:p>
        </w:tc>
      </w:tr>
      <w:tr>
        <w:trPr>
          <w:trHeight w:val="417"/>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 w:name="page15"/>
    <w:bookmarkEnd w:id="14"/>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2024</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21,910</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(2,905 )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27,910</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(2,963 )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49,820</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2,009</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(1,286 )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25,472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(1,295 )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27,481</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1,521</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(156 )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9,018</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(166 )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10,539</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7,894</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6,323</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14,217</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1,150</w:t>
            </w:r>
          </w:p>
        </w:tc>
        <w:tc>
          <w:tcPr>
            <w:tcW w:w="9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(737 )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7,361</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(738 )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8,511</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16,640</w:t>
            </w:r>
          </w:p>
        </w:tc>
        <w:tc>
          <w:tcPr>
            <w:tcW w:w="9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(2,401 )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30,362</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(2,465 )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47,002</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(227 )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51,124</w:t>
            </w:r>
          </w:p>
        </w:tc>
        <w:tc>
          <w:tcPr>
            <w:tcW w:w="98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(8,352 )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109,880</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(8,579 )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161,004</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3,458</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3,458</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(1,505 )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13,429</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(1,506 )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13,930</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(1,742 )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30,355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(1,742 )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30,355</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7,066</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(491 )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7,654</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(491 )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5,019</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(491 )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5,019</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(1,060 )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10,837</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(1,060 )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10,837</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(1,576 )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46,238</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(1,576 )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46,238</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gridSpan w:val="2"/>
            <w:vMerge w:val="continue"/>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1,089</w:t>
            </w:r>
          </w:p>
        </w:tc>
        <w:tc>
          <w:tcPr>
            <w:tcW w:w="9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(7,061 )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116,402</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(7,066 )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117,491</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5,990</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(3,246 )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(3,259 )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31,784</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(1,809 )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(65 )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5,907</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13,985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2,477</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(1,071 )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17,408</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(995 )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(995 )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(274 )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18,067</w:t>
            </w:r>
          </w:p>
        </w:tc>
        <w:tc>
          <w:tcPr>
            <w:tcW w:w="9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(3,571 )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46,483</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(3,845 )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64,550</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(366 )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32,441</w:t>
            </w:r>
          </w:p>
        </w:tc>
        <w:tc>
          <w:tcPr>
            <w:tcW w:w="98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(11,351 )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140,099</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(11,717 )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172,540</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(304 )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12,718</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(1,874 )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13,293</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(3,220 )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(3,281 )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33,971</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2,877</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10,652</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(1,180 )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13,529</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(665 )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(665 )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(1,293 )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(1,293 )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5,827</w:t>
            </w:r>
          </w:p>
        </w:tc>
        <w:tc>
          <w:tcPr>
            <w:tcW w:w="9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60,260</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(3,178 )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66,087</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gridSpan w:val="2"/>
            <w:vMerge w:val="continue"/>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9,718</w:t>
            </w:r>
          </w:p>
        </w:tc>
        <w:tc>
          <w:tcPr>
            <w:tcW w:w="9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137,488</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(11,775 )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147,206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jc w:val="both"/>
        <w:spacing w:after="0" w:line="242" w:lineRule="auto"/>
        <w:rPr>
          <w:sz w:val="20"/>
          <w:szCs w:val="20"/>
          <w:color w:val="auto"/>
        </w:rPr>
      </w:pPr>
      <w:r>
        <w:rPr>
          <w:rFonts w:ascii="Times New Roman" w:cs="Times New Roman" w:eastAsia="Times New Roman" w:hAnsi="Times New Roman"/>
          <w:sz w:val="20"/>
          <w:szCs w:val="20"/>
          <w:color w:val="auto"/>
        </w:rPr>
        <w:t>of the interest rate yield curve), (3) general bond market liquidity, (4) the recent and expected near-term volume of new issuances of similar debt securities, and (5) changes in the market values of individual loan collateral underlying mortgage-backed and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3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AFS, with an aggregate amortized historical cost of $279.0 million, had an aggregate fair value that was less than its aggregate amortized historical cost by $7.0 million</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auto"/>
        </w:rPr>
        <w:t xml:space="preserve"> or -2.5%, at September 30, 2024. The AFS securities portfolio, with an aggregate amortized historical cost of $269.0 million, had an aggregate fair value that was less than its aggregate amortized historical cost by $10.2 million, or -3.8%, at December 31, 2023. The resultant $3.2 million total improvement in the fair value of the AFS investment portfolio's aggregate fair value, relative to its aggregate amortized historical cost, in the nine months ended September 30,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nine months ended September 30, 2024 did not represent any changes in credit loss estimations within the portfolio.</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HTM, with an aggregate amortized historical cost of $161.6 million, had an aggregate fair value that was less than its aggregate amortized historical cost by $6.7 million, or -4.1%, at September 30, 2024. The portion of the investment securities portfolio, categorized as HTM, with an aggregate amortized historical cost of $179.6 million, had an aggregate fair value that was less than its aggregate amortized historical cost by $11.6 million, or -6.5%, at December 31, 2023. The resultant $4.9 million improvement in the aggregate fair value of the HTM investment portfolio, relative to its aggregate amortized historical cost, during the nine months ended September 30,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nine months ended September 30, 2024 did not represent any changes in credit loss estimations within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line="269" w:lineRule="auto"/>
        <w:rPr>
          <w:sz w:val="20"/>
          <w:szCs w:val="20"/>
          <w:color w:val="auto"/>
        </w:rPr>
      </w:pPr>
      <w:r>
        <w:rPr>
          <w:rFonts w:ascii="Times New Roman" w:cs="Times New Roman" w:eastAsia="Times New Roman" w:hAnsi="Times New Roman"/>
          <w:sz w:val="20"/>
          <w:szCs w:val="20"/>
          <w:color w:val="auto"/>
        </w:rPr>
        <w:t>the portfolio. The Company does not intend to sell these securities, nor is it more likely than not that the Company will be required to sell these securities prior to the recovery of the amortized cost.</w:t>
      </w:r>
    </w:p>
    <w:p>
      <w:pPr>
        <w:spacing w:after="0" w:line="21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depicts a rollforward of the allowance for credit losses on investment securities classified as held-to-maturity for the three months ended September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Securities Issued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Issued and</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Mortgage and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By State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Sponsored</w:t>
            </w:r>
          </w:p>
        </w:tc>
        <w:tc>
          <w:tcPr>
            <w:tcW w:w="18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credit deterioration</w:t>
            </w:r>
          </w:p>
        </w:tc>
        <w:tc>
          <w:tcPr>
            <w:tcW w:w="3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3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2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Issued and</w:t>
            </w:r>
          </w:p>
        </w:tc>
        <w:tc>
          <w:tcPr>
            <w:tcW w:w="16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w:t>
            </w:r>
          </w:p>
        </w:tc>
        <w:tc>
          <w:tcPr>
            <w:tcW w:w="2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By State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Sponsored</w:t>
            </w:r>
          </w:p>
        </w:tc>
        <w:tc>
          <w:tcPr>
            <w:tcW w:w="16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300" w:type="dxa"/>
            <w:vAlign w:val="bottom"/>
          </w:tcPr>
          <w:p>
            <w:pPr>
              <w:spacing w:after="0"/>
              <w:rPr>
                <w:sz w:val="20"/>
                <w:szCs w:val="20"/>
                <w:color w:val="auto"/>
              </w:rPr>
            </w:pPr>
          </w:p>
        </w:tc>
        <w:tc>
          <w:tcPr>
            <w:tcW w:w="1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1"/>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 with</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deterioration</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30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depicts a rollforward of the allowance for credit losses on investment securities classified as held-to-maturity for the nine months ended September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Securities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Issued 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Sponsored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Mortgage and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and Political</w:t>
            </w:r>
          </w:p>
        </w:tc>
        <w:tc>
          <w:tcPr>
            <w:tcW w:w="24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Enterprise Securities</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backed Securities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Subdivisions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15"/>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on purchased financial assets</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48"/>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 credit deterioration</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21"/>
                <w:szCs w:val="21"/>
                <w:color w:val="auto"/>
              </w:rPr>
            </w:pP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5"/>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Securities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Issued and</w:t>
            </w:r>
          </w:p>
        </w:tc>
        <w:tc>
          <w:tcPr>
            <w:tcW w:w="18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Mortgage and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Government Sponsored</w:t>
            </w:r>
          </w:p>
        </w:tc>
        <w:tc>
          <w:tcPr>
            <w:tcW w:w="18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and Political</w:t>
            </w:r>
          </w:p>
        </w:tc>
        <w:tc>
          <w:tcPr>
            <w:tcW w:w="2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Subdivisions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the adoption of ASU 2016-13</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on purchased financial assets with</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deterioration</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NRSRO credit ratings. These assessments are made on a quarterly basis. Amounts disclosed are gross values and do not include any allowance for credit loss. The following table summarizes the amortized cost of debt securities categorized as HTM at September 30, 2024 and December 31, 2023, aggregated by credit quality indicators: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7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 or equivalent</w:t>
            </w:r>
          </w:p>
        </w:tc>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33,922</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42,476</w:t>
            </w:r>
          </w:p>
        </w:tc>
      </w:tr>
      <w:tr>
        <w:trPr>
          <w:trHeight w:val="21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 or equivalent, including securities issued by the United States</w:t>
            </w:r>
          </w:p>
        </w:tc>
        <w:tc>
          <w:tcPr>
            <w:tcW w:w="108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r>
      <w:tr>
        <w:trPr>
          <w:trHeight w:val="24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or Government Sponsored Enterprises</w:t>
            </w:r>
          </w:p>
        </w:tc>
        <w:tc>
          <w:tcPr>
            <w:tcW w:w="1080" w:type="dxa"/>
            <w:vAlign w:val="bottom"/>
            <w:shd w:val="clear" w:color="auto" w:fill="CFF0FC"/>
          </w:tcPr>
          <w:p>
            <w:pPr>
              <w:spacing w:after="0"/>
              <w:rPr>
                <w:sz w:val="21"/>
                <w:szCs w:val="21"/>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49,479</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or equivalent</w:t>
            </w:r>
          </w:p>
        </w:tc>
        <w:tc>
          <w:tcPr>
            <w:tcW w:w="10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19,021</w:t>
            </w: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BBB or equivalent</w:t>
            </w:r>
          </w:p>
        </w:tc>
        <w:tc>
          <w:tcPr>
            <w:tcW w:w="1080" w:type="dxa"/>
            <w:vAlign w:val="bottom"/>
            <w:shd w:val="clear" w:color="auto" w:fill="CFF0FC"/>
          </w:tcPr>
          <w:p>
            <w:pPr>
              <w:spacing w:after="0"/>
              <w:rPr>
                <w:sz w:val="21"/>
                <w:szCs w:val="21"/>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16,304</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 or equivalent</w:t>
            </w:r>
          </w:p>
        </w:tc>
        <w:tc>
          <w:tcPr>
            <w:tcW w:w="10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r>
      <w:tr>
        <w:trPr>
          <w:trHeight w:val="243"/>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Unrated</w:t>
            </w:r>
          </w:p>
        </w:tc>
        <w:tc>
          <w:tcPr>
            <w:tcW w:w="1080" w:type="dxa"/>
            <w:vAlign w:val="bottom"/>
            <w:tcBorders>
              <w:bottom w:val="single" w:sz="8" w:color="auto"/>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61,811</w:t>
            </w:r>
          </w:p>
        </w:tc>
        <w:tc>
          <w:tcPr>
            <w:tcW w:w="7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51,374</w:t>
            </w:r>
          </w:p>
        </w:tc>
      </w:tr>
      <w:tr>
        <w:trPr>
          <w:trHeight w:val="23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161,647</w:t>
            </w:r>
          </w:p>
        </w:tc>
        <w:tc>
          <w:tcPr>
            <w:tcW w:w="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179,637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Gross realized (losses) gains on sales and redemptions of available-for-sale and held-to-maturity securities for the indicated periods are detailed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 the three months</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For the nine months</w:t>
            </w:r>
          </w:p>
        </w:tc>
        <w:tc>
          <w:tcPr>
            <w:tcW w:w="700" w:type="dxa"/>
            <w:vAlign w:val="bottom"/>
          </w:tcPr>
          <w:p>
            <w:pPr>
              <w:spacing w:after="0"/>
              <w:rPr>
                <w:sz w:val="20"/>
                <w:szCs w:val="20"/>
                <w:color w:val="auto"/>
              </w:rPr>
            </w:pPr>
          </w:p>
        </w:tc>
      </w:tr>
      <w:tr>
        <w:trPr>
          <w:trHeight w:val="250"/>
        </w:trPr>
        <w:tc>
          <w:tcPr>
            <w:tcW w:w="44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ended September 30,</w:t>
            </w: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ended September 30,</w:t>
            </w:r>
          </w:p>
        </w:tc>
        <w:tc>
          <w:tcPr>
            <w:tcW w:w="700" w:type="dxa"/>
            <w:vAlign w:val="bottom"/>
            <w:tcBorders>
              <w:bottom w:val="single" w:sz="8" w:color="auto"/>
            </w:tcBorders>
          </w:tcPr>
          <w:p>
            <w:pPr>
              <w:spacing w:after="0"/>
              <w:rPr>
                <w:sz w:val="21"/>
                <w:szCs w:val="21"/>
                <w:color w:val="auto"/>
              </w:rPr>
            </w:pPr>
          </w:p>
        </w:tc>
      </w:tr>
      <w:tr>
        <w:trPr>
          <w:trHeight w:val="23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86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(188 )</w:t>
            </w: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(13 )</w:t>
            </w: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(1,070 )</w:t>
            </w: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(1,961 )</w:t>
            </w:r>
          </w:p>
        </w:tc>
      </w:tr>
      <w:tr>
        <w:trPr>
          <w:trHeight w:val="276"/>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(188 )</w:t>
            </w:r>
          </w:p>
        </w:tc>
        <w:tc>
          <w:tcPr>
            <w:tcW w:w="10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(13 )</w:t>
            </w:r>
          </w:p>
        </w:tc>
        <w:tc>
          <w:tcPr>
            <w:tcW w:w="7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(320 )</w:t>
            </w:r>
          </w:p>
        </w:tc>
        <w:tc>
          <w:tcPr>
            <w:tcW w:w="86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September 30, 2024 and December 31, 2023, securities with a fair value of $126.7 million and $110.3 million, respectively, were pledged to collateralize certain municipal deposit relationships. As of the same dates, securities with a fair value of $108.9 million and $114.3 million, respectively, were pledged against certain borrowing arrangements.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Pension and Postretirement Benefits</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spacing w:after="0" w:line="245" w:lineRule="auto"/>
        <w:rPr>
          <w:sz w:val="20"/>
          <w:szCs w:val="20"/>
          <w:color w:val="auto"/>
        </w:rPr>
      </w:pPr>
      <w:r>
        <w:rPr>
          <w:rFonts w:ascii="Times New Roman" w:cs="Times New Roman" w:eastAsia="Times New Roman" w:hAnsi="Times New Roman"/>
          <w:sz w:val="20"/>
          <w:szCs w:val="20"/>
          <w:color w:val="auto"/>
        </w:rPr>
        <w:t>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net periodic pension plan and postretirement plan costs for the indicated periods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Pension Benefits</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Postretirement Benefits</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Pension Benefits</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Postretirement Benefits</w:t>
            </w:r>
          </w:p>
        </w:tc>
      </w:tr>
      <w:tr>
        <w:trPr>
          <w:trHeight w:val="223"/>
        </w:trPr>
        <w:tc>
          <w:tcPr>
            <w:tcW w:w="3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color w:val="auto"/>
              </w:rPr>
              <w:t>For the nine months ended September 30,</w:t>
            </w:r>
          </w:p>
        </w:tc>
        <w:tc>
          <w:tcPr>
            <w:tcW w:w="540" w:type="dxa"/>
            <w:vAlign w:val="bottom"/>
            <w:tcBorders>
              <w:bottom w:val="single" w:sz="8" w:color="auto"/>
            </w:tcBorders>
          </w:tcPr>
          <w:p>
            <w:pPr>
              <w:spacing w:after="0"/>
              <w:rPr>
                <w:sz w:val="19"/>
                <w:szCs w:val="19"/>
                <w:color w:val="auto"/>
              </w:rPr>
            </w:pPr>
          </w:p>
        </w:tc>
      </w:tr>
      <w:tr>
        <w:trPr>
          <w:trHeight w:val="22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3"/>
              </w:rPr>
              <w:t>2023</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3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520" w:type="dxa"/>
            <w:vAlign w:val="bottom"/>
          </w:tcPr>
          <w:p>
            <w:pPr>
              <w:spacing w:after="0"/>
              <w:rPr>
                <w:sz w:val="19"/>
                <w:szCs w:val="19"/>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9"/>
                <w:szCs w:val="19"/>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417</w:t>
            </w:r>
          </w:p>
        </w:tc>
        <w:tc>
          <w:tcPr>
            <w:tcW w:w="520" w:type="dxa"/>
            <w:vAlign w:val="bottom"/>
          </w:tcPr>
          <w:p>
            <w:pPr>
              <w:spacing w:after="0"/>
              <w:rPr>
                <w:sz w:val="19"/>
                <w:szCs w:val="19"/>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421</w:t>
            </w:r>
          </w:p>
        </w:tc>
        <w:tc>
          <w:tcPr>
            <w:tcW w:w="180" w:type="dxa"/>
            <w:vAlign w:val="bottom"/>
          </w:tcPr>
          <w:p>
            <w:pPr>
              <w:spacing w:after="0"/>
              <w:rPr>
                <w:sz w:val="19"/>
                <w:szCs w:val="19"/>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3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(253 )</w:t>
            </w:r>
          </w:p>
        </w:tc>
        <w:tc>
          <w:tcPr>
            <w:tcW w:w="5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(241 )</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(760 )</w:t>
            </w:r>
          </w:p>
        </w:tc>
        <w:tc>
          <w:tcPr>
            <w:tcW w:w="5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8"/>
              </w:rPr>
              <w:t>(724 )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credits</w:t>
            </w:r>
          </w:p>
        </w:tc>
        <w:tc>
          <w:tcPr>
            <w:tcW w:w="24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(3 )</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3"/>
        </w:trPr>
        <w:tc>
          <w:tcPr>
            <w:tcW w:w="3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losses</w:t>
            </w:r>
          </w:p>
        </w:tc>
        <w:tc>
          <w:tcPr>
            <w:tcW w:w="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5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4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116</w:t>
            </w:r>
          </w:p>
        </w:tc>
        <w:tc>
          <w:tcPr>
            <w:tcW w:w="5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(3 )</w:t>
            </w:r>
          </w:p>
        </w:tc>
        <w:tc>
          <w:tcPr>
            <w:tcW w:w="4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3"/>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(75 )</w:t>
            </w:r>
          </w:p>
        </w:tc>
        <w:tc>
          <w:tcPr>
            <w:tcW w:w="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(227 )</w:t>
            </w:r>
          </w:p>
        </w:tc>
        <w:tc>
          <w:tcPr>
            <w:tcW w:w="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(133 )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evaluate the need for further contributions to the defined benefit pension plan during 2024. The prepaid pension asset of $7.9 million and $7.5 million as of September 30, 2024 and December 31, 2023 respectively, is recorded in other assets on the consolidated statements of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Loans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at the indicated dates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5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2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255,235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5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4,077</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2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259,312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41"/>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25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25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378,805</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2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64,672</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25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88,247</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2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2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2,658</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7"/>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25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534,507</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2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52,709</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2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76,703</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7"/>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25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129,412</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3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 loans</w:t>
            </w:r>
          </w:p>
        </w:tc>
        <w:tc>
          <w:tcPr>
            <w:tcW w:w="25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923,231</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loan fees</w:t>
            </w:r>
          </w:p>
        </w:tc>
        <w:tc>
          <w:tcPr>
            <w:tcW w:w="25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(1,571 )</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921,660</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897,207</w:t>
            </w:r>
          </w:p>
        </w:tc>
      </w:tr>
      <w:tr>
        <w:trPr>
          <w:trHeight w:val="236"/>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17,274</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2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904,386</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881,232</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jc w:val="both"/>
        <w:spacing w:after="0" w:line="249" w:lineRule="auto"/>
        <w:rPr>
          <w:sz w:val="20"/>
          <w:szCs w:val="20"/>
          <w:color w:val="auto"/>
        </w:rPr>
      </w:pPr>
      <w:r>
        <w:rPr>
          <w:rFonts w:ascii="Times New Roman" w:cs="Times New Roman" w:eastAsia="Times New Roman" w:hAnsi="Times New Roman"/>
          <w:sz w:val="20"/>
          <w:szCs w:val="20"/>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 purchased loan pool positions held by the Bank at September 30, 2024 and December 31, 2023 (the month/year of the earliest acquisition date is depicted in parentheses):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ed</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5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Original</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41"/>
        </w:trPr>
        <w:tc>
          <w:tcPr>
            <w:tcW w:w="512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(Discount)</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6,800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Unsecured consumer installment loans pool 3 (12/2019)</w:t>
            </w:r>
            <w:r>
              <w:rPr>
                <w:rFonts w:ascii="Times New Roman" w:cs="Times New Roman" w:eastAsia="Times New Roman" w:hAnsi="Times New Roman"/>
                <w:sz w:val="24"/>
                <w:szCs w:val="24"/>
                <w:color w:val="auto"/>
                <w:vertAlign w:val="superscript"/>
              </w:rPr>
              <w:t>(2)</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1"/>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(1,308 )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Unsecured consumer loans pool 5 (1/2021)</w:t>
            </w:r>
            <w:r>
              <w:rPr>
                <w:rFonts w:ascii="Times New Roman" w:cs="Times New Roman" w:eastAsia="Times New Roman" w:hAnsi="Times New Roman"/>
                <w:sz w:val="24"/>
                <w:szCs w:val="24"/>
                <w:color w:val="auto"/>
                <w:vertAlign w:val="superscript"/>
              </w:rPr>
              <w:t>(1)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13,300</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 years</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8,600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(2,687 )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r>
      <w:tr>
        <w:trPr>
          <w:trHeight w:val="250"/>
        </w:trPr>
        <w:tc>
          <w:tcPr>
            <w:tcW w:w="512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Unsecured consumer loans pool 6 (11/2021)</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16,200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(2,125 )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r>
      <w:tr>
        <w:trPr>
          <w:trHeight w:val="23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(7/2024)</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$ 170,350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75,440</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(6,133 )</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2,790</w:t>
            </w:r>
          </w:p>
        </w:tc>
        <w:tc>
          <w:tcPr>
            <w:tcW w:w="10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2,560</w:t>
            </w:r>
          </w:p>
        </w:tc>
      </w:tr>
      <w:tr>
        <w:trPr>
          <w:trHeight w:val="46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ed</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5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Original</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41"/>
        </w:trPr>
        <w:tc>
          <w:tcPr>
            <w:tcW w:w="512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(Discount)</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15"/>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10,600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(1,252 )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499</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5 (1/2021)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12,400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(2,923 )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2 (11/2021) paid in full at</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12/11/23</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6 (11/2021)</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18,200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(2,292 )</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$ 179,800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87,400</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(6,504 )</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3,093</w:t>
            </w:r>
          </w:p>
        </w:tc>
        <w:tc>
          <w:tcPr>
            <w:tcW w:w="10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417"/>
        </w:trPr>
        <w:tc>
          <w:tcPr>
            <w:tcW w:w="512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1" w:name="page22"/>
    <w:bookmarkEnd w:id="21"/>
    <w:p>
      <w:pPr>
        <w:jc w:val="both"/>
        <w:ind w:left="1020" w:hanging="503"/>
        <w:spacing w:after="0" w:line="269"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The Bank realized gains related to the settlement of these two hedging contracts were $117,000 and $694,000, respectively. These gains on the extinguishment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$729,000 at September 30, 2024.</w:t>
      </w:r>
    </w:p>
    <w:p>
      <w:pPr>
        <w:spacing w:after="0" w:line="81" w:lineRule="exact"/>
        <w:rPr>
          <w:rFonts w:ascii="Times New Roman" w:cs="Times New Roman" w:eastAsia="Times New Roman" w:hAnsi="Times New Roman"/>
          <w:sz w:val="16"/>
          <w:szCs w:val="16"/>
          <w:color w:val="auto"/>
        </w:rPr>
      </w:pPr>
    </w:p>
    <w:p>
      <w:pPr>
        <w:jc w:val="both"/>
        <w:ind w:left="1020" w:hanging="503"/>
        <w:spacing w:after="0" w:line="269"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2023, the primary servicer for a purchased pool of consumer installment loans declared bankruptcy and the Bank placed the loans within the serviced pool on nonaccrual status pending the release of collected funds by the U.S. Bankruptcy court of jurisdiction. The current balance reflects anticipated principal payments that are expected to be received after the bankruptcy proceedings are finalized and the remaining amount expected to be collected from the pool’s underlying borrowers. At September 30, 2024, the Bank has recorded a total receivable of $347,000 related to the remaining unpaid portion of the original loan pool, of which $124,000 has currently been collected by the servicer from underlying borrowers and is being held in a segregated account by the Bankruptcy Court and approximately $223,000 remains due from borrowers under the scheduled repayment terms of their original loan agreements. The Bank’s management expects to ultimately collect substantially all of these funds and does not consider the loans in this pool to be impaired at September 30, 2024.</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September 30, 2024 and December 31, 2023, the allowance for credit losses (the "ACL") related to these pools were $4.2 million and $2.1 million, respectively. As of September 30, 2024 and December 31, 2023, residential mortgage loans with a carrying value of $116.0 million and $113.6 million, respectively, have been pledged by the Company to the Federal Home Loan Bank of New York (“FHLBNY”) under a blanket collateral agreement to secure the Company’s line of credit and term borrowings. For additional information related to these pools, please see Note 7 Allowance For Credit Losses.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Origination / Risk Management</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lending policies and procedures are presented in Note 5 to the audited consolidated financial statements included in the 2023 Annual Report on Form 10-K filed with the Securities and Exchange Commission on March 22, 2024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15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7"/>
              </w:rPr>
              <w:t>Portfolio Segment</w:t>
            </w:r>
          </w:p>
        </w:tc>
        <w:tc>
          <w:tcPr>
            <w:tcW w:w="3120" w:type="dxa"/>
            <w:vAlign w:val="bottom"/>
            <w:tcBorders>
              <w:top w:val="single" w:sz="8" w:color="auto"/>
            </w:tcBorders>
          </w:tcPr>
          <w:p>
            <w:pPr>
              <w:spacing w:after="0"/>
              <w:rPr>
                <w:sz w:val="18"/>
                <w:szCs w:val="18"/>
                <w:color w:val="auto"/>
              </w:rPr>
            </w:pPr>
          </w:p>
        </w:tc>
        <w:tc>
          <w:tcPr>
            <w:tcW w:w="6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Class</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538"/>
        </w:trPr>
        <w:tc>
          <w:tcPr>
            <w:tcW w:w="120" w:type="dxa"/>
            <w:vAlign w:val="bottom"/>
            <w:tcBorders>
              <w:left w:val="single" w:sz="8" w:color="auto"/>
            </w:tcBorders>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r>
      <w:tr>
        <w:trPr>
          <w:trHeight w:val="258"/>
        </w:trPr>
        <w:tc>
          <w:tcPr>
            <w:tcW w:w="120" w:type="dxa"/>
            <w:vAlign w:val="bottom"/>
            <w:tcBorders>
              <w:left w:val="single" w:sz="8" w:color="auto"/>
            </w:tcBorders>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511"/>
        </w:trPr>
        <w:tc>
          <w:tcPr>
            <w:tcW w:w="120" w:type="dxa"/>
            <w:vAlign w:val="bottom"/>
            <w:tcBorders>
              <w:left w:val="single" w:sz="8" w:color="auto"/>
            </w:tcBorders>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r>
      <w:tr>
        <w:trPr>
          <w:trHeight w:val="257"/>
        </w:trPr>
        <w:tc>
          <w:tcPr>
            <w:tcW w:w="120" w:type="dxa"/>
            <w:vAlign w:val="bottom"/>
            <w:tcBorders>
              <w:left w:val="single" w:sz="8" w:color="auto"/>
            </w:tcBorders>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Lines of credit</w:t>
            </w:r>
          </w:p>
        </w:tc>
      </w:tr>
      <w:tr>
        <w:trPr>
          <w:trHeight w:val="257"/>
        </w:trPr>
        <w:tc>
          <w:tcPr>
            <w:tcW w:w="120" w:type="dxa"/>
            <w:vAlign w:val="bottom"/>
            <w:tcBorders>
              <w:left w:val="single" w:sz="8" w:color="auto"/>
            </w:tcBorders>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commercial and industrial</w:t>
            </w:r>
          </w:p>
        </w:tc>
      </w:tr>
      <w:tr>
        <w:trPr>
          <w:trHeight w:val="258"/>
        </w:trPr>
        <w:tc>
          <w:tcPr>
            <w:tcW w:w="120" w:type="dxa"/>
            <w:vAlign w:val="bottom"/>
            <w:tcBorders>
              <w:left w:val="single" w:sz="8" w:color="auto"/>
            </w:tcBorders>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exempt loans</w:t>
            </w:r>
          </w:p>
        </w:tc>
      </w:tr>
      <w:tr>
        <w:trPr>
          <w:trHeight w:val="511"/>
        </w:trPr>
        <w:tc>
          <w:tcPr>
            <w:tcW w:w="120" w:type="dxa"/>
            <w:vAlign w:val="bottom"/>
            <w:tcBorders>
              <w:left w:val="single" w:sz="8" w:color="auto"/>
            </w:tcBorders>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r>
      <w:tr>
        <w:trPr>
          <w:trHeight w:val="262"/>
        </w:trPr>
        <w:tc>
          <w:tcPr>
            <w:tcW w:w="1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c>
          <w:tcPr>
            <w:tcW w:w="6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consumer</w:t>
            </w:r>
          </w:p>
        </w:tc>
      </w:tr>
    </w:tbl>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September 30, 2024, summarized by the aggregate pass rating and the classified ratings of special mention, substandard and doubtful within the Company's internal risk rating system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125,04</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353,05</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30,826</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49,643</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65,662</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$ 53,857</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$ 28,022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13,996</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14,468</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843</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4,323</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1,652</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3,685</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11,220</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129,26</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378,80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31,669</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53,966</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80,158</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55,509</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28,239</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60,113</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3,133</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63,246</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605</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61,027</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3,645</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64,672</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12,437</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22,109</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14,417</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4,701</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4,326</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18,687</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5,863</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82,540</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2,072</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216</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1,071</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303</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1,231</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328</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429</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12,437</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24,509</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15,512</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5,346</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4,662</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19,918</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5,863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88,247</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Paycheck Protection Program</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125</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Exempt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2,402</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Tax Exempt 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2,402</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3" w:name="page24"/>
    <w:bookmarkEnd w:id="23"/>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first-lien residential</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111,17</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252,02</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8,370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16,151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29,461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49,580</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$ 37,290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91</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1-4 family first-lien residential</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113,20</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255,23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8,370</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16,151</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29,919</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49,671</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37,924</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4,077</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4,077</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Construction</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4,077</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4,077</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4,219</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3,173</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3,055</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1,669</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13,680</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19,549</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954</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51,934</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677</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4,219</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3,173</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3,068</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1,669</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13,730</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20,246</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969</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52,709</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4,049</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62,500</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4,215</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2,165</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1,145</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2,543</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76,617</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78</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Consumer</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4,049</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62,500</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4,215</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2,249</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1,145</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2,545</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76,703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Deferred Loan Fees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(755 )</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(135 )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(45 )</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(604 )</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(1,571 )</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5"/>
              </w:rPr>
              <w:t>115,70</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280,45</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921,66</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65,514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161,401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132,962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$ 73,870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87,136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4,614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December 31, 2023, summarized by the aggregate pass rating and the classified ratings of special mention, substandard and doubtful within the Company's internal risk rating system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2020</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332,67</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43,823</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67,743</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55,395</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  29,222</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$ 51,270</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$ 85,218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14,016</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797</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14,813</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3,006</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2,339</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739</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396</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4,085</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11,065</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358,70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46,829</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82,259</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57,734</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29,961</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51,666</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90,258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62,824</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7,141</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69,965</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758</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63,996</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8,073</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72,069</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27,433</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16,735</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6,457</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5,541</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7,828</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11,994</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4,195</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80,183</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2,490</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248</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67</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1,124</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929</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754</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2,362</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1,405</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31,358</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17,859</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7,634</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6,362</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8,039</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14,356</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89,803</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158</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Paycheck Protection Program</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158</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Exempt Loans</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151</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3,168</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Tax Exempt Loans</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151</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first-lien residential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252,56</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17,403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31,591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51,027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39,454</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$ 18,491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94,594</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1,601</w:t>
            </w:r>
          </w:p>
        </w:tc>
        <w:tc>
          <w:tcPr>
            <w:tcW w:w="24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566</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176</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209</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1,168</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154</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1-4 family first-lien residential</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257,60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17,403</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31,591</w:t>
            </w: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52,766</w:t>
            </w: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40,383</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18,949</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96,512</w:t>
            </w: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Construction</w:t>
            </w: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8,317</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1,880</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1,404</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853</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2,228</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18,177</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689</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34,107</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601</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8,317</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1,880</w:t>
            </w: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1,470</w:t>
            </w: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853</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2,283</w:t>
            </w: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18,798</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34,858</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Consumer:</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68,434</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3,876</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3,103</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1,381</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79,670</w:t>
            </w:r>
          </w:p>
        </w:tc>
        <w:tc>
          <w:tcPr>
            <w:tcW w:w="0" w:type="dxa"/>
            <w:vAlign w:val="bottom"/>
          </w:tcPr>
          <w:p>
            <w:pPr>
              <w:spacing w:after="0"/>
              <w:rPr>
                <w:sz w:val="1"/>
                <w:szCs w:val="1"/>
                <w:color w:val="auto"/>
              </w:rPr>
            </w:pPr>
          </w:p>
        </w:tc>
      </w:tr>
      <w:tr>
        <w:trPr>
          <w:trHeight w:val="22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9"/>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Consumer</w:t>
            </w: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68,458</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3,924</w:t>
            </w: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3,125</w:t>
            </w: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1,390</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1,540</w:t>
            </w: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1,360</w:t>
            </w: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Deferred Loan Fees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(289 )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(12 )</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(82 )</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(574 )</w:t>
            </w:r>
          </w:p>
        </w:tc>
        <w:tc>
          <w:tcPr>
            <w:tcW w:w="0" w:type="dxa"/>
            <w:vAlign w:val="bottom"/>
          </w:tcPr>
          <w:p>
            <w:pPr>
              <w:spacing w:after="0"/>
              <w:rPr>
                <w:sz w:val="1"/>
                <w:szCs w:val="1"/>
                <w:color w:val="auto"/>
              </w:rPr>
            </w:pPr>
          </w:p>
        </w:tc>
      </w:tr>
      <w:tr>
        <w:trPr>
          <w:trHeight w:val="202"/>
        </w:trPr>
        <w:tc>
          <w:tcPr>
            <w:tcW w:w="2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207,59</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897,20</w:t>
            </w:r>
          </w:p>
        </w:tc>
        <w:tc>
          <w:tcPr>
            <w:tcW w:w="0" w:type="dxa"/>
            <w:vAlign w:val="bottom"/>
          </w:tcPr>
          <w:p>
            <w:pPr>
              <w:spacing w:after="0"/>
              <w:rPr>
                <w:sz w:val="1"/>
                <w:szCs w:val="1"/>
                <w:color w:val="auto"/>
              </w:rPr>
            </w:pPr>
          </w:p>
        </w:tc>
      </w:tr>
      <w:tr>
        <w:trPr>
          <w:trHeight w:val="263"/>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173,536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137,573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122,717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79,176</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$ 80,852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86,989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8,771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An aging analysis of past due loans, not including net deferred loan costs, segregated by portfolio segment and class of loans,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2024 and December 31, 2023, are detailed in the following tables: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As of September 30, 2024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60-89 Days</w:t>
            </w:r>
          </w:p>
        </w:tc>
        <w:tc>
          <w:tcPr>
            <w:tcW w:w="3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249,842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255,235</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4,077</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1,605</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5,393</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253,919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259,312</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6,718</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5,406</w:t>
            </w:r>
          </w:p>
        </w:tc>
        <w:tc>
          <w:tcPr>
            <w:tcW w:w="3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5,950</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18,074</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360,731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378,805</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3,859</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60,813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64,672</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6,323</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7,445</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80,802</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88,247</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r>
      <w:tr>
        <w:trPr>
          <w:trHeight w:val="23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9,954</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5,760</w:t>
            </w: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13,664</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29,378</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505,129</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534,507</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1,372</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1,962</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50,747</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52,709</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75,515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76,703</w:t>
            </w:r>
          </w:p>
        </w:tc>
      </w:tr>
      <w:tr>
        <w:trPr>
          <w:trHeight w:val="237"/>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1,847</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3,150</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126,262</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129,412</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14,811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6,940</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16,170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37,921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885,310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923,231</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4"/>
        </w:trPr>
        <w:tc>
          <w:tcPr>
            <w:tcW w:w="4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As of December 31, 2023</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60-89 Days</w:t>
            </w:r>
          </w:p>
        </w:tc>
        <w:tc>
          <w:tcPr>
            <w:tcW w:w="3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2,269</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252,103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2,269</w:t>
            </w:r>
          </w:p>
        </w:tc>
        <w:tc>
          <w:tcPr>
            <w:tcW w:w="3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253,458</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5,385</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10,634</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348,073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70,965</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5,347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6,340</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12,009</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77,794</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10,912</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23,747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500,420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34,427</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2,948</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4,315</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75,482</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412</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3,140</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109,909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7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13,568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3,199</w:t>
            </w: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17,227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33,994</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863,787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r>
        <w:trPr>
          <w:trHeight w:val="876"/>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20"/>
          <w:szCs w:val="20"/>
          <w:color w:val="auto"/>
        </w:rPr>
        <w:t>As of September 30, 2024 and December 31, 2023, the amount of interest income recognized on nonaccrual loans and the cost basis of nonaccrual loans, for which there is no ACL, are detailed in the following tables. All loans greater than 90 days past due are classified as nonaccrual.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4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1,098</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6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1,098</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4,247</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1,355</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1,951</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36"/>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7,553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6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8,714</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r>
      <w:tr>
        <w:trPr>
          <w:trHeight w:val="451"/>
        </w:trPr>
        <w:tc>
          <w:tcPr>
            <w:tcW w:w="6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3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3,058</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4,079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36"/>
        </w:trPr>
        <w:tc>
          <w:tcPr>
            <w:tcW w:w="6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7,137</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6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6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8,413</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September 30, 2024, the Bank's 80 nonperforming loans represented 1.8% of total loans, with an aggregate outstanding balance of $16.2 million, as compared to 150 loans with an aggregate outstanding balance of $17.2 million at December 31, 2023. This decrease in nonaccrual balances of $1.0 million was primarily the result of a decrease in consumer loans related to charge-offs totaling $2.5 million for purchased loan pools, and a $200,000 decrease in residential mortgage loans, offset by an increase in commercial loans of $1.3 million. Management is closely monitoring all nonaccrual loans and has incorporated its current estimate of the ultimate collectability of these loans into the reported allowance for credit losses at September 30, 2024.</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 w:name="page29"/>
    <w:bookmarkEnd w:id="2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exposure at default estimation. The probability of default and loss given default are applied to future cash flows that are adjusted to present value and these discounted expected losses become the Allowance for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Allowance for Credit Losses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 Company recorded $9.0 million in provision for credit losses ("PCL") for the three month period ended September 30, 2024, as compared to $833,000 for the three month period ended September 30, 2023. For the first nine months of 2024, we recorded $10.0 million in provision for credit losses compared to $2.7 million in the first nine months of the prior year.</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provision for credit losses in in the three and nine months ended September 30, 2024, as compared to the same three and nine month periods in 2023, primarily resulted from a comprehensive loan portfolio review that the Bank elected to undertake as part of its commitment to continuously improve its credit risk management approach.</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comprehensive review included a detailed review of our originated loan portfolios as well as a reevaluation of certain purchased loan pools in light of observed changes in consumer loan repayment behavior, particularly for purchased consumer installment loan pools secured by liens on residential solar equipment installations (“Solar Loan Pools”), which are collateralized by security interests and validly executed liens on the installed equipment related to the loans. In general, these Solar Loan Pools are repaid through normal contractual amortization or voluntary prepayments, including discharges through full repayment when the related residential property is sold or refinanced. In reevaluating the current and expected performance of the four purchased Solar Loan Pools, management determined that these pools started to experience prepayment rates that are slower and have also exhibited higher charge-off rates than originally expected. As a result, management recorded an increase of approximately $4.6 million to the PCL for the three month period ended September 30, 2024 to properly record a current estimate of the lifetime losses related to the Solar Loan Pools.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comprehensive review of the originated loan portfolio considered all aspects of reviewed credits, including collectability, specific reserves, and collateral. As a result, management recorded an increase of $3.8 million to the PCL for the three month period ended September 30, 2024, to properly reserve for these loans.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this comprehensive review, the Company recorded net charge offs of $8.7 million in the third quarter of 2024 and reduced nonperforming loans to $16.2 million at September 30, 2024. The allowance for credit losses on September 30, 2024 represented 1.87% and 106.8% of total and nonperforming loans, respectively.</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during the third quarter of 2024, the Company recorded a PCL decrease of $31,000 for reserves related to securities classified as held-to-maturity and a $104,000 decrease to the PCL for unfunded commitments, respectively. The provision in the quarter ended September 30, 2024 was reflective of the qualitative factors used in determining the adequacy of the ACL and changes in the levels of delinquent and nonaccrual loans. The third quarter PCL reflects an addition to reserves considering asset quality metrics.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2023 to September 30, 2024 and to the recorded PCL for the three and nine months ended September 30, 2024 (in thousands):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328"/>
        </w:trPr>
        <w:tc>
          <w:tcPr>
            <w:tcW w:w="1380" w:type="dxa"/>
            <w:vAlign w:val="bottom"/>
            <w:tcBorders>
              <w:right w:val="single" w:sz="8" w:color="auto"/>
            </w:tcBorders>
          </w:tcPr>
          <w:p>
            <w:pPr>
              <w:spacing w:after="0"/>
              <w:rPr>
                <w:sz w:val="24"/>
                <w:szCs w:val="24"/>
                <w:color w:val="auto"/>
              </w:rPr>
            </w:pPr>
          </w:p>
        </w:tc>
        <w:tc>
          <w:tcPr>
            <w:tcW w:w="1080" w:type="dxa"/>
            <w:vAlign w:val="bottom"/>
            <w:tcBorders>
              <w:top w:val="single" w:sz="8" w:color="auto"/>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Reserves as of</w:t>
            </w:r>
          </w:p>
        </w:tc>
        <w:tc>
          <w:tcPr>
            <w:tcW w:w="80" w:type="dxa"/>
            <w:vAlign w:val="bottom"/>
          </w:tcPr>
          <w:p>
            <w:pPr>
              <w:spacing w:after="0"/>
              <w:rPr>
                <w:sz w:val="24"/>
                <w:szCs w:val="24"/>
                <w:color w:val="auto"/>
              </w:rPr>
            </w:pPr>
          </w:p>
        </w:tc>
        <w:tc>
          <w:tcPr>
            <w:tcW w:w="7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Q1 2024</w:t>
            </w:r>
          </w:p>
        </w:tc>
        <w:tc>
          <w:tcPr>
            <w:tcW w:w="6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Q1 2024</w:t>
            </w:r>
          </w:p>
        </w:tc>
        <w:tc>
          <w:tcPr>
            <w:tcW w:w="1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940" w:type="dxa"/>
            <w:vAlign w:val="bottom"/>
            <w:tcBorders>
              <w:top w:val="single" w:sz="8" w:color="auto"/>
              <w:right w:val="single" w:sz="8" w:color="auto"/>
            </w:tcBorders>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Reserves as</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Q2 2024</w:t>
            </w:r>
          </w:p>
        </w:tc>
        <w:tc>
          <w:tcPr>
            <w:tcW w:w="120" w:type="dxa"/>
            <w:vAlign w:val="bottom"/>
          </w:tcPr>
          <w:p>
            <w:pPr>
              <w:spacing w:after="0"/>
              <w:rPr>
                <w:sz w:val="24"/>
                <w:szCs w:val="24"/>
                <w:color w:val="auto"/>
              </w:rPr>
            </w:pPr>
          </w:p>
        </w:tc>
        <w:tc>
          <w:tcPr>
            <w:tcW w:w="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Q2</w:t>
            </w:r>
          </w:p>
        </w:tc>
        <w:tc>
          <w:tcPr>
            <w:tcW w:w="160" w:type="dxa"/>
            <w:vAlign w:val="bottom"/>
          </w:tcPr>
          <w:p>
            <w:pPr>
              <w:spacing w:after="0"/>
              <w:rPr>
                <w:sz w:val="24"/>
                <w:szCs w:val="24"/>
                <w:color w:val="auto"/>
              </w:rPr>
            </w:pPr>
          </w:p>
        </w:tc>
        <w:tc>
          <w:tcPr>
            <w:tcW w:w="500" w:type="dxa"/>
            <w:vAlign w:val="bottom"/>
            <w:tcBorders>
              <w:right w:val="single" w:sz="8" w:color="auto"/>
            </w:tcBorders>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3"/>
              </w:rPr>
              <w:t>Q2</w:t>
            </w:r>
          </w:p>
        </w:tc>
        <w:tc>
          <w:tcPr>
            <w:tcW w:w="920" w:type="dxa"/>
            <w:vAlign w:val="bottom"/>
            <w:tcBorders>
              <w:top w:val="single" w:sz="8" w:color="auto"/>
              <w:right w:val="single" w:sz="8" w:color="auto"/>
            </w:tcBorders>
            <w:gridSpan w:val="2"/>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Reserves as</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Q3 2024</w:t>
            </w:r>
          </w:p>
        </w:tc>
        <w:tc>
          <w:tcPr>
            <w:tcW w:w="4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3"/>
              </w:rPr>
              <w:t>Q3</w:t>
            </w:r>
          </w:p>
        </w:tc>
        <w:tc>
          <w:tcPr>
            <w:tcW w:w="160" w:type="dxa"/>
            <w:vAlign w:val="bottom"/>
          </w:tcPr>
          <w:p>
            <w:pPr>
              <w:spacing w:after="0"/>
              <w:rPr>
                <w:sz w:val="24"/>
                <w:szCs w:val="24"/>
                <w:color w:val="auto"/>
              </w:rPr>
            </w:pPr>
          </w:p>
        </w:tc>
        <w:tc>
          <w:tcPr>
            <w:tcW w:w="500" w:type="dxa"/>
            <w:vAlign w:val="bottom"/>
            <w:tcBorders>
              <w:right w:val="single" w:sz="8" w:color="auto"/>
            </w:tcBorders>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3"/>
              </w:rPr>
              <w:t>Q3</w:t>
            </w:r>
          </w:p>
        </w:tc>
        <w:tc>
          <w:tcPr>
            <w:tcW w:w="920" w:type="dxa"/>
            <w:vAlign w:val="bottom"/>
            <w:tcBorders>
              <w:top w:val="single" w:sz="8" w:color="auto"/>
              <w:right w:val="single" w:sz="8" w:color="auto"/>
            </w:tcBorders>
            <w:gridSpan w:val="2"/>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Reserves as</w:t>
            </w:r>
          </w:p>
        </w:tc>
        <w:tc>
          <w:tcPr>
            <w:tcW w:w="0" w:type="dxa"/>
            <w:vAlign w:val="bottom"/>
          </w:tcPr>
          <w:p>
            <w:pPr>
              <w:spacing w:after="0"/>
              <w:rPr>
                <w:sz w:val="1"/>
                <w:szCs w:val="1"/>
                <w:color w:val="auto"/>
              </w:rPr>
            </w:pPr>
          </w:p>
        </w:tc>
      </w:tr>
      <w:tr>
        <w:trPr>
          <w:trHeight w:val="148"/>
        </w:trPr>
        <w:tc>
          <w:tcPr>
            <w:tcW w:w="13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Q1 2024</w:t>
            </w:r>
          </w:p>
        </w:tc>
        <w:tc>
          <w:tcPr>
            <w:tcW w:w="940" w:type="dxa"/>
            <w:vAlign w:val="bottom"/>
            <w:tcBorders>
              <w:right w:val="single" w:sz="8" w:color="auto"/>
            </w:tcBorders>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2"/>
              </w:rPr>
              <w:t>2024</w:t>
            </w:r>
          </w:p>
        </w:tc>
        <w:tc>
          <w:tcPr>
            <w:tcW w:w="16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2"/>
              </w:rPr>
              <w:t>2024</w:t>
            </w:r>
          </w:p>
        </w:tc>
        <w:tc>
          <w:tcPr>
            <w:tcW w:w="16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Charge-</w:t>
            </w:r>
          </w:p>
        </w:tc>
        <w:tc>
          <w:tcPr>
            <w:tcW w:w="6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Recover</w:t>
            </w:r>
          </w:p>
        </w:tc>
        <w:tc>
          <w:tcPr>
            <w:tcW w:w="780" w:type="dxa"/>
            <w:vAlign w:val="bottom"/>
            <w:tcBorders>
              <w:right w:val="single" w:sz="8" w:color="auto"/>
            </w:tcBorders>
            <w:gridSpan w:val="2"/>
            <w:vMerge w:val="continue"/>
          </w:tcPr>
          <w:p>
            <w:pPr>
              <w:spacing w:after="0"/>
              <w:rPr>
                <w:sz w:val="12"/>
                <w:szCs w:val="12"/>
                <w:color w:val="auto"/>
              </w:rPr>
            </w:pPr>
          </w:p>
        </w:tc>
        <w:tc>
          <w:tcPr>
            <w:tcW w:w="94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March 31,</w:t>
            </w:r>
          </w:p>
        </w:tc>
        <w:tc>
          <w:tcPr>
            <w:tcW w:w="6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Charge-</w:t>
            </w:r>
          </w:p>
        </w:tc>
        <w:tc>
          <w:tcPr>
            <w:tcW w:w="5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Recove</w:t>
            </w:r>
          </w:p>
        </w:tc>
        <w:tc>
          <w:tcPr>
            <w:tcW w:w="660" w:type="dxa"/>
            <w:vAlign w:val="bottom"/>
            <w:tcBorders>
              <w:right w:val="single" w:sz="8" w:color="auto"/>
            </w:tcBorders>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tcBorders>
              <w:right w:val="single" w:sz="8" w:color="auto"/>
            </w:tcBorders>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June 30,</w:t>
            </w:r>
          </w:p>
        </w:tc>
        <w:tc>
          <w:tcPr>
            <w:tcW w:w="124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Charge-   Recove</w:t>
            </w:r>
          </w:p>
        </w:tc>
        <w:tc>
          <w:tcPr>
            <w:tcW w:w="660" w:type="dxa"/>
            <w:vAlign w:val="bottom"/>
            <w:tcBorders>
              <w:right w:val="single" w:sz="8" w:color="auto"/>
            </w:tcBorders>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tcBorders>
              <w:right w:val="single" w:sz="8" w:color="auto"/>
            </w:tcBorders>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Sept 30,</w:t>
            </w:r>
          </w:p>
        </w:tc>
        <w:tc>
          <w:tcPr>
            <w:tcW w:w="0" w:type="dxa"/>
            <w:vAlign w:val="bottom"/>
          </w:tcPr>
          <w:p>
            <w:pPr>
              <w:spacing w:after="0"/>
              <w:rPr>
                <w:sz w:val="1"/>
                <w:szCs w:val="1"/>
                <w:color w:val="auto"/>
              </w:rPr>
            </w:pPr>
          </w:p>
        </w:tc>
      </w:tr>
      <w:tr>
        <w:trPr>
          <w:trHeight w:val="185"/>
        </w:trPr>
        <w:tc>
          <w:tcPr>
            <w:tcW w:w="1380" w:type="dxa"/>
            <w:vAlign w:val="bottom"/>
            <w:tcBorders>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Offs</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ies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PCL</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Offs</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ries</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93"/>
              </w:rPr>
              <w:t>PCL</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Offs</w:t>
            </w:r>
          </w:p>
        </w:tc>
        <w:tc>
          <w:tcPr>
            <w:tcW w:w="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ries</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93"/>
              </w:rPr>
              <w:t>PCL</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0"/>
        </w:trPr>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ACL - Loans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380" w:type="dxa"/>
            <w:vAlign w:val="bottom"/>
            <w:tcBorders>
              <w:bottom w:val="single" w:sz="8" w:color="auto"/>
              <w:right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80" w:type="dxa"/>
            <w:vAlign w:val="bottom"/>
            <w:tcBorders>
              <w:right w:val="single" w:sz="8" w:color="auto"/>
            </w:tcBorders>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Specifically</w:t>
            </w: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3,716</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3,816</w:t>
            </w: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665</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4,481</w:t>
            </w: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(6,153 ) $</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4,110</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85"/>
        </w:trPr>
        <w:tc>
          <w:tcPr>
            <w:tcW w:w="13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identified</w:t>
            </w:r>
          </w:p>
        </w:tc>
        <w:tc>
          <w:tcPr>
            <w:tcW w:w="200" w:type="dxa"/>
            <w:vAlign w:val="bottom"/>
            <w:vMerge w:val="continue"/>
            <w:shd w:val="clear" w:color="auto" w:fill="CFF0FC"/>
          </w:tcPr>
          <w:p>
            <w:pPr>
              <w:spacing w:after="0"/>
              <w:rPr>
                <w:sz w:val="16"/>
                <w:szCs w:val="16"/>
                <w:color w:val="auto"/>
              </w:rPr>
            </w:pPr>
          </w:p>
        </w:tc>
        <w:tc>
          <w:tcPr>
            <w:tcW w:w="880" w:type="dxa"/>
            <w:vAlign w:val="bottom"/>
            <w:tcBorders>
              <w:right w:val="single" w:sz="8" w:color="auto"/>
            </w:tcBorders>
            <w:vMerge w:val="continue"/>
            <w:shd w:val="clear" w:color="auto" w:fill="CFF0FC"/>
          </w:tcPr>
          <w:p>
            <w:pPr>
              <w:spacing w:after="0"/>
              <w:rPr>
                <w:sz w:val="16"/>
                <w:szCs w:val="16"/>
                <w:color w:val="auto"/>
              </w:rPr>
            </w:pPr>
          </w:p>
        </w:tc>
        <w:tc>
          <w:tcPr>
            <w:tcW w:w="8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600" w:type="dxa"/>
            <w:vAlign w:val="bottom"/>
            <w:tcBorders>
              <w:right w:val="single" w:sz="8" w:color="auto"/>
            </w:tcBorders>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00" w:type="dxa"/>
            <w:vAlign w:val="bottom"/>
            <w:tcBorders>
              <w:right w:val="single" w:sz="8" w:color="auto"/>
            </w:tcBorders>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00" w:type="dxa"/>
            <w:vAlign w:val="bottom"/>
            <w:tcBorders>
              <w:right w:val="single" w:sz="8" w:color="auto"/>
            </w:tcBorders>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Overdraft</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5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(121 )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6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80" w:type="dxa"/>
            <w:vAlign w:val="bottom"/>
            <w:tcBorders>
              <w:right w:val="single" w:sz="8" w:color="auto"/>
            </w:tcBorders>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Pooled -</w:t>
            </w:r>
          </w:p>
        </w:tc>
        <w:tc>
          <w:tcPr>
            <w:tcW w:w="200" w:type="dxa"/>
            <w:vAlign w:val="bottom"/>
            <w:shd w:val="clear" w:color="auto" w:fill="CFF0FC"/>
          </w:tcPr>
          <w:p>
            <w:pPr>
              <w:spacing w:after="0"/>
              <w:rPr>
                <w:sz w:val="12"/>
                <w:szCs w:val="12"/>
                <w:color w:val="auto"/>
              </w:rPr>
            </w:pPr>
          </w:p>
        </w:tc>
        <w:tc>
          <w:tcPr>
            <w:tcW w:w="88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6,203</w:t>
            </w:r>
          </w:p>
        </w:tc>
        <w:tc>
          <w:tcPr>
            <w:tcW w:w="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6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FF0FC"/>
          </w:tcPr>
          <w:p>
            <w:pPr>
              <w:spacing w:after="0"/>
              <w:rPr>
                <w:sz w:val="12"/>
                <w:szCs w:val="12"/>
                <w:color w:val="auto"/>
              </w:rPr>
            </w:pPr>
          </w:p>
        </w:tc>
        <w:tc>
          <w:tcPr>
            <w:tcW w:w="6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FF0FC"/>
          </w:tcPr>
          <w:p>
            <w:pPr>
              <w:spacing w:after="0"/>
              <w:rPr>
                <w:sz w:val="12"/>
                <w:szCs w:val="12"/>
                <w:color w:val="auto"/>
              </w:rPr>
            </w:pP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6,275</w:t>
            </w:r>
          </w:p>
        </w:tc>
        <w:tc>
          <w:tcPr>
            <w:tcW w:w="12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2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FF0FC"/>
          </w:tcPr>
          <w:p>
            <w:pPr>
              <w:spacing w:after="0"/>
              <w:rPr>
                <w:sz w:val="12"/>
                <w:szCs w:val="12"/>
                <w:color w:val="auto"/>
              </w:rPr>
            </w:pPr>
          </w:p>
        </w:tc>
        <w:tc>
          <w:tcPr>
            <w:tcW w:w="5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shd w:val="clear" w:color="auto" w:fill="CFF0FC"/>
          </w:tcPr>
          <w:p>
            <w:pPr>
              <w:spacing w:after="0"/>
              <w:rPr>
                <w:sz w:val="12"/>
                <w:szCs w:val="12"/>
                <w:color w:val="auto"/>
              </w:rPr>
            </w:pP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6,309</w:t>
            </w: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(29 )</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FF0FC"/>
          </w:tcPr>
          <w:p>
            <w:pPr>
              <w:spacing w:after="0"/>
              <w:rPr>
                <w:sz w:val="12"/>
                <w:szCs w:val="12"/>
                <w:color w:val="auto"/>
              </w:rPr>
            </w:pPr>
          </w:p>
        </w:tc>
        <w:tc>
          <w:tcPr>
            <w:tcW w:w="500" w:type="dxa"/>
            <w:vAlign w:val="bottom"/>
            <w:tcBorders>
              <w:right w:val="single" w:sz="8" w:color="auto"/>
            </w:tcBorders>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556</w:t>
            </w:r>
          </w:p>
        </w:tc>
        <w:tc>
          <w:tcPr>
            <w:tcW w:w="160" w:type="dxa"/>
            <w:vAlign w:val="bottom"/>
            <w:shd w:val="clear" w:color="auto" w:fill="CFF0FC"/>
          </w:tcPr>
          <w:p>
            <w:pPr>
              <w:spacing w:after="0"/>
              <w:rPr>
                <w:sz w:val="12"/>
                <w:szCs w:val="12"/>
                <w:color w:val="auto"/>
              </w:rPr>
            </w:pPr>
          </w:p>
        </w:tc>
        <w:tc>
          <w:tcPr>
            <w:tcW w:w="760" w:type="dxa"/>
            <w:vAlign w:val="bottom"/>
            <w:tcBorders>
              <w:right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6,874</w:t>
            </w:r>
          </w:p>
        </w:tc>
        <w:tc>
          <w:tcPr>
            <w:tcW w:w="0" w:type="dxa"/>
            <w:vAlign w:val="bottom"/>
          </w:tcPr>
          <w:p>
            <w:pPr>
              <w:spacing w:after="0"/>
              <w:rPr>
                <w:sz w:val="1"/>
                <w:szCs w:val="1"/>
                <w:color w:val="auto"/>
              </w:rPr>
            </w:pPr>
          </w:p>
        </w:tc>
      </w:tr>
      <w:tr>
        <w:trPr>
          <w:trHeight w:val="185"/>
        </w:trPr>
        <w:tc>
          <w:tcPr>
            <w:tcW w:w="13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quantitative</w:t>
            </w:r>
          </w:p>
        </w:tc>
        <w:tc>
          <w:tcPr>
            <w:tcW w:w="200" w:type="dxa"/>
            <w:vAlign w:val="bottom"/>
            <w:shd w:val="clear" w:color="auto" w:fill="CFF0FC"/>
          </w:tcPr>
          <w:p>
            <w:pPr>
              <w:spacing w:after="0"/>
              <w:rPr>
                <w:sz w:val="16"/>
                <w:szCs w:val="16"/>
                <w:color w:val="auto"/>
              </w:rPr>
            </w:pPr>
          </w:p>
        </w:tc>
        <w:tc>
          <w:tcPr>
            <w:tcW w:w="880" w:type="dxa"/>
            <w:vAlign w:val="bottom"/>
            <w:tcBorders>
              <w:right w:val="single" w:sz="8" w:color="auto"/>
            </w:tcBorders>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tcBorders>
              <w:right w:val="single" w:sz="8" w:color="auto"/>
            </w:tcBorders>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tcBorders>
              <w:right w:val="single" w:sz="8" w:color="auto"/>
            </w:tcBorders>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tcBorders>
              <w:right w:val="single" w:sz="8" w:color="auto"/>
            </w:tcBorders>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tcBorders>
              <w:right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Pooled - qualitative</w:t>
            </w:r>
          </w:p>
        </w:tc>
        <w:tc>
          <w:tcPr>
            <w:tcW w:w="200" w:type="dxa"/>
            <w:vAlign w:val="bottom"/>
          </w:tcPr>
          <w:p>
            <w:pPr>
              <w:spacing w:after="0"/>
              <w:rPr>
                <w:sz w:val="15"/>
                <w:szCs w:val="15"/>
                <w:color w:val="auto"/>
              </w:rPr>
            </w:pP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3,566</w:t>
            </w:r>
          </w:p>
        </w:tc>
        <w:tc>
          <w:tcPr>
            <w:tcW w:w="8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509</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4,075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16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3,634</w:t>
            </w:r>
          </w:p>
        </w:tc>
        <w:tc>
          <w:tcPr>
            <w:tcW w:w="12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5"/>
                <w:szCs w:val="15"/>
                <w:color w:val="auto"/>
              </w:rPr>
            </w:pP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3,723</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Purchased</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(2,509 )</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4,617</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169"/>
        </w:trPr>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ACL - Loans</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15,975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(68 ) $</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16,655</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16,892</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9,104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17,274</w:t>
            </w: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ACL - Held-To-</w:t>
            </w:r>
          </w:p>
        </w:tc>
        <w:tc>
          <w:tcPr>
            <w:tcW w:w="20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6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6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5"/>
        </w:trPr>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Maturity</w:t>
            </w:r>
          </w:p>
        </w:tc>
        <w:tc>
          <w:tcPr>
            <w:tcW w:w="20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right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Liabilities -</w:t>
            </w:r>
          </w:p>
        </w:tc>
        <w:tc>
          <w:tcPr>
            <w:tcW w:w="20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Unfunded</w:t>
            </w:r>
          </w:p>
        </w:tc>
        <w:tc>
          <w:tcPr>
            <w:tcW w:w="20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6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71"/>
        </w:trPr>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Commitments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8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16,916</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726</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17,612</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(112 ) $</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17,835</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(8,812 ) $</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right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8,969</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18,082</w:t>
            </w:r>
          </w:p>
        </w:tc>
        <w:tc>
          <w:tcPr>
            <w:tcW w:w="0" w:type="dxa"/>
            <w:vAlign w:val="bottom"/>
          </w:tcPr>
          <w:p>
            <w:pPr>
              <w:spacing w:after="0"/>
              <w:rPr>
                <w:sz w:val="1"/>
                <w:szCs w:val="1"/>
                <w:color w:val="auto"/>
              </w:rPr>
            </w:pPr>
          </w:p>
        </w:tc>
      </w:tr>
      <w:tr>
        <w:trPr>
          <w:trHeight w:val="156"/>
        </w:trPr>
        <w:tc>
          <w:tcPr>
            <w:tcW w:w="1380" w:type="dxa"/>
            <w:vAlign w:val="bottom"/>
            <w:tcBorders>
              <w:top w:val="single" w:sz="8" w:color="CFF0FC"/>
              <w:right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0"/>
          <w:szCs w:val="20"/>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color w:val="auto"/>
              </w:rPr>
              <w:t>As of and for the three months ended September 30, 2024</w:t>
            </w: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 family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first-lien</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Paycheck</w:t>
            </w:r>
          </w:p>
        </w:tc>
      </w:tr>
      <w:tr>
        <w:trPr>
          <w:trHeight w:val="229"/>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construction</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commercial</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Protection</w:t>
            </w:r>
          </w:p>
        </w:tc>
      </w:tr>
      <w:tr>
        <w:trPr>
          <w:trHeight w:val="24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mortgage</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mortgage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lines of credit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and industrial</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Program</w:t>
            </w: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1,536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815</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6,663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3,821</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(1,204 )</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(1,918 )</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(2,936 )</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(62 )</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(5 )</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1,122</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1,220</w:t>
            </w: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1,845</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2,735</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862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1,192</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1,455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1,543</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255,235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4,077</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378,805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64,672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88,247</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1,733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9,518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6,226</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253,502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4,077</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369,287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63,217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82,021</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453"/>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3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Tax exempt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and junior liens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2,209</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16,892</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(51 )</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(2,703 )</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(8,812 )</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4,813</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9,104</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746</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17,274</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566</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14,831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52,709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76,703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923,231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591</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19,590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52,118</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76,636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903,641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color w:val="auto"/>
              </w:rPr>
              <w:t>As of and for the nine months ended September 30, 2024</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 family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first-lien</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(1,205 )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(1,918 )</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(2,936 )</w:t>
            </w: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9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(48 )</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r>
      <w:tr>
        <w:trPr>
          <w:trHeight w:val="236"/>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1,497</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82"/>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1"/>
        </w:trPr>
        <w:tc>
          <w:tcPr>
            <w:tcW w:w="3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Tax exempt</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2,145</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(2,883 )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(8,993 )</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5,008</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10,118</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17,274</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7"/>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7"/>
          </w:tcPr>
          <w:p>
            <w:pPr>
              <w:jc w:val="right"/>
              <w:ind w:right="950"/>
              <w:spacing w:after="0"/>
              <w:rPr>
                <w:sz w:val="20"/>
                <w:szCs w:val="20"/>
                <w:color w:val="auto"/>
              </w:rPr>
            </w:pPr>
            <w:r>
              <w:rPr>
                <w:rFonts w:ascii="Times New Roman" w:cs="Times New Roman" w:eastAsia="Times New Roman" w:hAnsi="Times New Roman"/>
                <w:sz w:val="18"/>
                <w:szCs w:val="18"/>
                <w:color w:val="auto"/>
              </w:rPr>
              <w:t>As of and for the three months ended September 30, 2023</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0"/>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Paychec</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k</w:t>
            </w:r>
          </w:p>
        </w:tc>
      </w:tr>
      <w:tr>
        <w:trPr>
          <w:trHeight w:val="225"/>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Protectio</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construction</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w:t>
            </w:r>
          </w:p>
        </w:tc>
      </w:tr>
      <w:tr>
        <w:trPr>
          <w:trHeight w:val="25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and industrial</w:t>
            </w:r>
          </w:p>
        </w:tc>
        <w:tc>
          <w:tcPr>
            <w:tcW w:w="8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Program</w:t>
            </w: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5,192</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(2,499 )</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3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5,054</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3,041</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598</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1,564</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4,456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252,956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362,822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73,497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85,506</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11,525</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6,759</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251,275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351,297</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71,445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78,747</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486"/>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Home equity</w:t>
            </w:r>
          </w:p>
        </w:tc>
        <w:tc>
          <w:tcPr>
            <w:tcW w:w="2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3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(3,873 )</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15,767</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34,666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81,319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896,476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22,729</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33,954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81,319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873,747</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9"/>
              </w:rPr>
              <w:t>As of and for the nine months ended September 30, 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4"/>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 family</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8"/>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first-lien</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construction</w:t>
            </w:r>
          </w:p>
        </w:tc>
        <w:tc>
          <w:tcPr>
            <w:tcW w:w="2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lines of credit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and industrial</w:t>
            </w: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w:t>
            </w: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(1,744 )</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(2,798 )</w:t>
            </w:r>
          </w:p>
        </w:tc>
      </w:tr>
      <w:tr>
        <w:trPr>
          <w:trHeight w:val="247"/>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r>
      <w:tr>
        <w:trPr>
          <w:trHeight w:val="239"/>
        </w:trPr>
        <w:tc>
          <w:tcPr>
            <w:tcW w:w="4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2,753</w:t>
            </w:r>
          </w:p>
        </w:tc>
      </w:tr>
      <w:tr>
        <w:trPr>
          <w:trHeight w:val="277"/>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5,054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r>
      <w:tr>
        <w:trPr>
          <w:trHeight w:val="439"/>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and junior</w:t>
            </w:r>
          </w:p>
        </w:tc>
        <w:tc>
          <w:tcPr>
            <w:tcW w:w="2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Tax exempt</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liens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15,319</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(4,365 )</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9"/>
        </w:trPr>
        <w:tc>
          <w:tcPr>
            <w:tcW w:w="4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2,675</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6"/>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2,185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15,767</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6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growth in the portfolio;</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of delinquencies and nonaccrual balances;</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loan policy; and</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1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The allocation of the allowance for credit losses summarized on the basis of the Company’s calculation methodology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As of September 30, 2024</w:t>
            </w: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construction</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2,829</w:t>
            </w:r>
          </w:p>
        </w:tc>
        <w:tc>
          <w:tcPr>
            <w:tcW w:w="2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(68 )</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2,890</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r>
      <w:tr>
        <w:trPr>
          <w:trHeight w:val="237"/>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Home equity</w:t>
            </w:r>
          </w:p>
        </w:tc>
        <w:tc>
          <w:tcPr>
            <w:tcW w:w="3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6,677</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3,725</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4,381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17,274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1"/>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As of December 31, 2023</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construction</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674</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2,137</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r>
      <w:tr>
        <w:trPr>
          <w:trHeight w:val="276"/>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Home equity</w:t>
            </w:r>
          </w:p>
        </w:tc>
        <w:tc>
          <w:tcPr>
            <w:tcW w:w="34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6"/>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Collateral Dependent Disclosures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7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Residential real estate loans are typically secured by first mortgages, and in some cases could be secured by a second mortgage.</w:t>
      </w:r>
    </w:p>
    <w:p>
      <w:pPr>
        <w:spacing w:after="0" w:line="11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equity lines of credit are generally secured by second mortgages on residential real estate property.</w:t>
      </w:r>
    </w:p>
    <w:p>
      <w:pPr>
        <w:spacing w:after="0" w:line="107"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loans are generally secured by automobiles, motorcycles, recreational vehicles and other personal property. Some consumer loans are unsecured and have no underlying collateral.</w:t>
      </w:r>
    </w:p>
    <w:p>
      <w:pPr>
        <w:spacing w:after="0" w:line="5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The following table details the amortized cost of collateral dependent loans at September 30, 2024 and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5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7,788</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11,814</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(1-4 family) first mortgages</w:t>
            </w:r>
          </w:p>
        </w:tc>
        <w:tc>
          <w:tcPr>
            <w:tcW w:w="2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520" w:type="dxa"/>
            <w:vAlign w:val="bottom"/>
            <w:shd w:val="clear" w:color="auto" w:fill="CFF0FC"/>
          </w:tcPr>
          <w:p>
            <w:pPr>
              <w:spacing w:after="0"/>
              <w:rPr>
                <w:sz w:val="21"/>
                <w:szCs w:val="21"/>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loans and lines of credit</w:t>
            </w:r>
          </w:p>
        </w:tc>
        <w:tc>
          <w:tcPr>
            <w:tcW w:w="2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4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6"/>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20,981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Foreclosed Real Estate</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is required to disclose the carrying amount of foreclosed real estate properties held as a result of obtaining physical possession of the property at each reporting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840" w:type="dxa"/>
            <w:vAlign w:val="bottom"/>
            <w:tcBorders>
              <w:bottom w:val="single" w:sz="8" w:color="auto"/>
            </w:tcBorders>
            <w:vMerge w:val="continue"/>
          </w:tcPr>
          <w:p>
            <w:pPr>
              <w:spacing w:after="0"/>
              <w:rPr>
                <w:sz w:val="20"/>
                <w:szCs w:val="20"/>
                <w:color w:val="auto"/>
              </w:rPr>
            </w:pPr>
          </w:p>
        </w:tc>
        <w:tc>
          <w:tcPr>
            <w:tcW w:w="3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properties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properties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79"/>
        </w:trPr>
        <w:tc>
          <w:tcPr>
            <w:tcW w:w="3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Foreclosed real estate</w:t>
            </w:r>
          </w:p>
        </w:tc>
        <w:tc>
          <w:tcPr>
            <w:tcW w:w="3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At September 30, 2024 and December 31, 2023, the Company reported $1.7 million and $1.3 million, respectively, in real estate loans in the process of foreclosure.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Guarantees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$2.2 million of standby letters of credit as of September 30, 2024. Management believes that the proceeds obtained through a liquidation of collateral and the enforcement of guarantees would be sufficient to cover the potential amount of future payments required under the corresponding guarantees. No provision for credit losses has been made for these commitments. The fair value of standby letters of credit was not significant to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1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holds two corporate investment securities with an amortized historical cost of $4.1 million and an aggregate fair market value of $4.3 million as of September 30, 2024.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$3.9 million at September 30, 2024. The investments are funds comprised of marketable equity securities, primarily issued by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Individually evaluated loans: Specifically-identified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Specifically-identified loans are subject to nonrecurring fair value adjustment upon initial recognition or subsequent impairment. A portion of the allowance for credit losses is allocated to specifically-identified loans if the value of such loans is deemed to be less than the unpaid balance.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7" w:name="page38"/>
    <w:bookmarkEnd w:id="37"/>
    <w:p>
      <w:pPr>
        <w:spacing w:after="0" w:line="26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5"/>
              </w:rPr>
              <w:t>Level 3</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189"/>
        </w:trPr>
        <w:tc>
          <w:tcPr>
            <w:tcW w:w="53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76,830</w:t>
            </w:r>
          </w:p>
        </w:tc>
        <w:tc>
          <w:tcPr>
            <w:tcW w:w="6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76,830</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33,042</w:t>
            </w:r>
          </w:p>
        </w:tc>
        <w:tc>
          <w:tcPr>
            <w:tcW w:w="6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33,042</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6,664</w:t>
            </w: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6,664</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19,160</w:t>
            </w:r>
          </w:p>
        </w:tc>
        <w:tc>
          <w:tcPr>
            <w:tcW w:w="6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19,160</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35,234</w:t>
            </w: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35,234</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14,287</w:t>
            </w:r>
          </w:p>
        </w:tc>
        <w:tc>
          <w:tcPr>
            <w:tcW w:w="6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534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82,262</w:t>
            </w:r>
          </w:p>
        </w:tc>
        <w:tc>
          <w:tcPr>
            <w:tcW w:w="6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82,262</w:t>
            </w:r>
          </w:p>
        </w:tc>
      </w:tr>
      <w:tr>
        <w:trPr>
          <w:trHeight w:val="236"/>
        </w:trPr>
        <w:tc>
          <w:tcPr>
            <w:tcW w:w="20" w:type="dxa"/>
            <w:vAlign w:val="bottom"/>
          </w:tcPr>
          <w:p>
            <w:pPr>
              <w:spacing w:after="0"/>
              <w:rPr>
                <w:sz w:val="20"/>
                <w:szCs w:val="20"/>
                <w:color w:val="auto"/>
              </w:rPr>
            </w:pPr>
          </w:p>
        </w:tc>
        <w:tc>
          <w:tcPr>
            <w:tcW w:w="5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267,479</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267,479</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3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412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r>
      <w:tr>
        <w:trPr>
          <w:trHeight w:val="276"/>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267,479</w:t>
            </w:r>
          </w:p>
        </w:tc>
        <w:tc>
          <w:tcPr>
            <w:tcW w:w="62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271,977</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9"/>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3,872</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20" w:type="dxa"/>
            <w:vAlign w:val="bottom"/>
            <w:tcBorders>
              <w:bottom w:val="single" w:sz="8" w:color="auto"/>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62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r>
        <w:trPr>
          <w:trHeight w:val="45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189"/>
        </w:trPr>
        <w:tc>
          <w:tcPr>
            <w:tcW w:w="53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80,083</w:t>
            </w:r>
          </w:p>
        </w:tc>
        <w:tc>
          <w:tcPr>
            <w:tcW w:w="6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32,924</w:t>
            </w:r>
          </w:p>
        </w:tc>
        <w:tc>
          <w:tcPr>
            <w:tcW w:w="6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6,576</w:t>
            </w: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6,576</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19,892</w:t>
            </w:r>
          </w:p>
        </w:tc>
        <w:tc>
          <w:tcPr>
            <w:tcW w:w="6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24,418</w:t>
            </w: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12,179</w:t>
            </w:r>
          </w:p>
        </w:tc>
        <w:tc>
          <w:tcPr>
            <w:tcW w:w="6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534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78,095</w:t>
            </w:r>
          </w:p>
        </w:tc>
        <w:tc>
          <w:tcPr>
            <w:tcW w:w="6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6"/>
        </w:trPr>
        <w:tc>
          <w:tcPr>
            <w:tcW w:w="20" w:type="dxa"/>
            <w:vAlign w:val="bottom"/>
          </w:tcPr>
          <w:p>
            <w:pPr>
              <w:spacing w:after="0"/>
              <w:rPr>
                <w:sz w:val="20"/>
                <w:szCs w:val="20"/>
                <w:color w:val="auto"/>
              </w:rPr>
            </w:pPr>
          </w:p>
        </w:tc>
        <w:tc>
          <w:tcPr>
            <w:tcW w:w="5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6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3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412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76"/>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9"/>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5,160</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5,160</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1"/>
        </w:trPr>
        <w:tc>
          <w:tcPr>
            <w:tcW w:w="5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cash flow hedges (unrealized gain carried</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6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receivable from derivative counterparties)</w:t>
            </w:r>
          </w:p>
        </w:tc>
        <w:tc>
          <w:tcPr>
            <w:tcW w:w="620" w:type="dxa"/>
            <w:vAlign w:val="bottom"/>
            <w:tcBorders>
              <w:bottom w:val="single" w:sz="8" w:color="auto"/>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41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18"/>
                <w:szCs w:val="18"/>
                <w:color w:val="auto"/>
              </w:rPr>
              <w:t xml:space="preserve"> -</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501"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Pathfinder Bank had the following assets measured at fair value on a nonrecurring basis as of September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8,851</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8,851</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5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additional quantitative information about assets measured at fair value on a nonrecurring basis and for which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inputs were used to determine fair value at the indicated dates: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19"/>
                <w:szCs w:val="19"/>
                <w:color w:val="auto"/>
              </w:rPr>
            </w:pPr>
          </w:p>
        </w:tc>
      </w:tr>
      <w:tr>
        <w:trPr>
          <w:trHeight w:val="210"/>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8"/>
              </w:rPr>
              <w:t>Valuation</w:t>
            </w:r>
          </w:p>
        </w:tc>
        <w:tc>
          <w:tcPr>
            <w:tcW w:w="50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Unobservable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w:t>
            </w:r>
          </w:p>
        </w:tc>
      </w:tr>
      <w:tr>
        <w:trPr>
          <w:trHeight w:val="242"/>
        </w:trPr>
        <w:tc>
          <w:tcPr>
            <w:tcW w:w="2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(Weighted Avg.)</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September 30, 2024</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 - 75% (25%)</w:t>
            </w:r>
          </w:p>
        </w:tc>
      </w:tr>
      <w:tr>
        <w:trPr>
          <w:trHeight w:val="223"/>
        </w:trPr>
        <w:tc>
          <w:tcPr>
            <w:tcW w:w="2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Costs to Sell</w:t>
            </w:r>
          </w:p>
        </w:tc>
        <w:tc>
          <w:tcPr>
            <w:tcW w:w="1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 - 24% (22%)</w:t>
            </w:r>
          </w:p>
        </w:tc>
      </w:tr>
      <w:tr>
        <w:trPr>
          <w:trHeight w:val="68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24"/>
                <w:szCs w:val="24"/>
                <w:color w:val="auto"/>
              </w:rPr>
            </w:pPr>
          </w:p>
        </w:tc>
      </w:tr>
      <w:tr>
        <w:trPr>
          <w:trHeight w:val="210"/>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Valuation</w:t>
            </w:r>
          </w:p>
        </w:tc>
        <w:tc>
          <w:tcPr>
            <w:tcW w:w="50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Unobservable</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Range</w:t>
            </w:r>
          </w:p>
        </w:tc>
      </w:tr>
      <w:tr>
        <w:trPr>
          <w:trHeight w:val="242"/>
        </w:trPr>
        <w:tc>
          <w:tcPr>
            <w:tcW w:w="2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(Weighted Avg.)</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2023</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23"/>
        </w:trPr>
        <w:tc>
          <w:tcPr>
            <w:tcW w:w="2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10% - 75% (21%)</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8"/>
              </w:rPr>
              <w:t>Costs to Sell</w:t>
            </w:r>
          </w:p>
        </w:tc>
        <w:tc>
          <w:tcPr>
            <w:tcW w:w="18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21% - 24% (22%)</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transfers of assets into or out of any fair value measurement level during the three or nine months ended September 30, 2024 or 2023.</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20"/>
          <w:szCs w:val="20"/>
          <w:color w:val="auto"/>
        </w:rPr>
        <w:t>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Business combinations - The Company determines and allocates the purchase price of an acquired company to the tangible and intangible assets acquired and liabilities assumed as of the business combination date. The Company relies estimates and assumptions believed to be reasonable to allocate the purchase price, including fair value estimates, as of the business combination date. Such estimates and assumptions are uncertain and subject to refinement. As a result, during the purchase price allocation period, generally up to one year from the business combination date,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Company may record adjustments to the assets acquired and liabilities assumed, with a corresponding offset to 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the indicated dates are presented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Hierarchy</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Amounts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r>
      <w:tr>
        <w:trPr>
          <w:trHeight w:val="189"/>
        </w:trPr>
        <w:tc>
          <w:tcPr>
            <w:tcW w:w="20" w:type="dxa"/>
            <w:vAlign w:val="bottom"/>
            <w:shd w:val="clear" w:color="auto" w:fill="CFF0FC"/>
          </w:tcPr>
          <w:p>
            <w:pPr>
              <w:spacing w:after="0"/>
              <w:rPr>
                <w:sz w:val="16"/>
                <w:szCs w:val="16"/>
                <w:color w:val="auto"/>
              </w:rPr>
            </w:pPr>
          </w:p>
        </w:tc>
        <w:tc>
          <w:tcPr>
            <w:tcW w:w="466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220" w:type="dxa"/>
            <w:vAlign w:val="bottom"/>
            <w:tcBorders>
              <w:top w:val="single" w:sz="8" w:color="CFF0FC"/>
            </w:tcBorders>
            <w:shd w:val="clear" w:color="auto" w:fill="CFF0FC"/>
          </w:tcPr>
          <w:p>
            <w:pPr>
              <w:spacing w:after="0"/>
              <w:rPr>
                <w:sz w:val="2"/>
                <w:szCs w:val="2"/>
                <w:color w:val="auto"/>
              </w:rPr>
            </w:pPr>
          </w:p>
        </w:tc>
        <w:tc>
          <w:tcPr>
            <w:tcW w:w="14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35,324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48,732</w:t>
            </w:r>
          </w:p>
        </w:tc>
      </w:tr>
      <w:tr>
        <w:trPr>
          <w:trHeight w:val="247"/>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267,479</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267,479</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254,167</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4,292</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47"/>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marketable equity</w:t>
            </w:r>
          </w:p>
        </w:tc>
        <w:tc>
          <w:tcPr>
            <w:tcW w:w="140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3,872</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3,872</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held-to-maturity</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161,385</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154,972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47"/>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5,401</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8,748</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loans</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904,386</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857,952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881,232</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823,052</w:t>
            </w:r>
          </w:p>
        </w:tc>
      </w:tr>
      <w:tr>
        <w:trPr>
          <w:trHeight w:val="247"/>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6,806</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6,806</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7,286</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cash flow hedge receivable/(payable)</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5"/>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receivable - AFS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48"/>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r>
      <w:tr>
        <w:trPr>
          <w:trHeight w:val="211"/>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(payable) receivable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4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 loans</w:t>
            </w: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r>
      <w:tr>
        <w:trPr>
          <w:trHeight w:val="243"/>
        </w:trPr>
        <w:tc>
          <w:tcPr>
            <w:tcW w:w="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189"/>
        </w:trPr>
        <w:tc>
          <w:tcPr>
            <w:tcW w:w="46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Deposits, Savings, NOW and MMDA</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703,303</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703,303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607,301</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607,301</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492,910</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491,086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517,514</w:t>
            </w:r>
          </w:p>
        </w:tc>
      </w:tr>
      <w:tr>
        <w:trPr>
          <w:trHeight w:val="247"/>
        </w:trPr>
        <w:tc>
          <w:tcPr>
            <w:tcW w:w="4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100,084</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99,573</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175,599</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174,071</w:t>
            </w:r>
          </w:p>
        </w:tc>
      </w:tr>
      <w:tr>
        <w:trPr>
          <w:trHeight w:val="239"/>
        </w:trPr>
        <w:tc>
          <w:tcPr>
            <w:tcW w:w="4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30,057</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28,026</w:t>
            </w:r>
          </w:p>
        </w:tc>
      </w:tr>
      <w:tr>
        <w:trPr>
          <w:trHeight w:val="243"/>
        </w:trPr>
        <w:tc>
          <w:tcPr>
            <w:tcW w:w="468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Interest Rate Derivatives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exposed to certain risks relate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September 30, 2024 or December 31, 2023.</w:t>
      </w:r>
    </w:p>
    <w:p>
      <w:pPr>
        <w:spacing w:after="0" w:line="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1" w:name="page42"/>
    <w:bookmarkEnd w:id="41"/>
    <w:p>
      <w:pPr>
        <w:jc w:val="both"/>
        <w:spacing w:after="0" w:line="243"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accumulated other 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September 30, 2024 or December 31, 2023.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September 30, 2024 and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 Amount of</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Fair Value Hedging</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Cumulative Amount of</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Adjustment</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Fair Value Hedging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Subtracted/(Added) from</w:t>
            </w:r>
          </w:p>
        </w:tc>
        <w:tc>
          <w:tcPr>
            <w:tcW w:w="260" w:type="dxa"/>
            <w:vAlign w:val="bottom"/>
          </w:tcPr>
          <w:p>
            <w:pPr>
              <w:spacing w:after="0"/>
              <w:rPr>
                <w:sz w:val="18"/>
                <w:szCs w:val="18"/>
                <w:color w:val="auto"/>
              </w:rPr>
            </w:pPr>
          </w:p>
        </w:tc>
        <w:tc>
          <w:tcPr>
            <w:tcW w:w="18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Hedge-Adjusted</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Adjustment Subtracted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0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Carrying Amount of the</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from Carrying Amount</w:t>
            </w:r>
          </w:p>
        </w:tc>
        <w:tc>
          <w:tcPr>
            <w:tcW w:w="0" w:type="dxa"/>
            <w:vAlign w:val="bottom"/>
          </w:tcPr>
          <w:p>
            <w:pPr>
              <w:spacing w:after="0"/>
              <w:rPr>
                <w:sz w:val="1"/>
                <w:szCs w:val="1"/>
                <w:color w:val="auto"/>
              </w:rPr>
            </w:pPr>
          </w:p>
        </w:tc>
      </w:tr>
      <w:tr>
        <w:trPr>
          <w:trHeight w:val="216"/>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18"/>
                <w:szCs w:val="18"/>
                <w:color w:val="auto"/>
              </w:rPr>
            </w:pPr>
          </w:p>
        </w:tc>
        <w:tc>
          <w:tcPr>
            <w:tcW w:w="1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180" w:type="dxa"/>
            <w:vAlign w:val="bottom"/>
          </w:tcPr>
          <w:p>
            <w:pPr>
              <w:spacing w:after="0"/>
              <w:rPr>
                <w:sz w:val="18"/>
                <w:szCs w:val="18"/>
                <w:color w:val="auto"/>
              </w:rPr>
            </w:pPr>
          </w:p>
        </w:tc>
        <w:tc>
          <w:tcPr>
            <w:tcW w:w="19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Hedged Assets at</w:t>
            </w:r>
          </w:p>
        </w:tc>
        <w:tc>
          <w:tcPr>
            <w:tcW w:w="260" w:type="dxa"/>
            <w:vAlign w:val="bottom"/>
          </w:tcPr>
          <w:p>
            <w:pPr>
              <w:spacing w:after="0"/>
              <w:rPr>
                <w:sz w:val="18"/>
                <w:szCs w:val="18"/>
                <w:color w:val="auto"/>
              </w:rPr>
            </w:pPr>
          </w:p>
        </w:tc>
        <w:tc>
          <w:tcPr>
            <w:tcW w:w="1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the Hedged Assets at</w:t>
            </w: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0" w:type="dxa"/>
            <w:vAlign w:val="bottom"/>
          </w:tcPr>
          <w:p>
            <w:pPr>
              <w:spacing w:after="0"/>
              <w:rPr>
                <w:sz w:val="1"/>
                <w:szCs w:val="1"/>
                <w:color w:val="auto"/>
              </w:rPr>
            </w:pPr>
          </w:p>
        </w:tc>
      </w:tr>
      <w:tr>
        <w:trPr>
          <w:trHeight w:val="21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Line item on the balance sheet in which the hedged item is included:</w:t>
            </w: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4"/>
                <w:szCs w:val="24"/>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74,124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43"/>
        </w:trPr>
        <w:tc>
          <w:tcPr>
            <w:tcW w:w="25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4"/>
                <w:szCs w:val="24"/>
                <w:color w:val="auto"/>
                <w:vertAlign w:val="superscript"/>
              </w:rPr>
              <w:t>(2)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137,050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(875 )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156,836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760" w:hanging="374"/>
        <w:spacing w:after="0" w:line="252" w:lineRule="auto"/>
        <w:tabs>
          <w:tab w:leader="none" w:pos="7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$73.1 million net carrying amount of hedged assets represents the hedge-adjusted amortized cost basis of specifically-identified municipal and GSE-backed securities designated as the underlying assets for the hedging relationships. The notional amount of the designated hedges were $73.1 million and $89.1 million at September 30, 2024 and December 31, 2023, respectively. The fair value of the derivatives (an unrealized gain, receivable from derivative counterparties) recorded in other assets resulted in a net asset position of $1.1 million and $3.1 million at September 30, 2024 and December 31, 2023, respectively. The Company's participation in fair value hedging transactions increased investment security interest income by $1.8 million and $1.5 million in the nine month periods ended September 30, 2024 and September 30, 2023, respectively.</w:t>
      </w:r>
    </w:p>
    <w:p>
      <w:pPr>
        <w:spacing w:after="0" w:line="185" w:lineRule="exact"/>
        <w:rPr>
          <w:rFonts w:ascii="Times New Roman" w:cs="Times New Roman" w:eastAsia="Times New Roman" w:hAnsi="Times New Roman"/>
          <w:sz w:val="22"/>
          <w:szCs w:val="22"/>
          <w:color w:val="auto"/>
          <w:vertAlign w:val="superscript"/>
        </w:rPr>
      </w:pPr>
    </w:p>
    <w:p>
      <w:pPr>
        <w:jc w:val="both"/>
        <w:ind w:left="760" w:hanging="374"/>
        <w:spacing w:after="0" w:line="255" w:lineRule="auto"/>
        <w:tabs>
          <w:tab w:leader="none" w:pos="7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$137.9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$131.8 million and $141.0 million at September 30, 2024 and December 31, 2023, respectively. At September 30, 2024, the fair value of the derivatives recorded in other assets (an unrealized loss, payable to derivative counterparties) resulted in a net liability position of $875,000, recorded by the Company as a component of other assets. The Company’s participation in fair value hedging transactions increased interest income by $2.0 million and $1.5 million, for the nine month periods ended September 30, 2024 and September 30, 2023, respectively. Details of the two loan hedging strategies, in place at September 30, 2024 are presented below:</w:t>
      </w:r>
    </w:p>
    <w:p>
      <w:pPr>
        <w:spacing w:after="0" w:line="198" w:lineRule="exact"/>
        <w:rPr>
          <w:rFonts w:ascii="Times New Roman" w:cs="Times New Roman" w:eastAsia="Times New Roman" w:hAnsi="Times New Roman"/>
          <w:sz w:val="22"/>
          <w:szCs w:val="22"/>
          <w:color w:val="auto"/>
          <w:vertAlign w:val="superscript"/>
        </w:rPr>
      </w:pPr>
    </w:p>
    <w:p>
      <w:pPr>
        <w:jc w:val="both"/>
        <w:ind w:left="1500" w:hanging="369"/>
        <w:spacing w:after="0" w:line="264"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$81.8 million at September 30, 2024. The Bank will pay a fixed rate of 3.208% to the contract's counterparty throughout the life of the contract based on each month's beginning notional balance. The fair value of this swap contract was $213,000 at September 30, 2024.</w:t>
      </w:r>
    </w:p>
    <w:p>
      <w:pPr>
        <w:spacing w:after="0" w:line="191" w:lineRule="exact"/>
        <w:rPr>
          <w:rFonts w:ascii="Times New Roman" w:cs="Times New Roman" w:eastAsia="Times New Roman" w:hAnsi="Times New Roman"/>
          <w:sz w:val="18"/>
          <w:szCs w:val="18"/>
          <w:color w:val="auto"/>
        </w:rPr>
      </w:pPr>
    </w:p>
    <w:p>
      <w:pPr>
        <w:jc w:val="both"/>
        <w:ind w:left="1500" w:hanging="369"/>
        <w:spacing w:after="0" w:line="264"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December 7, 2023, the Bank entered into five fixed-pay interest rate swap contracts with a total notional amount of $50.0 million, whereby the Bank will receive the 3-month rate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was negative $1.1 million (a payable to the swap counterparty) at September 30, 2024.</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hedging contracts accounted for as fair value hedges, increased the yield on investment securities and loans by 0.28% and 0.29%, respectively, in the nine months ended September 30, 2024. The hedging contracts noted above, accounted for as fair value hedges, increased the yield on investment securities and loans by 0.27% and 0.23%, respectively, in the nine months ended September 30, 2023.</w:t>
      </w:r>
    </w:p>
    <w:p>
      <w:pPr>
        <w:spacing w:after="0" w:line="1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tables summarize the net effects of the Company's fair value and cash flow hedges for the nine months ended September 30, 2024 and September 30, 2023,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50"/>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Period Ending Notional</w:t>
            </w: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Receivable/(Payable)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80,779</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r>
      <w:tr>
        <w:trPr>
          <w:trHeight w:val="239"/>
        </w:trPr>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135,816</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76"/>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216,595</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204,830</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Receivable/(Payable)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6,709</w:t>
            </w:r>
          </w:p>
        </w:tc>
      </w:tr>
      <w:tr>
        <w:trPr>
          <w:trHeight w:val="239"/>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110,149</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5,807</w:t>
            </w:r>
          </w:p>
        </w:tc>
      </w:tr>
      <w:tr>
        <w:trPr>
          <w:trHeight w:val="277"/>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162,269</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12,516</w:t>
            </w:r>
          </w:p>
        </w:tc>
      </w:tr>
      <w:tr>
        <w:trPr>
          <w:trHeight w:val="44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1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Net Cash Received</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 Payable at Period</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47,778</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shows the pre-tax gains of the Company’s derivatives designated as cash flow hedges in AOCI at September 30, 2024 and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September 30, 2024</w:t>
            </w:r>
          </w:p>
        </w:tc>
        <w:tc>
          <w:tcPr>
            <w:tcW w:w="6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7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860" w:type="dxa"/>
            <w:vAlign w:val="bottom"/>
            <w:shd w:val="clear" w:color="auto" w:fill="CFF0FC"/>
          </w:tcPr>
          <w:p>
            <w:pPr>
              <w:spacing w:after="0"/>
              <w:rPr>
                <w:sz w:val="23"/>
                <w:szCs w:val="23"/>
                <w:color w:val="auto"/>
              </w:rPr>
            </w:pPr>
          </w:p>
        </w:tc>
        <w:tc>
          <w:tcPr>
            <w:tcW w:w="194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900" w:type="dxa"/>
            <w:vAlign w:val="bottom"/>
            <w:shd w:val="clear" w:color="auto" w:fill="CFF0FC"/>
          </w:tcPr>
          <w:p>
            <w:pPr>
              <w:spacing w:after="0"/>
              <w:rPr>
                <w:sz w:val="23"/>
                <w:szCs w:val="23"/>
                <w:color w:val="auto"/>
              </w:rPr>
            </w:pPr>
          </w:p>
        </w:tc>
      </w:tr>
      <w:tr>
        <w:trPr>
          <w:trHeight w:val="263"/>
        </w:trPr>
        <w:tc>
          <w:tcPr>
            <w:tcW w:w="4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Fair market value adjustment interest rate swap</w:t>
            </w: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303"/>
        </w:trPr>
        <w:tc>
          <w:tcPr>
            <w:tcW w:w="4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gain in comprehensive income</w:t>
            </w:r>
          </w:p>
        </w:tc>
        <w:tc>
          <w:tcPr>
            <w:tcW w:w="18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amounts of hedge ineffectiveness, recognized at September 30, 2024 and December 31, 2023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agreements primarily result from the effects of changing index interest rates and the reduction of the time each quarter between the measurement date and the contractual maturity date of the hedging instrument.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September 30, 2024.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Accumulated Other Comprehensive (Loss) Income</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(loss) income (“AOCI”), net of tax, for the periods indicated are summarized in the tables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For the three months ended September 30, 2024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Net</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Loss on</w:t>
            </w:r>
          </w:p>
        </w:tc>
        <w:tc>
          <w:tcPr>
            <w:tcW w:w="172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on Derivatives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Retirement</w:t>
            </w:r>
          </w:p>
        </w:tc>
        <w:tc>
          <w:tcPr>
            <w:tcW w:w="172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Pr>
          <w:p>
            <w:pPr>
              <w:spacing w:after="0"/>
              <w:rPr>
                <w:sz w:val="17"/>
                <w:szCs w:val="17"/>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and Hedging</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6"/>
                <w:szCs w:val="16"/>
                <w:color w:val="auto"/>
                <w:w w:val="99"/>
              </w:rPr>
              <w:t>Activities</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(7,285 )</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(8,786 )</w:t>
            </w: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6"/>
                <w:szCs w:val="16"/>
                <w:color w:val="auto"/>
              </w:rPr>
              <w:t>2,103</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6"/>
                <w:szCs w:val="16"/>
                <w:color w:val="auto"/>
              </w:rPr>
              <w:t>(61 )</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2,070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540" w:type="dxa"/>
            <w:vAlign w:val="bottom"/>
            <w:tcBorders>
              <w:bottom w:val="single" w:sz="8" w:color="auto"/>
            </w:tcBorders>
            <w:gridSpan w:val="2"/>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(1,990 )</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6"/>
                <w:szCs w:val="16"/>
                <w:color w:val="auto"/>
              </w:rPr>
              <w:t>(5,182 )</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(6,716 )</w:t>
            </w:r>
          </w:p>
        </w:tc>
        <w:tc>
          <w:tcPr>
            <w:tcW w:w="0" w:type="dxa"/>
            <w:vAlign w:val="bottom"/>
          </w:tcPr>
          <w:p>
            <w:pPr>
              <w:spacing w:after="0"/>
              <w:rPr>
                <w:sz w:val="1"/>
                <w:szCs w:val="1"/>
                <w:color w:val="auto"/>
              </w:rPr>
            </w:pPr>
          </w:p>
        </w:tc>
      </w:tr>
      <w:tr>
        <w:trPr>
          <w:trHeight w:val="413"/>
        </w:trPr>
        <w:tc>
          <w:tcPr>
            <w:tcW w:w="4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For the three months ended September 30, 2023</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Net</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Loss on</w:t>
            </w:r>
          </w:p>
        </w:tc>
        <w:tc>
          <w:tcPr>
            <w:tcW w:w="172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on Derivatives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Retirement</w:t>
            </w:r>
          </w:p>
        </w:tc>
        <w:tc>
          <w:tcPr>
            <w:tcW w:w="172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Pr>
          <w:p>
            <w:pPr>
              <w:spacing w:after="0"/>
              <w:rPr>
                <w:sz w:val="17"/>
                <w:szCs w:val="17"/>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and Hedging</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6"/>
                <w:szCs w:val="16"/>
                <w:color w:val="auto"/>
                <w:w w:val="99"/>
              </w:rPr>
              <w:t>Activities</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(9,495 )</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auto"/>
              </w:rPr>
              <w:t>470</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(11,370 )</w:t>
            </w: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6"/>
                <w:szCs w:val="16"/>
                <w:color w:val="auto"/>
              </w:rPr>
              <w:t>(2,228 )</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6"/>
                <w:szCs w:val="16"/>
                <w:color w:val="auto"/>
              </w:rPr>
              <w:t>202</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540" w:type="dxa"/>
            <w:vAlign w:val="bottom"/>
            <w:tcBorders>
              <w:bottom w:val="single" w:sz="8" w:color="auto"/>
            </w:tcBorders>
            <w:gridSpan w:val="2"/>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(2,304 )</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6"/>
                <w:szCs w:val="16"/>
                <w:color w:val="auto"/>
              </w:rPr>
              <w:t>(11,724 )</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6"/>
                <w:szCs w:val="16"/>
                <w:color w:val="auto"/>
              </w:rPr>
              <w:t>672</w:t>
            </w:r>
          </w:p>
        </w:tc>
        <w:tc>
          <w:tcPr>
            <w:tcW w:w="2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(13,356 )</w:t>
            </w:r>
          </w:p>
        </w:tc>
        <w:tc>
          <w:tcPr>
            <w:tcW w:w="0" w:type="dxa"/>
            <w:vAlign w:val="bottom"/>
          </w:tcPr>
          <w:p>
            <w:pPr>
              <w:spacing w:after="0"/>
              <w:rPr>
                <w:sz w:val="1"/>
                <w:szCs w:val="1"/>
                <w:color w:val="auto"/>
              </w:rPr>
            </w:pPr>
          </w:p>
        </w:tc>
      </w:tr>
      <w:tr>
        <w:trPr>
          <w:trHeight w:val="453"/>
        </w:trPr>
        <w:tc>
          <w:tcPr>
            <w:tcW w:w="4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Unrealized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Gain on</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Loss on</w:t>
            </w:r>
          </w:p>
        </w:tc>
        <w:tc>
          <w:tcPr>
            <w:tcW w:w="320" w:type="dxa"/>
            <w:vAlign w:val="bottom"/>
          </w:tcPr>
          <w:p>
            <w:pPr>
              <w:spacing w:after="0"/>
              <w:rPr>
                <w:sz w:val="18"/>
                <w:szCs w:val="18"/>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8"/>
              </w:rPr>
              <w:t>Unrealized Loss</w:t>
            </w:r>
          </w:p>
        </w:tc>
        <w:tc>
          <w:tcPr>
            <w:tcW w:w="220" w:type="dxa"/>
            <w:vAlign w:val="bottom"/>
          </w:tcPr>
          <w:p>
            <w:pPr>
              <w:spacing w:after="0"/>
              <w:rPr>
                <w:sz w:val="18"/>
                <w:szCs w:val="18"/>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Retirement</w:t>
            </w:r>
          </w:p>
        </w:tc>
        <w:tc>
          <w:tcPr>
            <w:tcW w:w="17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on Available-for-</w:t>
            </w:r>
          </w:p>
        </w:tc>
        <w:tc>
          <w:tcPr>
            <w:tcW w:w="220" w:type="dxa"/>
            <w:vAlign w:val="bottom"/>
          </w:tcPr>
          <w:p>
            <w:pPr>
              <w:spacing w:after="0"/>
              <w:rPr>
                <w:sz w:val="18"/>
                <w:szCs w:val="18"/>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and Hedging</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Sale Securities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Activities</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(7,564 )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(9,605 )</w:t>
            </w: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2,279</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7"/>
        </w:trPr>
        <w:tc>
          <w:tcPr>
            <w:tcW w:w="4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40" w:type="dxa"/>
            <w:vAlign w:val="bottom"/>
            <w:tcBorders>
              <w:bottom w:val="single" w:sz="8" w:color="auto"/>
            </w:tcBorders>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(1,990 )</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(5,182 )</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(6,716 )</w:t>
            </w:r>
          </w:p>
        </w:tc>
        <w:tc>
          <w:tcPr>
            <w:tcW w:w="0" w:type="dxa"/>
            <w:vAlign w:val="bottom"/>
          </w:tcPr>
          <w:p>
            <w:pPr>
              <w:spacing w:after="0"/>
              <w:rPr>
                <w:sz w:val="1"/>
                <w:szCs w:val="1"/>
                <w:color w:val="auto"/>
              </w:rPr>
            </w:pPr>
          </w:p>
        </w:tc>
      </w:tr>
      <w:tr>
        <w:trPr>
          <w:trHeight w:val="417"/>
        </w:trPr>
        <w:tc>
          <w:tcPr>
            <w:tcW w:w="4640" w:type="dxa"/>
            <w:vAlign w:val="bottom"/>
          </w:tcPr>
          <w:p>
            <w:pPr>
              <w:spacing w:after="0"/>
              <w:rPr>
                <w:sz w:val="24"/>
                <w:szCs w:val="24"/>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For the nine months ended September 30, 2023</w:t>
            </w:r>
          </w:p>
        </w:tc>
        <w:tc>
          <w:tcPr>
            <w:tcW w:w="780" w:type="dxa"/>
            <w:vAlign w:val="bottom"/>
            <w:tcBorders>
              <w:bottom w:val="single" w:sz="8" w:color="auto"/>
            </w:tcBorders>
          </w:tcPr>
          <w:p>
            <w:pPr>
              <w:spacing w:after="0"/>
              <w:rPr>
                <w:sz w:val="20"/>
                <w:szCs w:val="20"/>
                <w:color w:val="auto"/>
              </w:rPr>
            </w:pPr>
          </w:p>
        </w:tc>
      </w:tr>
      <w:tr>
        <w:trPr>
          <w:trHeight w:val="211"/>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Gain on</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Loss on</w:t>
            </w:r>
          </w:p>
        </w:tc>
        <w:tc>
          <w:tcPr>
            <w:tcW w:w="22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 Loss</w:t>
            </w:r>
          </w:p>
        </w:tc>
        <w:tc>
          <w:tcPr>
            <w:tcW w:w="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Derivatives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Retirement</w:t>
            </w: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on Available-for-</w:t>
            </w:r>
          </w:p>
        </w:tc>
        <w:tc>
          <w:tcPr>
            <w:tcW w:w="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and Hedging</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1"/>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Plans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 Securities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(2,427 )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(10,127 )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(12,172 )</w:t>
            </w: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(3,023 )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(2,733 )</w:t>
            </w:r>
          </w:p>
        </w:tc>
      </w:tr>
      <w:tr>
        <w:trPr>
          <w:trHeight w:val="23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r>
      <w:tr>
        <w:trPr>
          <w:trHeight w:val="276"/>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(2,304 )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(11,724 )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672</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Amount Reclassified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 Reclassified</w:t>
            </w:r>
          </w:p>
        </w:tc>
      </w:tr>
      <w:tr>
        <w:trPr>
          <w:trHeight w:val="243"/>
        </w:trPr>
        <w:tc>
          <w:tcPr>
            <w:tcW w:w="29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from AOCI (1)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from AOCI (1)</w:t>
            </w:r>
          </w:p>
        </w:tc>
      </w:tr>
      <w:tr>
        <w:trPr>
          <w:trHeight w:val="250"/>
        </w:trPr>
        <w:tc>
          <w:tcPr>
            <w:tcW w:w="29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r>
      <w:tr>
        <w:trPr>
          <w:trHeight w:val="239"/>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09"/>
        </w:trPr>
        <w:tc>
          <w:tcPr>
            <w:tcW w:w="294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Affected Line Item in the Statement of</w:t>
            </w: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w:t>
            </w:r>
          </w:p>
        </w:tc>
        <w:tc>
          <w:tcPr>
            <w:tcW w:w="2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w:t>
            </w:r>
          </w:p>
        </w:tc>
      </w:tr>
      <w:tr>
        <w:trPr>
          <w:trHeight w:val="241"/>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Details about AOCI (1) components</w:t>
            </w:r>
          </w:p>
        </w:tc>
        <w:tc>
          <w:tcPr>
            <w:tcW w:w="3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30, 2024</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30, 2023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30, 2024</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30, 2023</w:t>
            </w:r>
          </w:p>
        </w:tc>
      </w:tr>
      <w:tr>
        <w:trPr>
          <w:trHeight w:val="24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plan items</w:t>
            </w:r>
          </w:p>
        </w:tc>
        <w:tc>
          <w:tcPr>
            <w:tcW w:w="3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11"/>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plan net (losses)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in plan expenses (2)</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45"/>
        </w:trPr>
        <w:tc>
          <w:tcPr>
            <w:tcW w:w="2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35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29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on sale of</w:t>
            </w: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on sales and redemptions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investment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(1,932 )</w:t>
            </w:r>
          </w:p>
        </w:tc>
      </w:tr>
      <w:tr>
        <w:trPr>
          <w:trHeight w:val="245"/>
        </w:trPr>
        <w:tc>
          <w:tcPr>
            <w:tcW w:w="2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35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r>
      <w:tr>
        <w:trPr>
          <w:trHeight w:val="237"/>
        </w:trPr>
        <w:tc>
          <w:tcPr>
            <w:tcW w:w="29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(1,426 )</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parentheses indicates debits in net income.</w:t>
      </w:r>
    </w:p>
    <w:p>
      <w:pPr>
        <w:spacing w:after="0" w:line="26" w:lineRule="exact"/>
        <w:rPr>
          <w:rFonts w:ascii="Times New Roman" w:cs="Times New Roman" w:eastAsia="Times New Roman" w:hAnsi="Times New Roman"/>
          <w:sz w:val="16"/>
          <w:szCs w:val="16"/>
          <w:color w:val="auto"/>
        </w:rPr>
      </w:pPr>
    </w:p>
    <w:p>
      <w:pPr>
        <w:ind w:left="380" w:right="7380" w:hanging="372"/>
        <w:spacing w:after="0" w:line="288"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items are included in net periodic pension cost. See Note 5 for additional information.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Note 13: Noninterest Income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For the three months ended</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For the nine months ended</w:t>
            </w:r>
          </w:p>
        </w:tc>
        <w:tc>
          <w:tcPr>
            <w:tcW w:w="5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8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September 30, 2024</w:t>
            </w:r>
          </w:p>
        </w:tc>
        <w:tc>
          <w:tcPr>
            <w:tcW w:w="1560" w:type="dxa"/>
            <w:vAlign w:val="bottom"/>
            <w:tcBorders>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September 30, 2023</w:t>
            </w:r>
          </w:p>
        </w:tc>
        <w:tc>
          <w:tcPr>
            <w:tcW w:w="152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September 30, 2024</w:t>
            </w:r>
          </w:p>
        </w:tc>
        <w:tc>
          <w:tcPr>
            <w:tcW w:w="14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September 30, 2023</w:t>
            </w:r>
          </w:p>
        </w:tc>
      </w:tr>
      <w:tr>
        <w:trPr>
          <w:trHeight w:val="18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Service charges on deposit accounts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r>
      <w:tr>
        <w:trPr>
          <w:trHeight w:val="189"/>
        </w:trPr>
        <w:tc>
          <w:tcPr>
            <w:tcW w:w="5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Insufficient funds fees</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221</w:t>
            </w:r>
          </w:p>
        </w:tc>
        <w:tc>
          <w:tcPr>
            <w:tcW w:w="9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181</w:t>
            </w:r>
          </w:p>
        </w:tc>
        <w:tc>
          <w:tcPr>
            <w:tcW w:w="4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594</w:t>
            </w:r>
          </w:p>
        </w:tc>
        <w:tc>
          <w:tcPr>
            <w:tcW w:w="90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488</w:t>
            </w: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Deposit related fees</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150</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112</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373</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321</w:t>
            </w:r>
          </w:p>
        </w:tc>
      </w:tr>
      <w:tr>
        <w:trPr>
          <w:trHeight w:val="189"/>
        </w:trPr>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ATM fees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21</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64</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104</w:t>
            </w:r>
          </w:p>
        </w:tc>
      </w:tr>
      <w:tr>
        <w:trPr>
          <w:trHeight w:val="183"/>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service charges on deposit accounts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392</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343</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1,031</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913</w:t>
            </w:r>
          </w:p>
        </w:tc>
      </w:tr>
      <w:tr>
        <w:trPr>
          <w:trHeight w:val="189"/>
        </w:trPr>
        <w:tc>
          <w:tcPr>
            <w:tcW w:w="5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Fee Income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Insurance agency revenue</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367</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310</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1,024</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1,001</w:t>
            </w:r>
          </w:p>
        </w:tc>
      </w:tr>
      <w:tr>
        <w:trPr>
          <w:trHeight w:val="189"/>
        </w:trPr>
        <w:tc>
          <w:tcPr>
            <w:tcW w:w="5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 services revenue</w:t>
            </w:r>
          </w:p>
        </w:tc>
        <w:tc>
          <w:tcPr>
            <w:tcW w:w="340" w:type="dxa"/>
            <w:vAlign w:val="bottom"/>
          </w:tcPr>
          <w:p>
            <w:pPr>
              <w:spacing w:after="0"/>
              <w:rPr>
                <w:sz w:val="16"/>
                <w:szCs w:val="16"/>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112</w:t>
            </w:r>
          </w:p>
        </w:tc>
        <w:tc>
          <w:tcPr>
            <w:tcW w:w="920" w:type="dxa"/>
            <w:vAlign w:val="bottom"/>
          </w:tcPr>
          <w:p>
            <w:pPr>
              <w:spacing w:after="0"/>
              <w:rPr>
                <w:sz w:val="16"/>
                <w:szCs w:val="16"/>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128</w:t>
            </w:r>
          </w:p>
        </w:tc>
        <w:tc>
          <w:tcPr>
            <w:tcW w:w="420" w:type="dxa"/>
            <w:vAlign w:val="bottom"/>
          </w:tcPr>
          <w:p>
            <w:pPr>
              <w:spacing w:after="0"/>
              <w:rPr>
                <w:sz w:val="16"/>
                <w:szCs w:val="16"/>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369</w:t>
            </w:r>
          </w:p>
        </w:tc>
        <w:tc>
          <w:tcPr>
            <w:tcW w:w="900" w:type="dxa"/>
            <w:vAlign w:val="bottom"/>
          </w:tcPr>
          <w:p>
            <w:pPr>
              <w:spacing w:after="0"/>
              <w:rPr>
                <w:sz w:val="16"/>
                <w:szCs w:val="16"/>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360</w:t>
            </w: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ATM fees surcharge</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66</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61</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174</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168</w:t>
            </w:r>
          </w:p>
        </w:tc>
      </w:tr>
      <w:tr>
        <w:trPr>
          <w:trHeight w:val="189"/>
        </w:trPr>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Banking house rents collected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54</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149</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150</w:t>
            </w:r>
          </w:p>
        </w:tc>
      </w:tr>
      <w:tr>
        <w:trPr>
          <w:trHeight w:val="183"/>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fee income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585</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553</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1,716</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1,679</w:t>
            </w:r>
          </w:p>
        </w:tc>
      </w:tr>
      <w:tr>
        <w:trPr>
          <w:trHeight w:val="189"/>
        </w:trPr>
        <w:tc>
          <w:tcPr>
            <w:tcW w:w="5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Card income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Debit card interchange fees</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300</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610</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455</w:t>
            </w:r>
          </w:p>
        </w:tc>
      </w:tr>
      <w:tr>
        <w:trPr>
          <w:trHeight w:val="189"/>
        </w:trPr>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Merchant card fees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45</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Total card income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319</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41</w:t>
            </w: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655</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501</w:t>
            </w:r>
          </w:p>
        </w:tc>
      </w:tr>
      <w:tr>
        <w:trPr>
          <w:trHeight w:val="154"/>
        </w:trPr>
        <w:tc>
          <w:tcPr>
            <w:tcW w:w="52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Mortgage fee income and realized gains on sales of loans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7"/>
        </w:trPr>
        <w:tc>
          <w:tcPr>
            <w:tcW w:w="520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and foreclosed real estate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Loan servicing fees</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79</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99</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279</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238</w:t>
            </w:r>
          </w:p>
        </w:tc>
      </w:tr>
      <w:tr>
        <w:trPr>
          <w:trHeight w:val="189"/>
        </w:trPr>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Net gains on sales of loans and foreclosed real estate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90</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148</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183</w:t>
            </w:r>
          </w:p>
        </w:tc>
      </w:tr>
      <w:tr>
        <w:trPr>
          <w:trHeight w:val="152"/>
        </w:trPr>
        <w:tc>
          <w:tcPr>
            <w:tcW w:w="5200" w:type="dxa"/>
            <w:vAlign w:val="bottom"/>
            <w:shd w:val="clear" w:color="auto" w:fill="CFF0FC"/>
          </w:tcPr>
          <w:p>
            <w:pPr>
              <w:ind w:left="300"/>
              <w:spacing w:after="0" w:line="152" w:lineRule="exact"/>
              <w:rPr>
                <w:sz w:val="20"/>
                <w:szCs w:val="20"/>
                <w:color w:val="auto"/>
              </w:rPr>
            </w:pPr>
            <w:r>
              <w:rPr>
                <w:rFonts w:ascii="Times New Roman" w:cs="Times New Roman" w:eastAsia="Times New Roman" w:hAnsi="Times New Roman"/>
                <w:sz w:val="15"/>
                <w:szCs w:val="15"/>
                <w:color w:val="auto"/>
              </w:rPr>
              <w:t>Total mortgage fee income and realized gains on sales of</w:t>
            </w: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93"/>
        </w:trPr>
        <w:tc>
          <w:tcPr>
            <w:tcW w:w="52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loans and foreclosed real estate</w:t>
            </w:r>
          </w:p>
        </w:tc>
        <w:tc>
          <w:tcPr>
            <w:tcW w:w="3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169</w:t>
            </w:r>
          </w:p>
        </w:tc>
        <w:tc>
          <w:tcPr>
            <w:tcW w:w="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140</w:t>
            </w:r>
          </w:p>
        </w:tc>
        <w:tc>
          <w:tcPr>
            <w:tcW w:w="4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427</w:t>
            </w:r>
          </w:p>
        </w:tc>
        <w:tc>
          <w:tcPr>
            <w:tcW w:w="9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421</w:t>
            </w:r>
          </w:p>
        </w:tc>
      </w:tr>
      <w:tr>
        <w:trPr>
          <w:trHeight w:val="183"/>
        </w:trPr>
        <w:tc>
          <w:tcPr>
            <w:tcW w:w="52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1,465</w:t>
            </w:r>
          </w:p>
        </w:tc>
        <w:tc>
          <w:tcPr>
            <w:tcW w:w="9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1,077</w:t>
            </w:r>
          </w:p>
        </w:tc>
        <w:tc>
          <w:tcPr>
            <w:tcW w:w="420" w:type="dxa"/>
            <w:vAlign w:val="bottom"/>
          </w:tcPr>
          <w:p>
            <w:pPr>
              <w:spacing w:after="0"/>
              <w:rPr>
                <w:sz w:val="15"/>
                <w:szCs w:val="15"/>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3,829</w:t>
            </w:r>
          </w:p>
        </w:tc>
        <w:tc>
          <w:tcPr>
            <w:tcW w:w="90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3,514</w:t>
            </w: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Earnings and gains on bank owned life insurance</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361</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165</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685</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466</w:t>
            </w:r>
          </w:p>
        </w:tc>
      </w:tr>
      <w:tr>
        <w:trPr>
          <w:trHeight w:val="189"/>
        </w:trPr>
        <w:tc>
          <w:tcPr>
            <w:tcW w:w="5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realized (losses) gains on sales and redemptions of investment securities</w:t>
            </w:r>
          </w:p>
        </w:tc>
        <w:tc>
          <w:tcPr>
            <w:tcW w:w="34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(188 )</w:t>
            </w:r>
          </w:p>
        </w:tc>
        <w:tc>
          <w:tcPr>
            <w:tcW w:w="92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(13 )</w:t>
            </w:r>
          </w:p>
        </w:tc>
        <w:tc>
          <w:tcPr>
            <w:tcW w:w="4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(320 )</w:t>
            </w:r>
          </w:p>
        </w:tc>
        <w:tc>
          <w:tcPr>
            <w:tcW w:w="900" w:type="dxa"/>
            <w:vAlign w:val="bottom"/>
          </w:tcPr>
          <w:p>
            <w:pPr>
              <w:spacing w:after="0"/>
              <w:rPr>
                <w:sz w:val="16"/>
                <w:szCs w:val="16"/>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60</w:t>
            </w: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Net realized gains (losses) on sales of marketable equity securities</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62</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(39 )</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31</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(208 )</w:t>
            </w:r>
          </w:p>
        </w:tc>
      </w:tr>
      <w:tr>
        <w:trPr>
          <w:trHeight w:val="189"/>
        </w:trPr>
        <w:tc>
          <w:tcPr>
            <w:tcW w:w="5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Loss on sale of premises and equipment</w:t>
            </w:r>
          </w:p>
        </w:tc>
        <w:tc>
          <w:tcPr>
            <w:tcW w:w="34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(36 )</w:t>
            </w:r>
          </w:p>
        </w:tc>
        <w:tc>
          <w:tcPr>
            <w:tcW w:w="920" w:type="dxa"/>
            <w:vAlign w:val="bottom"/>
          </w:tcPr>
          <w:p>
            <w:pPr>
              <w:spacing w:after="0"/>
              <w:rPr>
                <w:sz w:val="16"/>
                <w:szCs w:val="16"/>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(36 )</w:t>
            </w:r>
          </w:p>
        </w:tc>
        <w:tc>
          <w:tcPr>
            <w:tcW w:w="900" w:type="dxa"/>
            <w:vAlign w:val="bottom"/>
          </w:tcPr>
          <w:p>
            <w:pPr>
              <w:spacing w:after="0"/>
              <w:rPr>
                <w:sz w:val="16"/>
                <w:szCs w:val="16"/>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Non-recurring gain on lease renegotiations</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245</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Other miscellaneous (loss) income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43</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221</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40</w:t>
            </w:r>
          </w:p>
        </w:tc>
      </w:tr>
      <w:tr>
        <w:trPr>
          <w:trHeight w:val="223"/>
        </w:trPr>
        <w:tc>
          <w:tcPr>
            <w:tcW w:w="5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noninterest income</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1,707</w:t>
            </w:r>
          </w:p>
        </w:tc>
        <w:tc>
          <w:tcPr>
            <w:tcW w:w="920" w:type="dxa"/>
            <w:vAlign w:val="bottom"/>
            <w:tcBorders>
              <w:bottom w:val="single" w:sz="8" w:color="auto"/>
            </w:tcBorders>
            <w:shd w:val="clear" w:color="auto" w:fill="CFF0FC"/>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1,193</w:t>
            </w:r>
          </w:p>
        </w:tc>
        <w:tc>
          <w:tcPr>
            <w:tcW w:w="42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4,655</w:t>
            </w:r>
          </w:p>
        </w:tc>
        <w:tc>
          <w:tcPr>
            <w:tcW w:w="900" w:type="dxa"/>
            <w:vAlign w:val="bottom"/>
            <w:tcBorders>
              <w:bottom w:val="single" w:sz="8" w:color="auto"/>
            </w:tcBorders>
            <w:shd w:val="clear" w:color="auto" w:fill="CFF0FC"/>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3,872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 guidance:</w:t>
      </w:r>
    </w:p>
    <w:p>
      <w:pPr>
        <w:spacing w:after="0" w:line="22" w:lineRule="exact"/>
        <w:rPr>
          <w:sz w:val="20"/>
          <w:szCs w:val="20"/>
          <w:color w:val="auto"/>
        </w:rPr>
      </w:pPr>
    </w:p>
    <w:p>
      <w:pPr>
        <w:jc w:val="both"/>
        <w:ind w:left="760" w:hanging="378"/>
        <w:spacing w:after="0" w:line="23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 passage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52" w:lineRule="auto"/>
        <w:tabs>
          <w:tab w:leader="none" w:pos="7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Fee income – </w:t>
      </w:r>
      <w:r>
        <w:rPr>
          <w:rFonts w:ascii="Times New Roman" w:cs="Times New Roman" w:eastAsia="Times New Roman" w:hAnsi="Times New Roman"/>
          <w:sz w:val="19"/>
          <w:szCs w:val="19"/>
          <w:color w:val="auto"/>
        </w:rPr>
        <w:t>Revenue is earned through commissions on insurance and securities sales, ATM surcharge fees, and banking house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jc w:val="both"/>
        <w:ind w:left="760" w:hanging="378"/>
        <w:spacing w:after="0" w:line="239"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 Interchange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are set by the card networks. Interchange fees are based on purchase volumes and other factors and are recognized as transactions occur.</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 guarantees portions of Small Business Administration loans (“SBA loans”), and sales of foreclosed real estate, and is earned as the transaction occurs.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addition to the revenue items discussed above, for the nine months ended September 30, 2024, the Company recognized a non-recurring gain of $245,000 related to refunds received from cumulative lessor related pass-through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47" w:name="page48"/>
    <w:bookmarkEnd w:id="47"/>
    <w:p>
      <w:pPr>
        <w:jc w:val="both"/>
        <w:ind w:right="80"/>
        <w:spacing w:after="0" w:line="269" w:lineRule="auto"/>
        <w:rPr>
          <w:sz w:val="20"/>
          <w:szCs w:val="20"/>
          <w:color w:val="auto"/>
        </w:rPr>
      </w:pPr>
      <w:r>
        <w:rPr>
          <w:rFonts w:ascii="Times New Roman" w:cs="Times New Roman" w:eastAsia="Times New Roman" w:hAnsi="Times New Roman"/>
          <w:sz w:val="20"/>
          <w:szCs w:val="20"/>
          <w:color w:val="auto"/>
        </w:rPr>
        <w:t>operating expense charges for a single leased branch location, and an increase of $219,000 in earnings and gain on BOLI including the net death benefit of $175,000 on BOLI.</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Leases</w:t>
      </w:r>
    </w:p>
    <w:p>
      <w:pPr>
        <w:spacing w:after="0" w:line="23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The Company has operating and finance leases for certain banking offices and land under noncancelable agreements. Our leases have remaining lease terms that vary from less than one year up to 28 years, some of which include options to extend the leases for various renewal periods. All options to renew are included in the current lease term when we believe it is reasonably certain that the renewal options will be exercised.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1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1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3"/>
        </w:trPr>
        <w:tc>
          <w:tcPr>
            <w:tcW w:w="6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 included in the measurement of lease liabilities:</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9"/>
        </w:trPr>
        <w:tc>
          <w:tcPr>
            <w:tcW w:w="4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lease term and discount rate)</w:t>
            </w:r>
          </w:p>
        </w:tc>
        <w:tc>
          <w:tcPr>
            <w:tcW w:w="2660" w:type="dxa"/>
            <w:vAlign w:val="bottom"/>
          </w:tcPr>
          <w:p>
            <w:pPr>
              <w:spacing w:after="0"/>
              <w:rPr>
                <w:sz w:val="21"/>
                <w:szCs w:val="21"/>
                <w:color w:val="auto"/>
              </w:rPr>
            </w:pP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 30, 2024</w:t>
            </w:r>
          </w:p>
        </w:tc>
        <w:tc>
          <w:tcPr>
            <w:tcW w:w="40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4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60" w:type="dxa"/>
            <w:vAlign w:val="bottom"/>
            <w:tcBorders>
              <w:top w:val="single" w:sz="8" w:color="auto"/>
            </w:tcBorders>
            <w:shd w:val="clear" w:color="auto" w:fill="CFF0FC"/>
          </w:tcPr>
          <w:p>
            <w:pPr>
              <w:spacing w:after="0"/>
              <w:rPr>
                <w:sz w:val="21"/>
                <w:szCs w:val="21"/>
                <w:color w:val="auto"/>
              </w:rPr>
            </w:pPr>
          </w:p>
        </w:tc>
        <w:tc>
          <w:tcPr>
            <w:tcW w:w="192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1,425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1,621</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16,873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4,073</w:t>
            </w: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16,829</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4,381</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tcPr>
          <w:p>
            <w:pPr>
              <w:spacing w:after="0"/>
              <w:rPr>
                <w:sz w:val="20"/>
                <w:szCs w:val="20"/>
                <w:color w:val="auto"/>
              </w:rPr>
            </w:pP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17.10</w:t>
            </w:r>
          </w:p>
        </w:tc>
        <w:tc>
          <w:tcPr>
            <w:tcW w:w="4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 years</w:t>
            </w:r>
          </w:p>
        </w:tc>
        <w:tc>
          <w:tcPr>
            <w:tcW w:w="60" w:type="dxa"/>
            <w:vAlign w:val="bottom"/>
          </w:tcPr>
          <w:p>
            <w:pPr>
              <w:spacing w:after="0"/>
              <w:rPr>
                <w:sz w:val="20"/>
                <w:szCs w:val="20"/>
                <w:color w:val="auto"/>
              </w:rPr>
            </w:pPr>
          </w:p>
        </w:tc>
      </w:tr>
      <w:tr>
        <w:trPr>
          <w:trHeight w:val="252"/>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23.42</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27.35 years</w:t>
            </w:r>
          </w:p>
        </w:tc>
        <w:tc>
          <w:tcPr>
            <w:tcW w:w="60" w:type="dxa"/>
            <w:vAlign w:val="bottom"/>
          </w:tcPr>
          <w:p>
            <w:pPr>
              <w:spacing w:after="0"/>
              <w:rPr>
                <w:sz w:val="21"/>
                <w:szCs w:val="21"/>
                <w:color w:val="auto"/>
              </w:rPr>
            </w:pPr>
          </w:p>
        </w:tc>
      </w:tr>
      <w:tr>
        <w:trPr>
          <w:trHeight w:val="243"/>
        </w:trPr>
        <w:tc>
          <w:tcPr>
            <w:tcW w:w="45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6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tcPr>
          <w:p>
            <w:pPr>
              <w:spacing w:after="0"/>
              <w:rPr>
                <w:sz w:val="20"/>
                <w:szCs w:val="20"/>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3.89 %</w:t>
            </w: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4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66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8.25 %</w:t>
            </w:r>
          </w:p>
        </w:tc>
        <w:tc>
          <w:tcPr>
            <w:tcW w:w="4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432"/>
        </w:trPr>
        <w:tc>
          <w:tcPr>
            <w:tcW w:w="45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color w:val="auto"/>
              </w:rPr>
              <w:t xml:space="preserve"> -</w:t>
            </w:r>
          </w:p>
        </w:tc>
        <w:tc>
          <w:tcPr>
            <w:tcW w:w="1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16"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Maturities of lease liabilities are as follows: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Twelve Months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492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7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4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7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16,334</w:t>
            </w:r>
          </w:p>
        </w:tc>
      </w:tr>
      <w:tr>
        <w:trPr>
          <w:trHeight w:val="237"/>
        </w:trPr>
        <w:tc>
          <w:tcPr>
            <w:tcW w:w="4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18,450</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from December 31, 2023 to September 30, 2024 for finance leases was entirely driven by the acquisition of our East Syracuse branch. The Company assumed Berkshire Bank’s existing commercial lease, for the real property associated with the East Syracuse branch, with an annual lease payment of approximately $946,000, excluding property taxes and certain other associated property related obligations that the Bank also assumed.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owns certain properties that it leases to unaffiliated third parties at market rates. Lease rental income was $40,000 and $53,000 for the three months ended September 30, 2024 and 2023, respectively. Lease rental income was $148,000 and $149,000 for the nine months ended September 30, 2024 and 2023, respectively. The lease agreements in which the Company is the lessor are a mix of operating and finance leases.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Related Party Transactions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September 30, 2024 or December 31, 2023.</w:t>
      </w:r>
    </w:p>
    <w:p>
      <w:pPr>
        <w:spacing w:after="0" w:line="6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represents the activity associated with loans to related parties during the nine months ended September 30, 2024 and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32,742</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32,531</w:t>
            </w:r>
          </w:p>
        </w:tc>
      </w:tr>
      <w:tr>
        <w:trPr>
          <w:trHeight w:val="23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Originations and related party additions</w:t>
            </w:r>
          </w:p>
        </w:tc>
        <w:tc>
          <w:tcPr>
            <w:tcW w:w="244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999</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4,360</w:t>
            </w:r>
          </w:p>
        </w:tc>
      </w:tr>
      <w:tr>
        <w:trPr>
          <w:trHeight w:val="243"/>
        </w:trPr>
        <w:tc>
          <w:tcPr>
            <w:tcW w:w="56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Principal payments and related party removals</w:t>
            </w:r>
          </w:p>
        </w:tc>
        <w:tc>
          <w:tcPr>
            <w:tcW w:w="24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(6,547 )</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(4,149 )</w:t>
            </w:r>
          </w:p>
        </w:tc>
      </w:tr>
      <w:tr>
        <w:trPr>
          <w:trHeight w:val="23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27,194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32,742</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Branch Acquisition</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Pathfinder Bank completed the purchase of the East Syracuse branch from Berkshire Bank on July 19, 2024, assuming $186.0 million in associated deposits and acquiring $30.6 million in assets including $29.9 million in loans. Acquired assets include a core deposit intangible (“CDI”) valued at $6.3 million, and the valuation of acquired loans resulted in an estimated discount of $1.8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addition of the East Syracuse branch significantly increased the Bank's customer base, which grew non-brokered deposits by 21.5%.</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At acquisition, the average cost of deposits assumed with the branch acquisition was 1.99% (excluding the CDI) and as of September 30, 2024, the Bank retained approximately 97% of deposit balances. No loans were purchased with evidence of credit deterioration since origination and for which it is probable that all contractually required payments will not be collected and considered to be credit impaired. The Company utilized a portion of the low-cost liquidity provided from the transaction to pay down $74.4 million in borrowings and $106.0 million in high-cost brokered deposits during the third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Acquisition-related expenses of $1.6 million for the three months ended September 30, 2024 were recorded in the consolidated statements of income and were expensed as incurred. The following table sets forth assets acquired and liabilities assumed in the acquisition of the East Syracuse branch, at their estimated fair values as of the closing date of the transaction: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Data is actual, not in thousands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4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 Recorded</w:t>
            </w:r>
          </w:p>
        </w:tc>
        <w:tc>
          <w:tcPr>
            <w:tcW w:w="160" w:type="dxa"/>
            <w:vAlign w:val="bottom"/>
          </w:tcPr>
          <w:p>
            <w:pPr>
              <w:spacing w:after="0"/>
              <w:rPr>
                <w:sz w:val="21"/>
                <w:szCs w:val="21"/>
                <w:color w:val="auto"/>
              </w:rPr>
            </w:pPr>
          </w:p>
        </w:tc>
        <w:tc>
          <w:tcPr>
            <w:tcW w:w="1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 Adjustment</w:t>
            </w:r>
          </w:p>
        </w:tc>
        <w:tc>
          <w:tcPr>
            <w:tcW w:w="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Fair Value Recorded</w:t>
            </w:r>
          </w:p>
        </w:tc>
        <w:tc>
          <w:tcPr>
            <w:tcW w:w="280" w:type="dxa"/>
            <w:vAlign w:val="bottom"/>
          </w:tcPr>
          <w:p>
            <w:pPr>
              <w:spacing w:after="0"/>
              <w:rPr>
                <w:sz w:val="21"/>
                <w:szCs w:val="21"/>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received</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149,843,537</w:t>
            </w:r>
          </w:p>
        </w:tc>
        <w:tc>
          <w:tcPr>
            <w:tcW w:w="280" w:type="dxa"/>
            <w:vAlign w:val="bottom"/>
          </w:tcPr>
          <w:p>
            <w:pPr>
              <w:spacing w:after="0"/>
              <w:rPr>
                <w:sz w:val="19"/>
                <w:szCs w:val="19"/>
                <w:color w:val="auto"/>
              </w:rPr>
            </w:pPr>
          </w:p>
        </w:tc>
      </w:tr>
      <w:tr>
        <w:trPr>
          <w:trHeight w:val="230"/>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assets acquired and liabilities assumed:</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 acquired:</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251,040</w:t>
            </w:r>
          </w:p>
        </w:tc>
        <w:tc>
          <w:tcPr>
            <w:tcW w:w="6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251,040</w:t>
            </w:r>
          </w:p>
        </w:tc>
        <w:tc>
          <w:tcPr>
            <w:tcW w:w="280" w:type="dxa"/>
            <w:vAlign w:val="bottom"/>
          </w:tcPr>
          <w:p>
            <w:pPr>
              <w:spacing w:after="0"/>
              <w:rPr>
                <w:sz w:val="19"/>
                <w:szCs w:val="19"/>
                <w:color w:val="auto"/>
              </w:rPr>
            </w:pPr>
          </w:p>
        </w:tc>
      </w:tr>
      <w:tr>
        <w:trPr>
          <w:trHeight w:val="23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Negative deposits (classified as loans)</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28,080</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28,080</w:t>
            </w:r>
          </w:p>
        </w:tc>
        <w:tc>
          <w:tcPr>
            <w:tcW w:w="280" w:type="dxa"/>
            <w:vAlign w:val="bottom"/>
          </w:tcPr>
          <w:p>
            <w:pPr>
              <w:spacing w:after="0"/>
              <w:rPr>
                <w:sz w:val="20"/>
                <w:szCs w:val="20"/>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29,908,345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(1,843,429 )</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28,064,916</w:t>
            </w:r>
          </w:p>
        </w:tc>
        <w:tc>
          <w:tcPr>
            <w:tcW w:w="280" w:type="dxa"/>
            <w:vAlign w:val="bottom"/>
          </w:tcPr>
          <w:p>
            <w:pPr>
              <w:spacing w:after="0"/>
              <w:rPr>
                <w:sz w:val="19"/>
                <w:szCs w:val="19"/>
                <w:color w:val="auto"/>
              </w:rPr>
            </w:pPr>
          </w:p>
        </w:tc>
      </w:tr>
      <w:tr>
        <w:trPr>
          <w:trHeight w:val="23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 receivable on loans</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162,388</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162,388</w:t>
            </w:r>
          </w:p>
        </w:tc>
        <w:tc>
          <w:tcPr>
            <w:tcW w:w="280" w:type="dxa"/>
            <w:vAlign w:val="bottom"/>
          </w:tcPr>
          <w:p>
            <w:pPr>
              <w:spacing w:after="0"/>
              <w:rPr>
                <w:sz w:val="20"/>
                <w:szCs w:val="20"/>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223,676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223,676</w:t>
            </w:r>
          </w:p>
        </w:tc>
        <w:tc>
          <w:tcPr>
            <w:tcW w:w="280" w:type="dxa"/>
            <w:vAlign w:val="bottom"/>
          </w:tcPr>
          <w:p>
            <w:pPr>
              <w:spacing w:after="0"/>
              <w:rPr>
                <w:sz w:val="19"/>
                <w:szCs w:val="19"/>
                <w:color w:val="auto"/>
              </w:rPr>
            </w:pPr>
          </w:p>
        </w:tc>
      </w:tr>
      <w:tr>
        <w:trPr>
          <w:trHeight w:val="23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Core deposit intangible</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6,271,000</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6,271,000</w:t>
            </w:r>
          </w:p>
        </w:tc>
        <w:tc>
          <w:tcPr>
            <w:tcW w:w="280" w:type="dxa"/>
            <w:vAlign w:val="bottom"/>
          </w:tcPr>
          <w:p>
            <w:pPr>
              <w:spacing w:after="0"/>
              <w:rPr>
                <w:sz w:val="20"/>
                <w:szCs w:val="20"/>
                <w:color w:val="auto"/>
              </w:rPr>
            </w:pPr>
          </w:p>
        </w:tc>
      </w:tr>
      <w:tr>
        <w:trPr>
          <w:trHeight w:val="227"/>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12,481,680</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493,000</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12,974,680</w:t>
            </w:r>
          </w:p>
        </w:tc>
        <w:tc>
          <w:tcPr>
            <w:tcW w:w="280" w:type="dxa"/>
            <w:vAlign w:val="bottom"/>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assets acquired</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43,055,209</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4,920,571</w:t>
            </w:r>
          </w:p>
        </w:tc>
        <w:tc>
          <w:tcPr>
            <w:tcW w:w="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47,975,780</w:t>
            </w:r>
          </w:p>
        </w:tc>
        <w:tc>
          <w:tcPr>
            <w:tcW w:w="280" w:type="dxa"/>
            <w:vAlign w:val="bottom"/>
          </w:tcPr>
          <w:p>
            <w:pPr>
              <w:spacing w:after="0"/>
              <w:rPr>
                <w:sz w:val="19"/>
                <w:szCs w:val="19"/>
                <w:color w:val="auto"/>
              </w:rPr>
            </w:pPr>
          </w:p>
        </w:tc>
      </w:tr>
      <w:tr>
        <w:trPr>
          <w:trHeight w:val="226"/>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Liabilities assumed:</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185,860,409</w:t>
            </w:r>
          </w:p>
        </w:tc>
        <w:tc>
          <w:tcPr>
            <w:tcW w:w="6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543,226</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186,403,635</w:t>
            </w:r>
          </w:p>
        </w:tc>
        <w:tc>
          <w:tcPr>
            <w:tcW w:w="280" w:type="dxa"/>
            <w:vAlign w:val="bottom"/>
          </w:tcPr>
          <w:p>
            <w:pPr>
              <w:spacing w:after="0"/>
              <w:rPr>
                <w:sz w:val="19"/>
                <w:szCs w:val="19"/>
                <w:color w:val="auto"/>
              </w:rPr>
            </w:pPr>
          </w:p>
        </w:tc>
      </w:tr>
      <w:tr>
        <w:trPr>
          <w:trHeight w:val="23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 payable on deposits</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149,948</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149,948</w:t>
            </w:r>
          </w:p>
        </w:tc>
        <w:tc>
          <w:tcPr>
            <w:tcW w:w="280" w:type="dxa"/>
            <w:vAlign w:val="bottom"/>
          </w:tcPr>
          <w:p>
            <w:pPr>
              <w:spacing w:after="0"/>
              <w:rPr>
                <w:sz w:val="20"/>
                <w:szCs w:val="20"/>
                <w:color w:val="auto"/>
              </w:rPr>
            </w:pPr>
          </w:p>
        </w:tc>
      </w:tr>
      <w:tr>
        <w:trPr>
          <w:trHeight w:val="226"/>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liability</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12,481,680</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12,481,680</w:t>
            </w:r>
          </w:p>
        </w:tc>
        <w:tc>
          <w:tcPr>
            <w:tcW w:w="280" w:type="dxa"/>
            <w:vAlign w:val="bottom"/>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198,492,037</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543,226</w:t>
            </w:r>
          </w:p>
        </w:tc>
        <w:tc>
          <w:tcPr>
            <w:tcW w:w="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199,035,263</w:t>
            </w:r>
          </w:p>
        </w:tc>
        <w:tc>
          <w:tcPr>
            <w:tcW w:w="280" w:type="dxa"/>
            <w:vAlign w:val="bottom"/>
          </w:tcPr>
          <w:p>
            <w:pPr>
              <w:spacing w:after="0"/>
              <w:rPr>
                <w:sz w:val="19"/>
                <w:szCs w:val="19"/>
                <w:color w:val="auto"/>
              </w:rPr>
            </w:pPr>
          </w:p>
        </w:tc>
      </w:tr>
      <w:tr>
        <w:trPr>
          <w:trHeight w:val="226"/>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2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 and liabilities assumed</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(151,059,483 )</w:t>
            </w:r>
          </w:p>
        </w:tc>
        <w:tc>
          <w:tcPr>
            <w:tcW w:w="280" w:type="dxa"/>
            <w:vAlign w:val="bottom"/>
          </w:tcPr>
          <w:p>
            <w:pPr>
              <w:spacing w:after="0"/>
              <w:rPr>
                <w:sz w:val="19"/>
                <w:szCs w:val="19"/>
                <w:color w:val="auto"/>
              </w:rPr>
            </w:pPr>
          </w:p>
        </w:tc>
      </w:tr>
      <w:tr>
        <w:trPr>
          <w:trHeight w:val="226"/>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6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1,215,946</w:t>
            </w:r>
          </w:p>
        </w:tc>
        <w:tc>
          <w:tcPr>
            <w:tcW w:w="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-1533525</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-1533525</wp:posOffset>
            </wp:positionV>
            <wp:extent cx="2146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-642620</wp:posOffset>
            </wp:positionV>
            <wp:extent cx="102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-642620</wp:posOffset>
            </wp:positionV>
            <wp:extent cx="2146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171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171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The amount of revenue of the acquired business since the acquisiton date, and the proforma results of operatons, are not material to the fnancial statements.</w:t>
      </w:r>
    </w:p>
    <w:p>
      <w:pPr>
        <w:spacing w:after="0" w:line="207"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loans will be recognized as an adjustment of yield over their remaining term.</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Recording of new intangible asset for the fair value of core deposits, to be amortized on an accelerated basis over a ten year period.  The weighted average amortization period is 6.4 years.</w:t>
      </w:r>
    </w:p>
    <w:p>
      <w:pPr>
        <w:ind w:left="200" w:hanging="192"/>
        <w:spacing w:after="0" w:line="221" w:lineRule="auto"/>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right-of-use asset was initially measured at an amount equal to the lease liability and includes an adjustment for favorable lease terms when compared with market terms.</w:t>
      </w:r>
    </w:p>
    <w:p>
      <w:pPr>
        <w:ind w:left="220" w:hanging="212"/>
        <w:spacing w:after="0" w:line="221" w:lineRule="auto"/>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deposits will be recognized as an adjustment of yield over their remaining term.</w:t>
      </w:r>
    </w:p>
    <w:p>
      <w:pPr>
        <w:ind w:left="240" w:hanging="232"/>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goodwill that is expected to be deductible for tax purposes.</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estimated fair values of the assets and liabilities, including identifiable intangible assets, are subject to refinement. Subsequent adjustments to the estimated fair values of assets acquired and liabilities assumed, and the resulting goodwill, is allowed for a period of up to one year after the acquisition date for new information that becomes available after the acquisition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Assets And Liabilities Held For Sale</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Assets and liabilities held for sale represent land, buildings and land improvements less accumulated depreciation that are being held with a specific intention to sell at some future date. The Company records assets and liabilities held for sale in accordance with ASC 360, Property, Plant, and Equipment, at the lower of the individual asset's carrying value or estimated fair value, less estimated cost to sell. Fair value is based on the estimated proceeds from the sale for an individual asset utilizing recent purchase offers, market comparables and/or data obtained from reliable commercial real estate appraisals. Management's estimate as to fair value is regularly reviewed and subject to changes in the commercial real estate markets and other factors.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third quarter of 2024, the Company sold a real estate parcel that included a partially-developed mixed use commercial structure with a carrying value of $3.4 million, and recorded a $36,000 loss on the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Subsequent Events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October 1, 2024, the Company completed the sale of its majority membership interest in the FitzGibbons Agency, which contributed $28,000 to the Company’s net income in the third quarter of 2024, to Marshall &amp; Sterling Enterprises, Inc. The Bank will receive approximately $2.0 million from the sale, and the Company expects to recognize a portion of that amount as a net gain in the fourth quarter of 2024.</w:t>
      </w:r>
    </w:p>
    <w:p>
      <w:pPr>
        <w:spacing w:after="0" w:line="203" w:lineRule="exact"/>
        <w:rPr>
          <w:sz w:val="20"/>
          <w:szCs w:val="20"/>
          <w:color w:val="auto"/>
        </w:rPr>
      </w:pPr>
    </w:p>
    <w:p>
      <w:pPr>
        <w:ind w:right="1940"/>
        <w:spacing w:after="0" w:line="452" w:lineRule="auto"/>
        <w:rPr>
          <w:sz w:val="20"/>
          <w:szCs w:val="20"/>
          <w:color w:val="auto"/>
        </w:rPr>
      </w:pPr>
      <w:r>
        <w:rPr>
          <w:rFonts w:ascii="Times New Roman" w:cs="Times New Roman" w:eastAsia="Times New Roman" w:hAnsi="Times New Roman"/>
          <w:sz w:val="20"/>
          <w:szCs w:val="20"/>
          <w:b w:val="1"/>
          <w:bCs w:val="1"/>
          <w:color w:val="auto"/>
        </w:rPr>
        <w:t>Item 2 - Management's Discussion and Analysis of Financial Condition and Results of Operations (Unaudited) General</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owned,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September 30, 2024, the Company and subsidiaries had total consolidated assets of $1.48 billion, total consolidated liabilities of $1.36 billion and shareholders' equity of $120.2 million, plus noncontrolling interest of $854,000, which represents the 49% of FitzGibbons not owned by the Company. On October 1, 2024, the Company completed the sale of its interest in FitzGibbons to Marshall &amp; Sterling Enterprises, Inc. Please refer to the “Recent Developments” section below for additional details regarding the sale of FitzGibbons.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reviews the Company's financial condition at September 30, 2024 and the results of operations for the three and nine month periods ended September 30, 2024 and 2023. Operating results for the three and nine months ended September 30, 2024 are not necessarily indicative of the results that may be expected for the year ending December 31, 2024 or any other period.</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2023 Annual Report on Form 10-K filed with the Securities and Exchange Commission on March 22, 2024 (“the consolidated annual financial statements”) as of December 31, 2023 and 2022 and for the two years then ended. Therefore, only material changes in financial condition and results of operations are discussed in the remainder of Item 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Regarding Forward-Looking Statements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1" w:name="page52"/>
    <w:bookmarkEnd w:id="51"/>
    <w:p>
      <w:pPr>
        <w:jc w:val="both"/>
        <w:spacing w:after="0" w:line="260" w:lineRule="auto"/>
        <w:rPr>
          <w:sz w:val="20"/>
          <w:szCs w:val="20"/>
          <w:color w:val="auto"/>
        </w:rPr>
      </w:pPr>
      <w:r>
        <w:rPr>
          <w:rFonts w:ascii="Times New Roman" w:cs="Times New Roman" w:eastAsia="Times New Roman" w:hAnsi="Times New Roman"/>
          <w:sz w:val="19"/>
          <w:szCs w:val="19"/>
          <w:color w:val="auto"/>
        </w:rPr>
        <w:t>response to such pandemic or crises on our operations as well as those of our customers and on the economy generally and in our market area specifically; (6) political developments, wars or other hostilities may disrupt or increase volatility in securities markets or other economic conditions; (7) legislative or regulatory changes or actions may adversely affect the businesses in which Pathfinder Bancorp, Inc. is engaged;</w:t>
      </w:r>
    </w:p>
    <w:p>
      <w:pPr>
        <w:jc w:val="both"/>
        <w:ind w:firstLine="8"/>
        <w:spacing w:after="0"/>
        <w:tabs>
          <w:tab w:leader="none" w:pos="28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and trends in the securities markets may adversely impact Pathfinder Bancorp, Inc.; (9) difficulties in integrating any businesses that we may acquire, including our recently completed acquisition of the East Syracuse branch of Berkshire Bank, which may increase our expenses and delay the achievement of any benefits that we may expect from such acquisitions; (10) the impact of reputation risk created by the developments discussed above on such matters as business generation and retention, funding and liquidity could be significant; (11) our ability to prevent or mitigate fraudulent activity and cybersecurity threats; and (12) the outcome of any future regulatory and legal investigations and proceedings may not be anticipated.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these and other uncertainties, our actual future results may be materially different from the results indicated by these forward-looking statements. Except as required by law, we disclaim any obligation to revise or update any forward-looking statements contained in this Quarterly Report on Form 10-Q to reflect future events or developments.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Estimates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and intangible assets for impairment to be the accounting areas that require the most subjective and complex judgments. These areas could be the most subject to revision as new information becomes available.</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ACL represents management's estimate of lifetime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individually evaluated which are on nonaccrual and have been risk rated under the Company’s risk rating system as substandard, doubtful, or loss. In addition, an accruing substandard loan could be identified as being individually evaluated.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20"/>
          <w:szCs w:val="20"/>
          <w:color w:val="auto"/>
        </w:rPr>
        <w:t>The measurement of individually evaluated loans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lifetime incurred loss for each risk-rating category.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September 30, 2024, the Bank’s position in individually evaluated loans consisted of 49 loans totaling $19.6 million. Of these loans, 16 loans, totaling $3.1 million, were valued using the present value of future cash flows method; and 33 loans, totaling $16.5 million, were valued based on a collateral analysis. For all other loans, the Company uses the general allocation methodology that establishes an allowance to estimate the lifetime incurred loss for each risk-rating category.</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September 30, 2024, the Bank held $534.5 million in commercial real estate and commercial &amp; industrial loans (collectively, commercial loans) representing 57.9% of the Bank’s entire loan portfolio. The Bank allocated $9.8 million to the ACL for these loans, including $3.7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$936,000,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September 30, 2024 in the final recorded estimation of the ACL on loans recognized on the Statements of Financial Condition.</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20"/>
          <w:szCs w:val="20"/>
          <w:color w:val="auto"/>
        </w:rPr>
        <w:t>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estimation of fair value is significant to several of our assets, and the acquisition of certain assets and liabilities; including AFS and marketable equity investment securities, intangible assets, leases,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performs an annual evaluation of our goodwill and intangible assets for possible impairment at each of our reporting units. Based on the results of the December 31, 2023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July 19, 2024, the Bank completed the previously announced purchase and assumption of the East Syracuse, NY branch of Berkshire Bank, the banking subsidiary of Berkshire Hills Bancorp, Inc. In connection with the purchase, the Bank assumed $186.0 million in deposit liabilities and acquired $29.9 million in loans. With respect to the purchased loans, the Bank paid an amount equal to the sum of 95% of the aggregate unpaid principal balances, measured as of the closing date, plus any accrued interest related to the loans through the closing date. The Bank also paid a 5.8% premium on the aggregate amount of non-time deposits associated with the branch, measured as of the closing date (the “Core Deposits”), and assumed all non-Core Deposits associated with the branch, measured as of the closing date, at par value. The total deposit premium paid by the Bank therefore equated to approximately 3.8% when applied to the aggregated Core Deposits and non-Core Deposits. The average cost of deposits acquired in the East Syracuse branch acquisition was approximately 1.99% (excluding the effects of future Core Deposit Intangible amortization). The Company utilized the additional liquidity obtained with this acquisition and paid down approximately $150 million of borrowings that had an average cost of approximately 5.33% at June 30, 2024. Finally, the Bank assumed Berkshire Bank’s existing commercial lease for the real property associated with the branch with an annual lease payment of approximately $946,000, excluding property taxes and certain other associated property related obligations that the Bank also assumed, and purchased the personal property and fixtures located within the branch facility for approximately $224,000.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4" w:name="page55"/>
    <w:bookmarkEnd w:id="54"/>
    <w:p>
      <w:pPr>
        <w:jc w:val="both"/>
        <w:spacing w:after="0" w:line="249" w:lineRule="auto"/>
        <w:rPr>
          <w:sz w:val="20"/>
          <w:szCs w:val="20"/>
          <w:color w:val="auto"/>
        </w:rPr>
      </w:pPr>
      <w:r>
        <w:rPr>
          <w:rFonts w:ascii="Times New Roman" w:cs="Times New Roman" w:eastAsia="Times New Roman" w:hAnsi="Times New Roman"/>
          <w:sz w:val="20"/>
          <w:szCs w:val="20"/>
          <w:color w:val="auto"/>
        </w:rPr>
        <w:t>On September 30, 2024, the Company announced that its Board of Directors declared a cash dividend of $0.10 per share on the Company's voting common and non-voting common stock, and a cash dividend of $0.10 per notional share for the issued warrant relating to the fiscal quarter ended September 30, 2024. The dividends were payable to all shareholders of record on October 18, 2024 and were paid on November 8, 2024.</w:t>
      </w:r>
    </w:p>
    <w:p>
      <w:pPr>
        <w:spacing w:after="0" w:line="15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On October 15, 2024, Pathfinder announced that it sold its interest in the FitzGibbons Agency, which contributed $28,000 to the Company’s net income and 24 basis points to its consolidated efficiency ratio in the third quarter of 2024, to Marshall &amp; Sterling Enterprises, Inc. Reflecting an active insurance brokerage market and the FitzGibbons Agency’s success since initiating its partnership with the Bank 13 years ago, Pathfinder will receive approximately $2.0 million from the sale, which closed on October 1, 2024, and the Company expects to recognize a portion of that amount as a net gain in the fourth quarter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2024 Third Quarter Results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income decreased $6.8 million to a net loss attributable to common shareholders of $4.6 million or $0.75 per share for the third quarter of 2024, compared to net income available to common shareholders of $2.2 million or $0.35 per share for the third quarter of 2023. Third quarter 2024 results included a $9.0 million provision for credit losses due to $8.7 million of net charge offs resulting from a comprehensive loan portfolio review and $1.6 million in transaction-related expenses for the previously announced July 2024 closing of the East Syracuse branch acquisition.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for the third quarter of 2024 was $11.7 million, an increase of 16.6% from the third quarter of 2023. An increase in interest and dividend income of $3.5 million was primarily attributed to increases in interest income from loans, taxable investment securities, and federal funds sold and interest-earning deposits of $2.0 million, $1.2 million, and $426,000, respectively. The increase in loan interest income included an $887,000 catch-up interest payment associated with purchased loan pool positions. Increased interest and dividend income was partially offset by an increase in interest expense of $1.9 million. This increase in interest expense was predominantly the result of higher average interest rates and average balances associated with deposits and borrowings, compared to the third quarter of 2023.</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margin was 3.34% in the third quarter of 2024 compared to 3.07% in the third quarter of 2023. The increase of 27 basis points was driven by improvements in interest-earning asset yields, including 25 basis points attributed to the catch-up interest payment received in the third quarter of 2024, partially offset by higher funding costs.</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provision for credit losses was $9.0 million in the third quarter of 2024 compared to a provision for credit losses of $0.8 million in the third quarter of 2023. The provision for credit losses for the third quarter of 2024 was primarily driven by a comprehensive loan portfolio review that the Bank undertook in the third quarter of 2024. Net charge-offs during the recent quarter were $8.7 million, representing 1.29% of average loans on an annualized basis, compared to $3.8 million, or an annualized 0.61% of average loans, in the third quarter of 2023. See the “Provision for Credit Losses” and “Loan and Asset Quality and Allowance for Credit Losses” sections of this Management’s Discussion and Analysis for further discussion.</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Noninterest income totaled $1.7 million in the third quarter of 2024, an increase of $514,000 or 43.1% from the third quarter of 2023. The increase in noninterest income for the third quarter of 2024 included increases of $278,000 in interchange fees, $196,000 in earnings and gain on bank owned life insurance ("BOLI") including a net death benefit of $175,000 on BOLI, and $49,000 in service charges on deposit accounts.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Noninterest expense totaled $10.3 million in the third quarter of 2024, increasing $2.6 million from the third quarter of 2023. The increase was primarily due to $1.6 million in transaction-related expenses for the East Syracuse branch acquisition, in addition to third quarter 2024 operating costs of approximately $462,000 associated with operating Pathfinder Bank’s newest location.</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third quarter of 2024, annualized noninterest expense represented 2.75% of average assets, including 43 basis points from acquisition-related expenses. The efficiency ratio was 75.28%, 1,186 basis points attributed to acquisition-related expenses. The efficiency ratio, which is not a financial metric under GAAP, is a measure that the Company believes is helpful to understanding its level of non-interest expense as a percentage of total revenue. Annualized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color w:val="auto"/>
        </w:rPr>
        <w:t>noninterest expense represented 2.20% of average assets and the efficiency ratio was 67.93% in the third quarter of 2023.</w:t>
      </w:r>
    </w:p>
    <w:p>
      <w:pPr>
        <w:sectPr>
          <w:pgSz w:w="11900" w:h="16838" w:orient="portrait"/>
          <w:cols w:equalWidth="0" w:num="1">
            <w:col w:w="10139"/>
          </w:cols>
          <w:pgMar w:left="320" w:top="1210" w:right="1440" w:bottom="1440" w:gutter="0" w:footer="0" w:header="0"/>
        </w:sectPr>
      </w:pP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20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16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tables set forth information concerning average interest-earning assets and interest-bearing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3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3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Average</w:t>
            </w:r>
          </w:p>
        </w:tc>
        <w:tc>
          <w:tcPr>
            <w:tcW w:w="40" w:type="dxa"/>
            <w:vAlign w:val="bottom"/>
          </w:tcPr>
          <w:p>
            <w:pPr>
              <w:spacing w:after="0"/>
              <w:rPr>
                <w:sz w:val="18"/>
                <w:szCs w:val="18"/>
                <w:color w:val="auto"/>
              </w:rPr>
            </w:pPr>
          </w:p>
        </w:tc>
      </w:tr>
      <w:tr>
        <w:trPr>
          <w:trHeight w:val="229"/>
        </w:trPr>
        <w:tc>
          <w:tcPr>
            <w:tcW w:w="3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Average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Yield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Yield /</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Balance</w:t>
            </w:r>
          </w:p>
        </w:tc>
        <w:tc>
          <w:tcPr>
            <w:tcW w:w="300" w:type="dxa"/>
            <w:vAlign w:val="bottom"/>
          </w:tcPr>
          <w:p>
            <w:pPr>
              <w:spacing w:after="0"/>
              <w:rPr>
                <w:sz w:val="21"/>
                <w:szCs w:val="21"/>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Balance</w:t>
            </w:r>
          </w:p>
        </w:tc>
        <w:tc>
          <w:tcPr>
            <w:tcW w:w="240" w:type="dxa"/>
            <w:vAlign w:val="bottom"/>
          </w:tcPr>
          <w:p>
            <w:pPr>
              <w:spacing w:after="0"/>
              <w:rPr>
                <w:sz w:val="21"/>
                <w:szCs w:val="21"/>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Cost</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914,467</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14,425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895,900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12,470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5.57 %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415,751</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5,813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376,455</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30,382</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27,831</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42,897</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11,395</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1,403,497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21,199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1,311,581</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17,671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5.39 %</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103,856</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102,738</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(16,537 )</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(19,028 )</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losses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3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(9,161 )</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(13,275 )</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8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1,481,655</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1,382,016</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19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NOW accounts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102,868</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90,992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11,828</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14,503</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MMDA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227,247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2,009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218,601</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127,262</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121,710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514,050</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5,260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493,907</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4,385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30,025</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29,837</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122,129</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1,338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110,780</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1,135,409</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9,467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1,080,330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7,611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r>
      <w:tr>
        <w:trPr>
          <w:trHeight w:val="230"/>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Demand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195,765</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169,825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24,855</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15,768</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1,356,029</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1,265,923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125,626</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116,093</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1,481,655</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1,382,016</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11,732</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10,060</w:t>
            </w:r>
          </w:p>
        </w:tc>
        <w:tc>
          <w:tcPr>
            <w:tcW w:w="9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rate spread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2.57 %</w:t>
            </w:r>
          </w:p>
        </w:tc>
      </w:tr>
      <w:tr>
        <w:trPr>
          <w:trHeight w:val="24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3.07 %</w:t>
            </w:r>
          </w:p>
        </w:tc>
      </w:tr>
      <w:tr>
        <w:trPr>
          <w:trHeight w:val="202"/>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Ratio of average interest-earning assets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123.61 %</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121.41 %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6"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For the nine months ended September 30,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Average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5"/>
              </w:rPr>
              <w:t>Average</w:t>
            </w:r>
          </w:p>
        </w:tc>
        <w:tc>
          <w:tcPr>
            <w:tcW w:w="40" w:type="dxa"/>
            <w:vAlign w:val="bottom"/>
          </w:tcPr>
          <w:p>
            <w:pPr>
              <w:spacing w:after="0"/>
              <w:rPr>
                <w:sz w:val="18"/>
                <w:szCs w:val="18"/>
                <w:color w:val="auto"/>
              </w:rPr>
            </w:pPr>
          </w:p>
        </w:tc>
      </w:tr>
      <w:tr>
        <w:trPr>
          <w:trHeight w:val="229"/>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Average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Yield /</w:t>
            </w:r>
          </w:p>
        </w:tc>
        <w:tc>
          <w:tcPr>
            <w:tcW w:w="200" w:type="dxa"/>
            <w:vAlign w:val="bottom"/>
          </w:tcPr>
          <w:p>
            <w:pPr>
              <w:spacing w:after="0"/>
              <w:rPr>
                <w:sz w:val="19"/>
                <w:szCs w:val="19"/>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Average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Yield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1"/>
                <w:szCs w:val="21"/>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Balance</w:t>
            </w:r>
          </w:p>
        </w:tc>
        <w:tc>
          <w:tcPr>
            <w:tcW w:w="200" w:type="dxa"/>
            <w:vAlign w:val="bottom"/>
          </w:tcPr>
          <w:p>
            <w:pPr>
              <w:spacing w:after="0"/>
              <w:rPr>
                <w:sz w:val="21"/>
                <w:szCs w:val="21"/>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Interest</w:t>
            </w: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tcPr>
          <w:p>
            <w:pPr>
              <w:spacing w:after="0"/>
              <w:rPr>
                <w:sz w:val="21"/>
                <w:szCs w:val="21"/>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Balance</w:t>
            </w:r>
          </w:p>
        </w:tc>
        <w:tc>
          <w:tcPr>
            <w:tcW w:w="1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Interest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Cost</w:t>
            </w:r>
          </w:p>
        </w:tc>
      </w:tr>
      <w:tr>
        <w:trPr>
          <w:trHeight w:val="212"/>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898,361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39,182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900,917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34,919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427,311</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17,463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371,615</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12,749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29,499</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1,475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31,077</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6.18 %</w:t>
            </w:r>
          </w:p>
        </w:tc>
      </w:tr>
      <w:tr>
        <w:trPr>
          <w:trHeight w:val="23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2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20,161</w:t>
            </w:r>
          </w:p>
        </w:tc>
        <w:tc>
          <w:tcPr>
            <w:tcW w:w="2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20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11,750</w:t>
            </w:r>
          </w:p>
        </w:tc>
        <w:tc>
          <w:tcPr>
            <w:tcW w:w="16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1,375,332</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58,831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1,315,359</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49,335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99,200</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99,431</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(16,511 )</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(18,043 )</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unrealized losses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9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(10,184 )</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(12,919 )</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1,447,837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1,383,828</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100,922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806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94,116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11,782</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14,651</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0.11 %</w:t>
            </w: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MMDA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217,580</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5,944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241,550</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115,875</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127,490</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0.21 %</w:t>
            </w: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521,832</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15,685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472,614</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10,820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3.05 %</w:t>
            </w: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29,978</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1,476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29,793</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6.48 %</w:t>
            </w:r>
          </w:p>
        </w:tc>
      </w:tr>
      <w:tr>
        <w:trPr>
          <w:trHeight w:val="239"/>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129,943</w:t>
            </w:r>
          </w:p>
        </w:tc>
        <w:tc>
          <w:tcPr>
            <w:tcW w:w="2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4,073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20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99,029</w:t>
            </w:r>
          </w:p>
        </w:tc>
        <w:tc>
          <w:tcPr>
            <w:tcW w:w="16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1,127,912</w:t>
            </w:r>
          </w:p>
        </w:tc>
        <w:tc>
          <w:tcPr>
            <w:tcW w:w="20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28,219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1,079,243</w:t>
            </w:r>
          </w:p>
        </w:tc>
        <w:tc>
          <w:tcPr>
            <w:tcW w:w="1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19,575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2.42 %</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Demand deposits</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177,202</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174,143</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19,382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16,100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1,324,496</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1,269,486</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123,341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114,342</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9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1,447,837</w:t>
            </w: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1,383,828</w:t>
            </w: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197"/>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30,612</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29,760</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rate spread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02"/>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Ratio of average interest-earning assets</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121.94 %</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121.88 %</w:t>
            </w:r>
          </w:p>
        </w:tc>
      </w:tr>
      <w:tr>
        <w:trPr>
          <w:trHeight w:val="23"/>
        </w:trPr>
        <w:tc>
          <w:tcPr>
            <w:tcW w:w="3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-4619625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-4328160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82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Third quarter 2024 net interest income was $11.7 million, an increase of 16.6% from the third quarter of 2023. An increase in interest and dividend income of $3.5 million was primarily attributed to average yield increases of 74 basis points on loans including 39 basis points from an $887,000 catch-up interest payment associated with purchased loan pool positions, 67 basis points on taxable investment securities, 227 basis points on fed funds sold and interest-earning deposits, and 65 basis points on all earning assets. The corresponding increase in interest income from loans, taxable investment securities, and federal funds sold and interest-earning deposits was $2.0 million, $1.2 million, and $426,000, respectively. Increased interest and dividend income was partially offset by an increase in interest expense of $1.9 million. This increase in interest expense was predominantly the result of higher interest average interest rates and average balances associated with deposits and borrowings, compared to the third quarter of 2023.</w:t>
      </w:r>
    </w:p>
    <w:p>
      <w:pPr>
        <w:spacing w:after="0" w:line="20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Net interest margin was 3.34% in the third quarter of 2024 compared to 3.07% in the third quarter of 2023. The increase of 27 basis points was driven by improvements in earning asset yields and lower average borrowings, partially offset by higher funding costs, as well as 25 basis points attributed to the catch-up interest payment received in the third quarter of 2024.</w:t>
      </w:r>
    </w:p>
    <w:p>
      <w:pPr>
        <w:spacing w:after="0" w:line="188"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increased $852,000, or 2.9%, to $30.6 million for the nine months ended September 30, 2024, as compared to the same nine month period in 2023. This increase was due to a $9.5 million increase in total interest and dividend income, primarily attributed to average yield increases of 65 basis points on loans, 88 basis points on taxable investment securities, 49 basis points on tax-exempt investment securities, 214 basis points on fed funds sold and interest-earning deposits, and 70 basis points on all interest-earning assets as a result of the higher interest rate environment. The corresponding increase in interest income from taxable investment securities, loans, federal funds sold and interest-earning deposits, and tax-exempt investment securities was $4.7</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38" w:right="29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20"/>
          <w:szCs w:val="20"/>
          <w:color w:val="auto"/>
        </w:rPr>
        <w:t>million, $4.3 million, $485,000, and $34,000, respectively. Increased interest and dividend income was partially offset by an increase in interest expense of $8.6 million. This increase in interest expense was predominantly the result of higher average interest rates and average balances associated with deposits and borrowings, compared to the same period in 2023.</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margin was 2.97% for the nine months ended September 30, 2024 compared to 3.02% for the nine months ended September 30, 2023. The decrease of 5 basis points was driven primarily by a greater increase in funding costs for the nine months ended September 30, 2024 as compared to the same nine month period in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43"/>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0"/>
        </w:trPr>
        <w:tc>
          <w:tcPr>
            <w:tcW w:w="4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Increase/(Decrease) Due to</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Increase/(Decrease) Due to</w:t>
            </w:r>
          </w:p>
        </w:tc>
      </w:t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1"/>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4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4,263</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512</w:t>
            </w: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2,071</w:t>
            </w: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2,643</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4,714</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5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4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4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Interest-earning deposits</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314</w:t>
            </w:r>
          </w:p>
        </w:tc>
        <w:tc>
          <w:tcPr>
            <w:tcW w:w="5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r>
      <w:tr>
        <w:trPr>
          <w:trHeight w:val="236"/>
        </w:trPr>
        <w:tc>
          <w:tcPr>
            <w:tcW w:w="4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1,307</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3,528</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7,470</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9,496</w:t>
            </w:r>
          </w:p>
        </w:tc>
      </w:tr>
      <w:tr>
        <w:trPr>
          <w:trHeight w:val="241"/>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MMDA accounts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4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2,139</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3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4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3,650</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4,865</w:t>
            </w:r>
          </w:p>
        </w:tc>
      </w:tr>
      <w:tr>
        <w:trPr>
          <w:trHeight w:val="247"/>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4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r>
      <w:tr>
        <w:trPr>
          <w:trHeight w:val="236"/>
        </w:trPr>
        <w:tc>
          <w:tcPr>
            <w:tcW w:w="42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374</w:t>
            </w:r>
          </w:p>
        </w:tc>
        <w:tc>
          <w:tcPr>
            <w:tcW w:w="5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1,304</w:t>
            </w:r>
          </w:p>
        </w:tc>
        <w:tc>
          <w:tcPr>
            <w:tcW w:w="4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7,340</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r>
      <w:tr>
        <w:trPr>
          <w:trHeight w:val="23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933</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1,672</w:t>
            </w:r>
          </w:p>
        </w:tc>
        <w:tc>
          <w:tcPr>
            <w:tcW w:w="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7"/>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deposit base is drawn from eleven full-service branches and one motor bank in its market area. The deposit base consists of demand deposits, money management and money market deposit accounts, savings, and time deposits. Total deposits increased by $76.1 million, or 6.8% from December 31, 2023. The increase in deposits during the nine months ended September 30, 2024 was primarily due to $186.0 million in deposits assumed with the East Syracuse branch acquisition, offset by a reduction of $106.0 million in brokered deposits utilizing lower-cost liquidity provided by the transaction, as well as seasonal fluctuations in municipal deposits. At September 30, 2024, 77.45% of the Company's deposit base of $1.20 billion consisted of core deposits. Core deposits, which exclude certificates of deposit of $250,000 or more, are considered to be more stable and generally provide the Company with a lower cost of funds than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deposits by category at September 30, 2024 and December 31, 2023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 2024</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129,053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113,543</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6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352,729</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377,570</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accounts in excess of $250,000</w:t>
            </w:r>
          </w:p>
        </w:tc>
        <w:tc>
          <w:tcPr>
            <w:tcW w:w="26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140,181</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95,272</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6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11,520</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12,364</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MMDA accounts</w:t>
            </w:r>
          </w:p>
        </w:tc>
        <w:tc>
          <w:tcPr>
            <w:tcW w:w="26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250,007</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224,707</w:t>
            </w: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 interest-bearing</w:t>
            </w:r>
          </w:p>
        </w:tc>
        <w:tc>
          <w:tcPr>
            <w:tcW w:w="26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97,344</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119,321</w:t>
            </w: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 noninterest-bearing</w:t>
            </w:r>
          </w:p>
        </w:tc>
        <w:tc>
          <w:tcPr>
            <w:tcW w:w="26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210,110</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170,169</w:t>
            </w:r>
          </w:p>
        </w:tc>
      </w:tr>
      <w:tr>
        <w:trPr>
          <w:trHeight w:val="23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Mortgage escrow funds</w:t>
            </w:r>
          </w:p>
        </w:tc>
        <w:tc>
          <w:tcPr>
            <w:tcW w:w="2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5,269</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7,121</w:t>
            </w:r>
          </w:p>
        </w:tc>
      </w:tr>
      <w:tr>
        <w:trPr>
          <w:trHeight w:val="276"/>
        </w:trPr>
        <w:tc>
          <w:tcPr>
            <w:tcW w:w="5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Deposits</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1,196,213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1,120,067</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nonbrokered and brokered deposit activities at the dates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September 30, 2024</w:t>
            </w:r>
          </w:p>
        </w:tc>
        <w:tc>
          <w:tcPr>
            <w:tcW w:w="4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December 31, 2023</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Brokered</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129,053</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129,053</w:t>
            </w:r>
          </w:p>
        </w:tc>
        <w:tc>
          <w:tcPr>
            <w:tcW w:w="4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113,543</w:t>
            </w:r>
          </w:p>
        </w:tc>
        <w:tc>
          <w:tcPr>
            <w:tcW w:w="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113,543</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accounts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225,130</w:t>
            </w:r>
          </w:p>
        </w:tc>
        <w:tc>
          <w:tcPr>
            <w:tcW w:w="5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127,599</w:t>
            </w: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352,729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174,864</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202,706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377,570</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accounts of $250,000 or more</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140,181</w:t>
            </w: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140,181</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95,272</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95,272</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11,520</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11,520</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12,364</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MMDA accounts</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250,007</w:t>
            </w: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250,007</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224,707</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224,707</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95,344</w:t>
            </w:r>
          </w:p>
        </w:tc>
        <w:tc>
          <w:tcPr>
            <w:tcW w:w="5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w:t>
            </w: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97,344</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5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40,000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119,321</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210,110</w:t>
            </w: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210,110</w:t>
            </w: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170,169</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Mortgage escrow funds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5,269</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7,121</w:t>
            </w:r>
          </w:p>
        </w:tc>
      </w:tr>
      <w:tr>
        <w:trPr>
          <w:trHeight w:val="263"/>
        </w:trPr>
        <w:tc>
          <w:tcPr>
            <w:tcW w:w="2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1,066,614</w:t>
            </w:r>
          </w:p>
        </w:tc>
        <w:tc>
          <w:tcPr>
            <w:tcW w:w="5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129,599</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1,196,213</w:t>
            </w:r>
          </w:p>
        </w:tc>
        <w:tc>
          <w:tcPr>
            <w:tcW w:w="4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877,361</w:t>
            </w:r>
          </w:p>
        </w:tc>
        <w:tc>
          <w:tcPr>
            <w:tcW w:w="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242,706</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represents management’s estimate of the amount necessary to maintain the allowance for credit losses at an adequate level.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recorded $9.0 million in provision for credit losses for the three month period ended September 30, 2024, as compared to $833,000 for the three month period ended September 30, 2023. The provisioning in the third quarter of 2024 and 2023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This represents an $8.1 million increase in provision for credit losses in the third quarter of 2024, as compared to the same period in 2023. This increase can be primarily attributed to a comprehensive loan portfolio review that the Bank elected to undertake as part of its commitment to continuously improve its credit risk management approach. Following its conclusion, the Company recorded net charge offs of $8.7 million in the quarter and reduced nonperforming loans by 34.0% to $16.2 million at period end, or 1.8% of total loans. The allowance for credit losses on September 30, 2024 represented 1.87% and 106.8% of total and nonperforming loans, respectively.</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third quarter 2024 provision for credit losses included an increase in certain qualitative and other factors that resulted in a net increase in the provision for loans of $369,000, offset by a decrease in specific reserves of approximately $13,000.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was an increase in the provision for credit losses in the first nine months of 2024 to $10.0 million, an increase of $7.3 million from $2.7 million for the same nine months in 2023. This increase can also be primarily attributed to the aforementioned net charge offs of $8.7 million during the third quarter that the Bank undertook after a comprehensive loan portfolio review.</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(defined as loans equal to or greater than 30 days past due) as a percentage of total loans. The ratio of delinquent loans to total loans was 4.1% and 3.8% at September 30, 2024 and December 31, 2023, respectively. Delinquent loans (numerator) increased $3.9 million from December 31, 2023 to September 30, 2024. Total loan balances (denominator) increased $25.5 million from December 31, 2023 to September 30, 2024. The increase from December 31, 2023 to September 30, 2024 was driven by an increase of $1.3 million and $3.7 million in loans delinquent 30-59 days and 60-89 days, respectively, slightly offset by a decrease in loans delinquent 90 days and over of $1.1 million.</w:t>
      </w:r>
    </w:p>
    <w:p>
      <w:pPr>
        <w:spacing w:after="0" w:line="19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Bank continues to diligently monitor credit portfolios, particularly those considered sensitive to prevailing economic stressors, and apply conservative loan classification and reserve building methodologies.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9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8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color w:val="auto"/>
              </w:rPr>
              <w:t>For the nine months ended</w:t>
            </w: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Septemb</w:t>
            </w: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Septemb</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Septemb</w:t>
            </w: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Septemb</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er 30,</w:t>
            </w:r>
          </w:p>
        </w:tc>
        <w:tc>
          <w:tcPr>
            <w:tcW w:w="30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er 30,</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er 30,</w:t>
            </w:r>
          </w:p>
        </w:tc>
        <w:tc>
          <w:tcPr>
            <w:tcW w:w="22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er 30,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165</w:t>
            </w:r>
          </w:p>
        </w:tc>
        <w:tc>
          <w:tcPr>
            <w:tcW w:w="26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196</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118.8 %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466</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219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servicing fees</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(20 )</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-20.2 %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278</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1263.6 %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610</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455</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agency revenue</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310</w:t>
            </w:r>
          </w:p>
        </w:tc>
        <w:tc>
          <w:tcPr>
            <w:tcW w:w="26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57</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18.4 %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1,024</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1,001</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charges, commissions and fees</w:t>
            </w:r>
          </w:p>
        </w:tc>
        <w:tc>
          <w:tcPr>
            <w:tcW w:w="16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958</w:t>
            </w:r>
          </w:p>
        </w:tc>
        <w:tc>
          <w:tcPr>
            <w:tcW w:w="22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764</w:t>
            </w:r>
          </w:p>
        </w:tc>
        <w:tc>
          <w:tcPr>
            <w:tcW w:w="24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194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3"/>
        </w:trPr>
        <w:tc>
          <w:tcPr>
            <w:tcW w:w="4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 before gains</w:t>
            </w:r>
          </w:p>
        </w:tc>
        <w:tc>
          <w:tcPr>
            <w:tcW w:w="1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1,779</w:t>
            </w:r>
          </w:p>
        </w:tc>
        <w:tc>
          <w:tcPr>
            <w:tcW w:w="30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1,204</w:t>
            </w:r>
          </w:p>
        </w:tc>
        <w:tc>
          <w:tcPr>
            <w:tcW w:w="26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575</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47.8 %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4,587</w:t>
            </w:r>
          </w:p>
        </w:tc>
        <w:tc>
          <w:tcPr>
            <w:tcW w:w="22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3,837</w:t>
            </w:r>
          </w:p>
        </w:tc>
        <w:tc>
          <w:tcPr>
            <w:tcW w:w="24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gains on sales and redemptions of investment securities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3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(13 )</w:t>
            </w:r>
          </w:p>
        </w:tc>
        <w:tc>
          <w:tcPr>
            <w:tcW w:w="26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(175 )</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1346.2 %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(380 )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-633.3 %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sales of loans and foreclosed real estate</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49</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119.5 %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premises and equipment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(36 )</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100.0 %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(36 )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Non-recurring gain on lease renegotiations</w:t>
            </w:r>
          </w:p>
        </w:tc>
        <w:tc>
          <w:tcPr>
            <w:tcW w:w="1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(losses) on marketable equity securities</w:t>
            </w:r>
          </w:p>
        </w:tc>
        <w:tc>
          <w:tcPr>
            <w:tcW w:w="16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(39 )</w:t>
            </w:r>
          </w:p>
        </w:tc>
        <w:tc>
          <w:tcPr>
            <w:tcW w:w="260" w:type="dxa"/>
            <w:vAlign w:val="bottom"/>
          </w:tcPr>
          <w:p>
            <w:pPr>
              <w:spacing w:after="0"/>
              <w:rPr>
                <w:sz w:val="20"/>
                <w:szCs w:val="20"/>
                <w:color w:val="auto"/>
              </w:rPr>
            </w:pP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-259.0 %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24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239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-114.9 %</w:t>
            </w:r>
          </w:p>
        </w:tc>
        <w:tc>
          <w:tcPr>
            <w:tcW w:w="0" w:type="dxa"/>
            <w:vAlign w:val="bottom"/>
          </w:tcPr>
          <w:p>
            <w:pPr>
              <w:spacing w:after="0"/>
              <w:rPr>
                <w:sz w:val="1"/>
                <w:szCs w:val="1"/>
                <w:color w:val="auto"/>
              </w:rPr>
            </w:pPr>
          </w:p>
        </w:tc>
      </w:tr>
      <w:tr>
        <w:trPr>
          <w:trHeight w:val="23"/>
        </w:trPr>
        <w:tc>
          <w:tcPr>
            <w:tcW w:w="4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514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43.1 % $</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4,655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3,872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0" w:type="dxa"/>
            <w:vAlign w:val="bottom"/>
          </w:tcPr>
          <w:p>
            <w:pPr>
              <w:spacing w:after="0"/>
              <w:rPr>
                <w:sz w:val="1"/>
                <w:szCs w:val="1"/>
                <w:color w:val="auto"/>
              </w:rPr>
            </w:pP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0"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Noninterest income totaled $1.7 million in the third quarter of 2024, an increase of $514,000 or 43.1% from the third quarter of 2023. The increase in noninterest income for the third quarter of 2024 included increases of $278,000 in interchange volume and rate improvement, $196,000 in earnings and gain on BOLI including a net death benefit of $175,000 on BOLI, and $49,000 in service charges on deposit accounts. Noninterest income growth from the year-ago quarter also reflected increases of $101,000 in net realized gains on sales of marketable equity securities and $49,000 in gains on sales of loans and foreclosed real estate, partially offset by a $175,000 increase in net realized losses on sales and redemptions of investment securities.</w:t>
      </w:r>
    </w:p>
    <w:p>
      <w:pPr>
        <w:spacing w:after="0" w:line="15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Noninterest income totaled $4.7 million in the first nine months of 2024, an increase of $783,000 or 20.2% from the first nine months of 2023. The increase in noninterest income for the first nine months of 2024 included a non-recurring gain of $245,000 related to refunds received from cumulative lessor related pass-through operating expense charges for a single leased branch location. Noninterest income growth during the first nine months of 2024 compared to the same prior year period also reflected a $239,000 gain on marketable equity securities, $219,000 in earnings and gain on BOLI, a $155,000 increase in interchange fees, a $118,000 increase in service charges on deposit accounts, a $41,000 increase in loan servicing fees, and a $23,000 increase in insurance agency revenue, partially offset by a $380,000 increase in net realized losses on sales and redemptions of investment securities. Total noninterest income had an aggregate gain of $123,000 in all other categories.</w:t>
      </w:r>
    </w:p>
    <w:p>
      <w:pPr>
        <w:spacing w:after="0" w:line="203"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0"/>
          <w:szCs w:val="20"/>
          <w:color w:val="auto"/>
        </w:rPr>
        <w:t>Third quarter 2024 results reflect the Bank’s strategy to proactively seek out and capitalize on new opportunities to diversify and enhance recurring noninterest income’s contribution to total revenue. As the Bank moves forward with its growth strategy, noninterest income is anticipated to play an increasingly vital role in maintaining a well-balanced and resilient financial profile.</w:t>
      </w: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6"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6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5"/>
        </w:trPr>
        <w:tc>
          <w:tcPr>
            <w:tcW w:w="3060" w:type="dxa"/>
            <w:vAlign w:val="bottom"/>
          </w:tcPr>
          <w:p>
            <w:pPr>
              <w:spacing w:after="0"/>
              <w:rPr>
                <w:sz w:val="17"/>
                <w:szCs w:val="17"/>
                <w:color w:val="auto"/>
              </w:rPr>
            </w:pPr>
          </w:p>
        </w:tc>
        <w:tc>
          <w:tcPr>
            <w:tcW w:w="9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September</w:t>
            </w:r>
          </w:p>
        </w:tc>
        <w:tc>
          <w:tcPr>
            <w:tcW w:w="106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8"/>
                <w:szCs w:val="18"/>
                <w:color w:val="auto"/>
              </w:rPr>
              <w:t>September</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gridSpan w:val="2"/>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Septembe</w:t>
            </w:r>
          </w:p>
        </w:tc>
        <w:tc>
          <w:tcPr>
            <w:tcW w:w="1000" w:type="dxa"/>
            <w:vAlign w:val="bottom"/>
            <w:gridSpan w:val="2"/>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Septembe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30, 2024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30, 2023</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 30, 2024</w:t>
            </w: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r 30, 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Change</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4,154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occupancy</w:t>
            </w: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868</w:t>
            </w:r>
          </w:p>
        </w:tc>
        <w:tc>
          <w:tcPr>
            <w:tcW w:w="3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266</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2,864</w:t>
            </w:r>
          </w:p>
        </w:tc>
        <w:tc>
          <w:tcPr>
            <w:tcW w:w="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c>
          <w:tcPr>
            <w:tcW w:w="34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189</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1,519</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other services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492</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1,328</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269.9 %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3,078</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1,531</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1,547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3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(130 )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assessments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Audits and exams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(36 )</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3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agency expense</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service activities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(35 )</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(40 )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 expenses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5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759</w:t>
            </w:r>
          </w:p>
        </w:tc>
        <w:tc>
          <w:tcPr>
            <w:tcW w:w="360" w:type="dxa"/>
            <w:vAlign w:val="bottom"/>
          </w:tcPr>
          <w:p>
            <w:pPr>
              <w:spacing w:after="0"/>
              <w:rPr>
                <w:sz w:val="21"/>
                <w:szCs w:val="21"/>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340" w:type="dxa"/>
            <w:vAlign w:val="bottom"/>
          </w:tcPr>
          <w:p>
            <w:pPr>
              <w:spacing w:after="0"/>
              <w:rPr>
                <w:sz w:val="21"/>
                <w:szCs w:val="21"/>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0"/>
        </w:trPr>
        <w:tc>
          <w:tcPr>
            <w:tcW w:w="3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10,259</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7,653</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2,606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 $</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25,873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22,351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Noninterest expense totaled $10.3 million in the third quarter of 2024, increasing $2.6 million from the year-ago quarter. The increase was primarily due to $1.6 million in transaction-related expenses for the East Syracuse branch acquisition, in addition to third quarter 2024 operating costs of approximately $462,000 associated with operating Pathfinder Bank’s newest location.</w:t>
      </w:r>
    </w:p>
    <w:p>
      <w:pPr>
        <w:spacing w:after="0" w:line="161"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Professional and other services expense was $1.8 million in the third quarter, increasing $1.3 million from the year-ago quarter. The increase was primarily attributed to branch acquisition-related expenses.</w:t>
      </w:r>
    </w:p>
    <w:p>
      <w:pPr>
        <w:spacing w:after="0" w:line="146"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Salaries and benefits were $5.0 million in the third quarter of 2024, increasing $805,000 from the year-ago quarter. The increase was primarily due to $141,000 transaction-related bonuses to employees, $115,000 reduced salary cost deferrals (“ASC 310-20”) associated with reduced lending volumes, and $80,000 of ongoing personnel-related costs associated with operating the branch acquired early in the third quarter of 2024. The remaining increase was primarily driven by higher salaries and benefits costs associated with merit increases and wage inflation.</w:t>
      </w:r>
    </w:p>
    <w:p>
      <w:pPr>
        <w:spacing w:after="0" w:line="158"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Building and occupancy was $1.1 million in the third quarter of 2024, increasing $266,000 from the year-ago quarter. These increases were mostly due to ongoing facilities-related costs of approximately $322,000 associated with operating the branch acquired early in the third quarter of 2024.</w:t>
      </w:r>
    </w:p>
    <w:p>
      <w:pPr>
        <w:spacing w:after="0" w:line="161"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Noninterest expense in the nine months ended September 30, 2024 was $25.9 million, an increase of $3.5 million, or 15.8%, when compared to the nine months ended September 30, 2023. The increase was primarily due to $1.6 million in transaction-related expenses for the East Syracuse branch acquisition, in addition to third quarter 2024 operating costs of approximately $462,000 associated with operating Pathfinder Bank’s newest location.</w:t>
      </w:r>
    </w:p>
    <w:p>
      <w:pPr>
        <w:spacing w:after="0" w:line="166"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Professional and other services expense was $3.1 million during the first nine months of 2024, increasing $1.5 million from the year-ago period. Salaries and benefits were $13.7 million in the nine months ended September 30, 2024, increasing $1.4 million, or 11.8%, when compared to the nine months ended September 30, 2023. Building and occupancy was $2.9 million during the first nine months of 2024, increasing $165,000 from the year-ago period. These increases were all primarily attributed to the aforementioned branch acquisition-related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 (Benefit)</w:t>
      </w:r>
    </w:p>
    <w:p>
      <w:pPr>
        <w:spacing w:after="0" w:line="23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Income tax expense decreased $1.7 million to a $1.2 million benefit, with an effective tax rate of 20.3%, for the quarter ended September 30, 2024, as compared to $573,000 in expense with an effective tax rate of 20.7% for the same three month period in 2023. The decrease in income tax expense for the quarter ended September 30, 2024, as compared to the same quarter in 2023, was primarily driven by the current quarter net loss. The effective income tax rate decreased 0.4% to 20.3% for the three months ended September 30, 2024 as compared to 20.7% for the same three month period</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0" w:right="279" w:bottom="1440" w:gutter="0" w:footer="0" w:header="0"/>
        </w:sectPr>
      </w:pPr>
    </w:p>
    <w:bookmarkStart w:id="63" w:name="page64"/>
    <w:bookmarkEnd w:id="63"/>
    <w:p>
      <w:pPr>
        <w:jc w:val="both"/>
        <w:spacing w:after="0" w:line="269" w:lineRule="auto"/>
        <w:rPr>
          <w:sz w:val="20"/>
          <w:szCs w:val="20"/>
          <w:color w:val="auto"/>
        </w:rPr>
      </w:pPr>
      <w:r>
        <w:rPr>
          <w:rFonts w:ascii="Times New Roman" w:cs="Times New Roman" w:eastAsia="Times New Roman" w:hAnsi="Times New Roman"/>
          <w:sz w:val="20"/>
          <w:szCs w:val="20"/>
          <w:color w:val="auto"/>
        </w:rPr>
        <w:t>in 2023. The decrease in the tax rate in the third quarter of 2024, as compared to the same quarter in 2023, was primarily related to fluctuations in permanent tax differences.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Income tax expense decreased $1.9 million to a $160,000 benefit, with an effective tax rate of 27.1%, for the nine months ended September 30, 2024, as compared to $1.8 million in expense with an effective tax rate of 20.6%, for the same nine month period in 2023. The decrease in income tax expense for the nine months ended September 30, 2024, as compared to the same nine month period in 2023, was primarily driven by the year-over-year decrease in income before taxes coupled with increases in permanent tax differences. The effective income tax rate increased 6.5% to 27.1% for the nine months ended September 30, 2024 as compared to 20.6% for the same nine month period in 2023. The increase in the tax rate in the nine months ended September 30, 2024, as compared to the same period in 2023, was primarily related to fluctuations in permanent tax differences.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historic and low income housing tax credits. In addition, the tax effects of certain incentive stock option activity may reduce the Company’s effective tax rate on a sporadic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$(0.75) per share for the third quarter of 2024, as compared to $0.35 for the same prior year period. The decrease in earnings per share between these two periods was due to the decrease in net income.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$(0.09) for the nine month period ended September 30, 2024, as compared to $1.10 for the same prior year period. The decrease in earnings per share between these two periods was due to the decrease in net income. Further information on earnings per share can be found in Note 3 of the unaudited consolidated financial statements of this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assets increased $17.3 million, or 1.18%, to $1.48 billion at September 30, 2024 as compared to December 31, 2023. This increase was due primarily to increases in total loans, finance lease right-of-use assets, and intangible assets, net. These increases were partially offset by decreases in total cash and cash equivalents and investment securities.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totaled $921.7 million at September 30, 2024, an increase of $24.5 million, or 2.73%, compared to $897.2 million at December 31, 2023. This increase was driven by $29.9 million in loans acquired from Berkshire Bank and represented increases of $14.8 million in total consumer loans, $10.3 million in total commercial loans, and $353,000 in total residential mortgage loans.</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Finance lease right-of-use assets totaled $16.9 million at September 30, 2024, an increase of $12.8 million, which can be attributed to the acquisition of the East Syracuse branch on July 19, 2024. Intangible assets, net, totaled $6.2 million, an increase of $6.1 million, primarily due to the core deposit intangible created through our branch acquisition, also as a result of the purchase of the East Syracuse branch during the third quarter of 2024.</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cash and cash equivalents totaled $35.3 million at September 30, 2024, a decrease of $13.4 million, or 27.5%, compared to $48.7 million at December 31, 2023. This decline was due to a decrease of $20.0 million in interest-earning deposits, partially offset by an increase in cash and due from banks of $6.6 million.</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Investment securities, including investment in FHLBNY stock, decreased by $7.3 million, or 1.63%, to $442.6 million at September 30, 2024. This decrease was due to decreases in HTM securities and FHLBNY stock of $17.9 million and $3.3 million, respectively. The total decrease in investment securities was partially offset by increases in AFS securities and marketable equity securities of $13.3 million and $666,000, respectively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liabilities increased $16.5 million, or 1.23%, to $1.36 billion at September 30, 2024 as compared to $1.35 billion at December 31, 2023. The overall increase was due primarily to increases in total deposits and finance lease liabilities, partially offset by a decrease in total short and long-term borrowings.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Total deposits increased $76.1 million, or 6.80%, from $1.12 billion at December 31, 2023 to $1.20 billion at September 30, 2024. This increase was due to a $39.9 million increase in noninterest-bearing deposits, as well as a $36.2 million increase in interest-bearing deposits. Finance lease liabilities totaled $16.8 million at September 30, 2024, an increase of $12.5 million from December 31, 2023. Increases in total deposits of $186.0 million and finance lease liabilities of $13.0 million can both be attributed to the acquisition of the East Syracuse branch during the third quarter of 2024.</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Short-term borrowed funds from FHLBNY decreased $65.4 million, or 52.0%, to $60.3 million at September 30, 2024, while long-term borrowed funds from FHLBNY decreased $10.2 million, or 20.3%, to $39.8 million at September 30, 2024. Both decreases in short-term and long-term borrowed funds are due to the Company utilizing a portion of the low-cost liquidity provided by the acquisition of the East Syracuse branch to pay down these borrowings during the third quarter of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Shareholders' equity increased by $751,000, or 0.6%, from $119.5 million at December 31, 2023, to $120.2 million at September 30, 2024. This increase was primarily due to a $2.9 million decrease in accumulated other comprehensive loss, as well as increases of $135,000 and $117,000 in unearned ESOP shares and additional paid-in-capital, respectively, reduced by a decrease of $2.4 million in retained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September 30, 2024,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September 30, 2024, the Bank exceeded all regulatory required minimum capital ratios, including the capital buffer requirements.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Pathfinder Bank’s capital amounts and ratios as of the indicated dates are presented in the following table:</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Minimum For</w:t>
            </w:r>
          </w:p>
        </w:tc>
        <w:tc>
          <w:tcPr>
            <w:tcW w:w="100" w:type="dxa"/>
            <w:vAlign w:val="bottom"/>
          </w:tcPr>
          <w:p>
            <w:pPr>
              <w:spacing w:after="0"/>
              <w:rPr>
                <w:sz w:val="13"/>
                <w:szCs w:val="13"/>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9"/>
              </w:rPr>
              <w:t>Minimum To Be</w:t>
            </w:r>
          </w:p>
        </w:tc>
        <w:tc>
          <w:tcPr>
            <w:tcW w:w="100" w:type="dxa"/>
            <w:vAlign w:val="bottom"/>
          </w:tcPr>
          <w:p>
            <w:pPr>
              <w:spacing w:after="0"/>
              <w:rPr>
                <w:sz w:val="13"/>
                <w:szCs w:val="13"/>
                <w:color w:val="auto"/>
              </w:rPr>
            </w:pPr>
          </w:p>
        </w:tc>
        <w:tc>
          <w:tcPr>
            <w:tcW w:w="14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Minimum For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"Well-Capitalized"</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Actual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Under Prompt</w:t>
            </w:r>
          </w:p>
        </w:tc>
        <w:tc>
          <w:tcPr>
            <w:tcW w:w="1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0" w:type="dxa"/>
            <w:vAlign w:val="bottom"/>
          </w:tcPr>
          <w:p>
            <w:pPr>
              <w:spacing w:after="0"/>
              <w:rPr>
                <w:sz w:val="1"/>
                <w:szCs w:val="1"/>
                <w:color w:val="auto"/>
              </w:rPr>
            </w:pPr>
          </w:p>
        </w:tc>
      </w:tr>
      <w:tr>
        <w:trPr>
          <w:trHeight w:val="185"/>
        </w:trPr>
        <w:tc>
          <w:tcPr>
            <w:tcW w:w="4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Purposes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Corrective Provisions</w:t>
            </w:r>
          </w:p>
        </w:tc>
        <w:tc>
          <w:tcPr>
            <w:tcW w:w="100" w:type="dxa"/>
            <w:vAlign w:val="bottom"/>
          </w:tcPr>
          <w:p>
            <w:pPr>
              <w:spacing w:after="0"/>
              <w:rPr>
                <w:sz w:val="16"/>
                <w:szCs w:val="16"/>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with Buffer</w:t>
            </w:r>
          </w:p>
        </w:tc>
        <w:tc>
          <w:tcPr>
            <w:tcW w:w="0" w:type="dxa"/>
            <w:vAlign w:val="bottom"/>
          </w:tcPr>
          <w:p>
            <w:pPr>
              <w:spacing w:after="0"/>
              <w:rPr>
                <w:sz w:val="1"/>
                <w:szCs w:val="1"/>
                <w:color w:val="auto"/>
              </w:rPr>
            </w:pPr>
          </w:p>
        </w:tc>
      </w:tr>
      <w:tr>
        <w:trPr>
          <w:trHeight w:val="169"/>
        </w:trPr>
        <w:tc>
          <w:tcPr>
            <w:tcW w:w="4080" w:type="dxa"/>
            <w:vAlign w:val="bottom"/>
            <w:tcBorders>
              <w:bottom w:val="single" w:sz="8" w:color="auto"/>
            </w:tcBorders>
            <w:gridSpan w:val="3"/>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Amount</w:t>
            </w:r>
          </w:p>
        </w:tc>
        <w:tc>
          <w:tcPr>
            <w:tcW w:w="7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Ratio</w:t>
            </w:r>
          </w:p>
        </w:tc>
        <w:tc>
          <w:tcPr>
            <w:tcW w:w="14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As of September 30, 2024:</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CFF0FC"/>
            </w:tcBorders>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147,211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81,110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101,388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106,457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Borders>
              <w:left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134,471</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60,833</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81,110</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86,179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134,471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45,624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65,902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70,971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CFF0FC"/>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134,471</w:t>
            </w:r>
          </w:p>
        </w:tc>
        <w:tc>
          <w:tcPr>
            <w:tcW w:w="8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9.13 %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58,907</w:t>
            </w:r>
          </w:p>
        </w:tc>
        <w:tc>
          <w:tcPr>
            <w:tcW w:w="7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73,634</w:t>
            </w: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73,634</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As of December 31, 2023</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tcBorders>
              <w:left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155,922</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82,860</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103,575</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108,753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62,145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82,860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88,038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Equity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46,609</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67,324</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72,502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10.11 %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56,548</w:t>
            </w: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0"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September 30,</w:t>
            </w:r>
          </w:p>
        </w:tc>
        <w:tc>
          <w:tcPr>
            <w:tcW w:w="4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260" w:type="dxa"/>
            <w:vAlign w:val="bottom"/>
          </w:tcPr>
          <w:p>
            <w:pPr>
              <w:spacing w:after="0"/>
              <w:rPr>
                <w:sz w:val="18"/>
                <w:szCs w:val="18"/>
                <w:color w:val="auto"/>
              </w:rPr>
            </w:pPr>
          </w:p>
        </w:tc>
      </w:tr>
      <w:tr>
        <w:trPr>
          <w:trHeight w:val="243"/>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21"/>
                <w:szCs w:val="21"/>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Ratios (Bank only)</w:t>
            </w:r>
          </w:p>
        </w:tc>
        <w:tc>
          <w:tcPr>
            <w:tcW w:w="2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 (to risk-weighted assets)</w:t>
            </w:r>
          </w:p>
        </w:tc>
        <w:tc>
          <w:tcPr>
            <w:tcW w:w="2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equity (GAAP)</w:t>
            </w:r>
          </w:p>
        </w:tc>
        <w:tc>
          <w:tcPr>
            <w:tcW w:w="2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139,724</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137,943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(6,217 )</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Addback: Accumulated other comprehensive loss</w:t>
            </w:r>
          </w:p>
        </w:tc>
        <w:tc>
          <w:tcPr>
            <w:tcW w:w="2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6,716</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9,605</w:t>
            </w:r>
          </w:p>
        </w:tc>
        <w:tc>
          <w:tcPr>
            <w:tcW w:w="260" w:type="dxa"/>
            <w:vAlign w:val="bottom"/>
            <w:tcBorders>
              <w:bottom w:val="single" w:sz="8" w:color="auto"/>
            </w:tcBorders>
          </w:tcPr>
          <w:p>
            <w:pPr>
              <w:spacing w:after="0"/>
              <w:rPr>
                <w:sz w:val="19"/>
                <w:szCs w:val="19"/>
                <w:color w:val="auto"/>
              </w:rPr>
            </w:pPr>
          </w:p>
        </w:tc>
      </w:tr>
      <w:tr>
        <w:trPr>
          <w:trHeight w:val="230"/>
        </w:trPr>
        <w:tc>
          <w:tcPr>
            <w:tcW w:w="5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1 Capital</w:t>
            </w:r>
          </w:p>
        </w:tc>
        <w:tc>
          <w:tcPr>
            <w:tcW w:w="2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134,471</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(subject to regulatory limits)</w:t>
            </w:r>
          </w:p>
        </w:tc>
        <w:tc>
          <w:tcPr>
            <w:tcW w:w="2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12,740</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2 Capital</w:t>
            </w:r>
          </w:p>
        </w:tc>
        <w:tc>
          <w:tcPr>
            <w:tcW w:w="2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12,740</w:t>
            </w:r>
          </w:p>
        </w:tc>
        <w:tc>
          <w:tcPr>
            <w:tcW w:w="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shd w:val="clear" w:color="auto" w:fill="CFF0FC"/>
          </w:tcPr>
          <w:p>
            <w:pPr>
              <w:spacing w:after="0"/>
              <w:rPr>
                <w:sz w:val="19"/>
                <w:szCs w:val="19"/>
                <w:color w:val="auto"/>
              </w:rPr>
            </w:pPr>
          </w:p>
        </w:tc>
      </w:tr>
      <w:tr>
        <w:trPr>
          <w:trHeight w:val="220"/>
        </w:trPr>
        <w:tc>
          <w:tcPr>
            <w:tcW w:w="5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Tier 1 plus Tier 2 Capital (numerator)</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147,211</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155,922</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1,013,875</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core capital to risk-weighted assets</w:t>
            </w:r>
          </w:p>
        </w:tc>
        <w:tc>
          <w:tcPr>
            <w:tcW w:w="2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14.52</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17"/>
        </w:trPr>
        <w:tc>
          <w:tcPr>
            <w:tcW w:w="584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21"/>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2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134,471</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1,013,875</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13.26</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adjusted assets)</w:t>
            </w:r>
          </w:p>
        </w:tc>
        <w:tc>
          <w:tcPr>
            <w:tcW w:w="2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134,471</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average assets</w:t>
            </w:r>
          </w:p>
        </w:tc>
        <w:tc>
          <w:tcPr>
            <w:tcW w:w="2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1,484,650</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1,418,313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(6,217 )</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Adjusted assets (denominator)</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1,472,681</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1,413,692</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adjusted assets</w:t>
            </w:r>
          </w:p>
        </w:tc>
        <w:tc>
          <w:tcPr>
            <w:tcW w:w="2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9.13</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Common Equity (to risk-weighted assets)</w:t>
            </w:r>
          </w:p>
        </w:tc>
        <w:tc>
          <w:tcPr>
            <w:tcW w:w="2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134,471</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1,013,875</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Tier 1 Common Equity to risk-weighted assets</w:t>
            </w:r>
          </w:p>
        </w:tc>
        <w:tc>
          <w:tcPr>
            <w:tcW w:w="2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13.26</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and Asset Quality and Allowance for Credit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non-accrual loans at the indicated dates: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5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7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commercial real estate loans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13,664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11,643</w:t>
            </w:r>
          </w:p>
        </w:tc>
        <w:tc>
          <w:tcPr>
            <w:tcW w:w="60" w:type="dxa"/>
            <w:vAlign w:val="bottom"/>
          </w:tcPr>
          <w:p>
            <w:pPr>
              <w:spacing w:after="0"/>
              <w:rPr>
                <w:sz w:val="20"/>
                <w:szCs w:val="20"/>
                <w:color w:val="auto"/>
              </w:rPr>
            </w:pPr>
          </w:p>
        </w:tc>
      </w:tr>
      <w:tr>
        <w:trPr>
          <w:trHeight w:val="247"/>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17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3,140</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2,871</w:t>
            </w:r>
          </w:p>
        </w:tc>
        <w:tc>
          <w:tcPr>
            <w:tcW w:w="60" w:type="dxa"/>
            <w:vAlign w:val="bottom"/>
          </w:tcPr>
          <w:p>
            <w:pPr>
              <w:spacing w:after="0"/>
              <w:rPr>
                <w:sz w:val="21"/>
                <w:szCs w:val="21"/>
                <w:color w:val="auto"/>
              </w:rPr>
            </w:pPr>
          </w:p>
        </w:tc>
      </w:tr>
      <w:tr>
        <w:trPr>
          <w:trHeight w:val="239"/>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1,605</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1,659</w:t>
            </w:r>
          </w:p>
        </w:tc>
        <w:tc>
          <w:tcPr>
            <w:tcW w:w="60" w:type="dxa"/>
            <w:vAlign w:val="bottom"/>
          </w:tcPr>
          <w:p>
            <w:pPr>
              <w:spacing w:after="0"/>
              <w:rPr>
                <w:sz w:val="20"/>
                <w:szCs w:val="20"/>
                <w:color w:val="auto"/>
              </w:rPr>
            </w:pPr>
          </w:p>
        </w:tc>
      </w:tr>
      <w:tr>
        <w:trPr>
          <w:trHeight w:val="237"/>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17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16,170</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16,173</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16,170</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16,173</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Foreclosed real estate</w:t>
            </w:r>
          </w:p>
        </w:tc>
        <w:tc>
          <w:tcPr>
            <w:tcW w:w="17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Pr>
          <w:p>
            <w:pPr>
              <w:spacing w:after="0"/>
              <w:rPr>
                <w:sz w:val="20"/>
                <w:szCs w:val="20"/>
                <w:color w:val="auto"/>
              </w:rPr>
            </w:pPr>
          </w:p>
        </w:tc>
      </w:tr>
      <w:tr>
        <w:trPr>
          <w:trHeight w:val="237"/>
        </w:trPr>
        <w:tc>
          <w:tcPr>
            <w:tcW w:w="5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16,170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17,378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16,362</w:t>
            </w:r>
          </w:p>
        </w:tc>
        <w:tc>
          <w:tcPr>
            <w:tcW w:w="60" w:type="dxa"/>
            <w:vAlign w:val="bottom"/>
          </w:tcPr>
          <w:p>
            <w:pPr>
              <w:spacing w:after="0"/>
              <w:rPr>
                <w:sz w:val="20"/>
                <w:szCs w:val="20"/>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0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7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1.75 %</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1.92 %</w:t>
            </w: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7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1.09 %</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229"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As indicated in the table above, nonperforming assets at September 30, 2024 were $16.2 million, and were $1.2 million lower than the $17.4 million reported at December 31, 2023 and $192,000 lower than the $16.4 million reported at September 30, 2023. The decrease in the nonperforming loans at September 30, 2024, as compared to December 31, 2023, was driven by charge-offs for loans in two consumer loan pools with a balance of $2.2 million, as well as the downgrade of one commercial real estate loan with a balance of $1.4 million.</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38" w:right="279" w:bottom="1440" w:gutter="0" w:footer="0" w:header="0"/>
        </w:sectPr>
      </w:pPr>
    </w:p>
    <w:bookmarkStart w:id="67" w:name="page68"/>
    <w:bookmarkEnd w:id="67"/>
    <w:p>
      <w:pPr>
        <w:jc w:val="both"/>
        <w:spacing w:after="0" w:line="245" w:lineRule="auto"/>
        <w:rPr>
          <w:sz w:val="20"/>
          <w:szCs w:val="20"/>
          <w:color w:val="auto"/>
        </w:rPr>
      </w:pPr>
      <w:r>
        <w:rPr>
          <w:rFonts w:ascii="Times New Roman" w:cs="Times New Roman" w:eastAsia="Times New Roman" w:hAnsi="Times New Roman"/>
          <w:sz w:val="20"/>
          <w:szCs w:val="20"/>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allowance for credit losses on loans represents management’s estimate of the lifetime losses inherent in the loan portfolio as of the date of the statement of condition. The allowance for credit losses was $17.3 million and $16.0 million at September 30, 2024 and December 31, 2023, respectively. The ratio of the allowance for credit losses to total loans was 1.87% as of September 30, 2024, as compared to 1.78% at December 31, 2023 and 1.76% at September 30, 2023. Management performs a quarterly evaluation of the allowance for credit losses based on quantitative and qualitative factors and has determined that the current level of the allowance for credit losses is adequate to absorb the losses in the loan portfolio as of September 30, 2024.</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September 30, 2024 and December 31, 2023, the Company had $19.6 million and $22.6 million in loans, respectively, which were individually analyzed, having established specific reserves of $2.4 million and $3.7 million, respectively, on these loans. The $3.0 million decrease in specifically identified loans between these two dates was the result of a single relationship charge-off.</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$37.0 million at September 30, 2024, a decrease of $6.1 million, as compared to $43.1 million at December 31, 2023. These loans have been internally classified as special mention, substandard, or doubtful, yet are not currently considered specifically-identified.</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8" w:name="page69"/>
    <w:bookmarkEnd w:id="68"/>
    <w:p>
      <w:pPr>
        <w:jc w:val="both"/>
        <w:spacing w:after="0" w:line="245" w:lineRule="auto"/>
        <w:rPr>
          <w:sz w:val="20"/>
          <w:szCs w:val="20"/>
          <w:color w:val="auto"/>
        </w:rPr>
      </w:pPr>
      <w:r>
        <w:rPr>
          <w:rFonts w:ascii="Times New Roman" w:cs="Times New Roman" w:eastAsia="Times New Roman" w:hAnsi="Times New Roman"/>
          <w:sz w:val="20"/>
          <w:szCs w:val="20"/>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Through the first nine months of 2024, as indicated in the consolidated statement of cash flows, the Company reported net cash flow from operating activities of $13.9 million and net cash outflows of $26.1 million related to investing activities. The net cash outflows from investing activities was generated principally by an increase of $33.3 million in net loan activity, a $6.3 million increase in gross core deposit intangibles, and a $1.6 million increase in premises and equipment, offset by a $12.0 million decrease in net investment activity, and an increase of $3.0 million in proceeds received from the sale of assets-held-for-sale. The Company reported net cash outflows from financing activities of $1.1 million, primarily due to a $76.1 million increase in net deposit balances from the acquisition of the East Syracuse branch, a $75.5 million decrease in borrowings, and an aggregate decrease of $1.7 million in net cash from all other financing sources, including dividends paid to common voting and non-voting shareholders and warrants of $1.8 million.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Bank’s management monitors liquidity on a continuous basis through a broad range of internal programs and considers effective liquidity management to be one of its primary objectives. At September 30, 2024 the Bank had deposits of $1.20 billion, of which a portion were nominally uninsured, as they were above the insurance limits established by the Federal Deposit Insurance Corporation (“FDIC”) on that date. Of the nominally uninsured deposits at September 30, 2024, $76.1 million were insured through a long-standing reciprocal deposit program managed by a third-party entity. In addition, $110.5 million in municipal deposits are fully protected against principal loss by a collateral program whereby the Bank places high-quality securities with an independent custodian as collateral. The Bank had $146.9 million in deposits, representing 12.3% of all deposits, that were considered to be uninsured at September 30, 2024.</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a number of existing credit facilities available to it. At September 30, 2024, total credit available under the existing lines of credit was approximately $232.7 million at FHLBNY, the Federal Reserve Bank, and two other correspondent banks. At September 30, 2024, the Company had $100.1 million of the available lines of credit utilized on its existing lines of credit with the remainder of $132.6 million available.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September 30, 2024, management reported to the Board of Directors that the Company is in compliance with its liquidity policy guidelines.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September 30, 2024, the Company had $222.3 million in outstanding commitments to extend credit and standby letters of credit.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September 30, 2024 was $556,000 and is included in other liabilities on the Company's consolidated Statements of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Controls and Procedures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September 30, 2024.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September 30, 2024, our CEO and CFO concluded that our disclosure controls and procedures were effective as of that date.</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September 30, 2024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Legal Proceedings</w:t>
      </w:r>
    </w:p>
    <w:p>
      <w:pPr>
        <w:spacing w:after="0" w:line="23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At September 30, 2024, the Company is not currently a named party in a legal proceeding, the outcome of which would have a material and adverse effect on the financial condition or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Unregistered Sales of Equity Securities, and Use of Proceeds, and Issuer Purchases of Equity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Maximum Number</w:t>
            </w:r>
          </w:p>
        </w:tc>
      </w:tr>
      <w:tr>
        <w:trPr>
          <w:trHeight w:val="216"/>
        </w:trPr>
        <w:tc>
          <w:tcPr>
            <w:tcW w:w="3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 as</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of Shares That May</w:t>
            </w:r>
          </w:p>
        </w:tc>
      </w:tr>
      <w:tr>
        <w:trPr>
          <w:trHeight w:val="216"/>
        </w:trPr>
        <w:tc>
          <w:tcPr>
            <w:tcW w:w="39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 Price</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Yet Be Purchased</w:t>
            </w:r>
          </w:p>
        </w:tc>
      </w:tr>
      <w:tr>
        <w:trPr>
          <w:trHeight w:val="196"/>
        </w:trPr>
        <w:tc>
          <w:tcPr>
            <w:tcW w:w="394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Paid</w:t>
            </w:r>
          </w:p>
        </w:tc>
        <w:tc>
          <w:tcPr>
            <w:tcW w:w="10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Announced Plans or</w:t>
            </w:r>
          </w:p>
        </w:tc>
        <w:tc>
          <w:tcPr>
            <w:tcW w:w="100" w:type="dxa"/>
            <w:vAlign w:val="bottom"/>
          </w:tcPr>
          <w:p>
            <w:pPr>
              <w:spacing w:after="0"/>
              <w:rPr>
                <w:sz w:val="17"/>
                <w:szCs w:val="17"/>
                <w:color w:val="auto"/>
              </w:rPr>
            </w:pPr>
          </w:p>
        </w:tc>
        <w:tc>
          <w:tcPr>
            <w:tcW w:w="17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Under the Plans or</w:t>
            </w:r>
          </w:p>
        </w:tc>
      </w:tr>
      <w:tr>
        <w:trPr>
          <w:trHeight w:val="26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720" w:type="dxa"/>
            <w:vAlign w:val="bottom"/>
            <w:tcBorders>
              <w:bottom w:val="single" w:sz="8" w:color="auto"/>
            </w:tcBorders>
          </w:tcPr>
          <w:p>
            <w:pPr>
              <w:jc w:val="right"/>
              <w:spacing w:after="0" w:line="267" w:lineRule="exact"/>
              <w:rPr>
                <w:sz w:val="20"/>
                <w:szCs w:val="20"/>
                <w:color w:val="auto"/>
              </w:rPr>
            </w:pPr>
            <w:r>
              <w:rPr>
                <w:rFonts w:ascii="Times New Roman" w:cs="Times New Roman" w:eastAsia="Times New Roman" w:hAnsi="Times New Roman"/>
                <w:sz w:val="18"/>
                <w:szCs w:val="18"/>
                <w:color w:val="auto"/>
              </w:rPr>
              <w:t xml:space="preserve">Purchased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0"/>
                <w:szCs w:val="20"/>
                <w:color w:val="auto"/>
              </w:rPr>
            </w:pPr>
          </w:p>
        </w:tc>
      </w:tr>
      <w:tr>
        <w:trPr>
          <w:trHeight w:val="243"/>
        </w:trPr>
        <w:tc>
          <w:tcPr>
            <w:tcW w:w="3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bl>
    <w:p>
      <w:pPr>
        <w:spacing w:after="0" w:line="319" w:lineRule="exact"/>
        <w:rPr>
          <w:sz w:val="20"/>
          <w:szCs w:val="20"/>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2016, our Board of Directors authorized the repurchase of up to 217,692 shares of our common stock, or 5% of the Company’s shares outstanding as of that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Other Information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third quarter of 2024,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Item 6 –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1"/>
        </w:trPr>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31.1</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Executive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31.2</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Financial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32</w:t>
            </w:r>
          </w:p>
        </w:tc>
        <w:tc>
          <w:tcPr>
            <w:tcW w:w="620" w:type="dxa"/>
            <w:vAlign w:val="bottom"/>
          </w:tcPr>
          <w:p>
            <w:pPr>
              <w:spacing w:after="0"/>
              <w:rPr>
                <w:sz w:val="17"/>
                <w:szCs w:val="17"/>
                <w:color w:val="auto"/>
              </w:rPr>
            </w:pPr>
          </w:p>
        </w:tc>
        <w:tc>
          <w:tcPr>
            <w:tcW w:w="67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w w:val="98"/>
              </w:rPr>
              <w:t>Section 1350 Certification of the Chief Executive Officer and Chief Financial Officer</w:t>
            </w:r>
          </w:p>
        </w:tc>
        <w:tc>
          <w:tcPr>
            <w:tcW w:w="26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6986270" cy="1449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6270" cy="1449070"/>
                    </a:xfrm>
                    <a:prstGeom prst="rect">
                      <a:avLst/>
                    </a:prstGeom>
                    <a:noFill/>
                  </pic:spPr>
                </pic:pic>
              </a:graphicData>
            </a:graphic>
          </wp:anchor>
        </w:drawing>
      </w:r>
    </w:p>
    <w:p>
      <w:pPr>
        <w:spacing w:after="0" w:line="25" w:lineRule="exact"/>
        <w:rPr>
          <w:sz w:val="20"/>
          <w:szCs w:val="20"/>
          <w:color w:val="auto"/>
        </w:rPr>
      </w:pPr>
    </w:p>
    <w:p>
      <w:pPr>
        <w:ind w:left="1600" w:right="320" w:hanging="1481"/>
        <w:spacing w:after="0" w:line="246" w:lineRule="auto"/>
        <w:tabs>
          <w:tab w:leader="none" w:pos="1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3"/>
              </w:rPr>
              <w:t>104</w:t>
            </w:r>
          </w:p>
        </w:tc>
        <w:tc>
          <w:tcPr>
            <w:tcW w:w="700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u w:val="single" w:color="auto"/>
          <w:color w:val="auto"/>
        </w:rPr>
        <w:t>PATHFINDER BANCORP, INC.</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(registrant)</w:t>
      </w:r>
    </w:p>
    <w:p>
      <w:pPr>
        <w:spacing w:after="0" w:line="22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November 14, 2024</w:t>
      </w:r>
      <w:r>
        <w:rPr>
          <w:sz w:val="20"/>
          <w:szCs w:val="20"/>
          <w:color w:val="auto"/>
        </w:rPr>
        <w:tab/>
      </w:r>
      <w:r>
        <w:rPr>
          <w:rFonts w:ascii="Times New Roman" w:cs="Times New Roman" w:eastAsia="Times New Roman" w:hAnsi="Times New Roman"/>
          <w:sz w:val="19"/>
          <w:szCs w:val="19"/>
          <w:u w:val="single" w:color="auto"/>
          <w:color w:val="auto"/>
        </w:rPr>
        <w:t>/s/ James A. Dowd</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James A. Dowd</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November 14, 2024</w:t>
      </w:r>
      <w:r>
        <w:rPr>
          <w:sz w:val="20"/>
          <w:szCs w:val="20"/>
          <w:color w:val="auto"/>
        </w:rPr>
        <w:tab/>
      </w:r>
      <w:r>
        <w:rPr>
          <w:rFonts w:ascii="Times New Roman" w:cs="Times New Roman" w:eastAsia="Times New Roman" w:hAnsi="Times New Roman"/>
          <w:sz w:val="19"/>
          <w:szCs w:val="19"/>
          <w:color w:val="auto"/>
        </w:rPr>
        <w:t>/s/ Justin K. Bigham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-10795</wp:posOffset>
            </wp:positionV>
            <wp:extent cx="10572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Justin K. Bigham</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2"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365"/>
        <w:spacing w:after="0" w:line="282"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5"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60" w:hanging="929"/>
        <w:spacing w:after="0" w:line="260" w:lineRule="auto"/>
        <w:tabs>
          <w:tab w:leader="none" w:pos="20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18"/>
        </w:trPr>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A. Dowd</w:t>
            </w:r>
          </w:p>
        </w:tc>
        <w:tc>
          <w:tcPr>
            <w:tcW w:w="416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40"/>
        </w:trPr>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K. Bigham, certify that:</w:t>
      </w:r>
    </w:p>
    <w:p>
      <w:pPr>
        <w:spacing w:after="0" w:line="22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sz w:val="20"/>
          <w:szCs w:val="20"/>
          <w:color w:val="auto"/>
        </w:rPr>
      </w:pPr>
    </w:p>
    <w:p>
      <w:pPr>
        <w:jc w:val="both"/>
        <w:ind w:left="760" w:hanging="37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369"/>
        <w:spacing w:after="0" w:line="255"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500" w:hanging="369"/>
        <w:spacing w:after="0" w:line="261"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8"/>
              </w:rPr>
              <w:t>November 14, 2024</w:t>
            </w:r>
          </w:p>
        </w:tc>
        <w:tc>
          <w:tcPr>
            <w:tcW w:w="2000" w:type="dxa"/>
            <w:vAlign w:val="bottom"/>
          </w:tcPr>
          <w:p>
            <w:pPr>
              <w:spacing w:after="0"/>
              <w:rPr>
                <w:sz w:val="18"/>
                <w:szCs w:val="18"/>
                <w:color w:val="auto"/>
              </w:rPr>
            </w:pPr>
          </w:p>
        </w:tc>
        <w:tc>
          <w:tcPr>
            <w:tcW w:w="77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640"/>
        </w:trPr>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Pathfinder Bancorp, Inc. (the “Company”) on Form 10-Q for the period ended September 30, 2024 as filed with the Securities and Exchange Commission (the “Report”), the undersigned hereby certify, pursuant to 18 U.S.C. §1350, as adopted pursuant to §906 of the Sarbanes-Oxley Act of 2002, that:</w:t>
      </w:r>
    </w:p>
    <w:p>
      <w:pPr>
        <w:spacing w:after="0" w:line="176" w:lineRule="exact"/>
        <w:rPr>
          <w:sz w:val="20"/>
          <w:szCs w:val="20"/>
          <w:color w:val="auto"/>
        </w:rPr>
      </w:pPr>
    </w:p>
    <w:p>
      <w:pPr>
        <w:ind w:left="940" w:hanging="74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right="20" w:hanging="745"/>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statement is solely to comply with Title 18, Chapter 63, Section 1350 of the United States Code, as amended by Section 906 of the Sarbanes-Oxley Act of 2002.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8"/>
              </w:rPr>
              <w:t>November 14, 2024</w:t>
            </w: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0"/>
        </w:trPr>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8"/>
        </w:trPr>
        <w:tc>
          <w:tcPr>
            <w:tcW w:w="2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8"/>
              </w:rPr>
              <w:t>November 14, 2024</w:t>
            </w: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520" w:type="dxa"/>
            <w:vAlign w:val="bottom"/>
            <w:gridSpan w:val="4"/>
          </w:tcPr>
          <w:p>
            <w:pPr>
              <w:ind w:left="38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856"/>
        </w:trPr>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3"/>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2024-11-14T13:29:28Z</dcterms:created>
  <dcterms:modified xsi:type="dcterms:W3CDTF">2024-11-14T13:29:28Z</dcterms:modified>
</cp:coreProperties>
</file>