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4"/>
        </w:rPr>
      </w:pPr>
      <w:bookmarkStart w:id="0" w:name="pbhc-20260928.htm"/>
      <w:bookmarkStart w:id="1" w:name="kspbhc20260928"/>
      <w:bookmarkEnd w:id="0"/>
      <w:bookmarkEnd w:id="1"/>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8-K</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September 28, 2026</w:t>
      </w:r>
    </w:p>
    <w:p>
      <w:pPr>
        <w:pStyle w:val="TextBody"/>
        <w:bidi w:val="0"/>
        <w:jc w:val="center"/>
        <w:rPr/>
      </w:pPr>
      <w:r>
        <w:rPr/>
        <w:t> </w:t>
      </w:r>
    </w:p>
    <w:p>
      <w:pPr>
        <w:pStyle w:val="TextBody"/>
        <w:bidi w:val="0"/>
        <w:jc w:val="center"/>
        <w:rPr/>
      </w:pPr>
      <w:r>
        <w:rPr/>
        <w:drawing>
          <wp:inline distT="0" distB="0" distL="0" distR="0">
            <wp:extent cx="20288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4762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000000"/>
          <w:sz w:val="20"/>
          <w:u w:val="single"/>
        </w:rPr>
        <w:t>001-36695</w:t>
      </w:r>
    </w:p>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5041"/>
        <w:gridCol w:w="3391"/>
      </w:tblGrid>
      <w:tr>
        <w:trPr/>
        <w:tc>
          <w:tcPr>
            <w:tcW w:w="504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Maryland</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38-3941859</w:t>
            </w:r>
          </w:p>
        </w:tc>
      </w:tr>
      <w:tr>
        <w:trPr/>
        <w:tc>
          <w:tcPr>
            <w:tcW w:w="5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bl>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214 West First Street, Oswego, NY 13126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 (Zip Code)</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(315) 343-0057</w:t>
      </w:r>
    </w:p>
    <w:p>
      <w:pPr>
        <w:pStyle w:val="TextBody"/>
        <w:bidi w:val="0"/>
        <w:jc w:val="center"/>
        <w:rPr>
          <w:rFonts w:ascii="Times New Roman" w:hAnsi="Times New Roman"/>
          <w:color w:val="000000"/>
          <w:sz w:val="20"/>
        </w:rPr>
      </w:pPr>
      <w:r>
        <w:rPr>
          <w:rFonts w:ascii="Times New Roman" w:hAnsi="Times New Roman"/>
          <w:color w:val="000000"/>
          <w:sz w:val="20"/>
        </w:rPr>
        <w:t>(Issuer's Telephone Number including area code)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both"/>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731"/>
        <w:gridCol w:w="1621"/>
        <w:gridCol w:w="3706"/>
      </w:tblGrid>
      <w:tr>
        <w:trPr/>
        <w:tc>
          <w:tcPr>
            <w:tcW w:w="273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PBHC</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pPr>
      <w:r>
        <w:rPr/>
        <w:t> </w:t>
      </w:r>
    </w:p>
    <w:tbl>
      <w:tblPr>
        <w:tblW w:w="2742" w:type="dxa"/>
        <w:jc w:val="left"/>
        <w:tblInd w:w="0" w:type="dxa"/>
        <w:tblLayout w:type="fixed"/>
        <w:tblCellMar>
          <w:top w:w="28" w:type="dxa"/>
          <w:left w:w="28" w:type="dxa"/>
          <w:bottom w:w="28" w:type="dxa"/>
          <w:right w:w="28" w:type="dxa"/>
        </w:tblCellMar>
      </w:tblPr>
      <w:tblGrid>
        <w:gridCol w:w="161"/>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Emerging growth company ☐</w:t>
            </w:r>
          </w:p>
          <w:p>
            <w:pPr>
              <w:pStyle w:val="TableContents"/>
              <w:bidi w:val="0"/>
              <w:spacing w:before="0" w:after="283"/>
              <w:jc w:val="both"/>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8.01 – Other Events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28, 2026, the Company announced that its Board of Directors declared a quarterly cash dividend of $0.10 per voting common and non-voting common share. The dividend is payable on November 6, 2026 to shareholders of record on October 16,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jc w:val="left"/>
        <w:rPr/>
      </w:pPr>
      <w:r>
        <w:rPr/>
        <w:t> </w:t>
      </w:r>
    </w:p>
    <w:tbl>
      <w:tblPr>
        <w:tblW w:w="7813" w:type="dxa"/>
        <w:jc w:val="left"/>
        <w:tblInd w:w="0" w:type="dxa"/>
        <w:tblLayout w:type="fixed"/>
        <w:tblCellMar>
          <w:top w:w="28" w:type="dxa"/>
          <w:left w:w="28" w:type="dxa"/>
          <w:bottom w:w="28" w:type="dxa"/>
          <w:right w:w="28" w:type="dxa"/>
        </w:tblCellMar>
      </w:tblPr>
      <w:tblGrid>
        <w:gridCol w:w="1066"/>
        <w:gridCol w:w="14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bhc-ex99_1.htm">
              <w:r>
                <w:rPr>
                  <w:rStyle w:val="InternetLink"/>
                  <w:rFonts w:ascii="Times New Roman" w:hAnsi="Times New Roman"/>
                  <w:color w:val="0000FF"/>
                  <w:sz w:val="20"/>
                  <w:u w:val="single"/>
                </w:rPr>
                <w:t>Press Release dated September 28, 2026</w:t>
              </w:r>
            </w:hyperlink>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6068" w:type="dxa"/>
        <w:jc w:val="left"/>
        <w:tblInd w:w="0" w:type="dxa"/>
        <w:tblLayout w:type="fixed"/>
        <w:tblCellMar>
          <w:top w:w="28" w:type="dxa"/>
          <w:left w:w="28" w:type="dxa"/>
          <w:bottom w:w="28" w:type="dxa"/>
          <w:right w:w="28" w:type="dxa"/>
        </w:tblCellMar>
      </w:tblPr>
      <w:tblGrid>
        <w:gridCol w:w="556"/>
        <w:gridCol w:w="1786"/>
        <w:gridCol w:w="109"/>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PATHFINDER BANCORP,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September 28, 2026</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A. Dowd</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A. Dowd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bookmarkStart w:id="2" w:name="pbhc-ex99_1.htm"/>
      <w:bookmarkStart w:id="3" w:name="kspbhcex99_1"/>
      <w:bookmarkEnd w:id="2"/>
      <w:bookmarkEnd w:id="3"/>
      <w:r>
        <w:rPr>
          <w:rFonts w:ascii="Times New Roman" w:hAnsi="Times New Roman"/>
          <w:color w:val="000000"/>
          <w:sz w:val="24"/>
        </w:rPr>
        <w:t>EXHIBIT 99.1</w:t>
      </w:r>
      <w:r>
        <w:br w:type="page"/>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8"/>
        </w:rPr>
      </w:pPr>
      <w:r>
        <w:rPr>
          <w:rFonts w:ascii="Times New Roman" w:hAnsi="Times New Roman"/>
          <w:b/>
          <w:color w:val="000000"/>
          <w:sz w:val="28"/>
        </w:rPr>
        <w:t>News Release:</w:t>
      </w:r>
      <w:r>
        <w:rPr>
          <w:rFonts w:ascii="Times New Roman" w:hAnsi="Times New Roman"/>
          <w:color w:val="000000"/>
          <w:sz w:val="28"/>
        </w:rPr>
        <w:t xml:space="preserve"> </w:t>
      </w:r>
    </w:p>
    <w:p>
      <w:pPr>
        <w:pStyle w:val="TextBody"/>
        <w:bidi w:val="0"/>
        <w:jc w:val="both"/>
        <w:rPr>
          <w:rFonts w:ascii="Times New Roman" w:hAnsi="Times New Roman"/>
          <w:sz w:val="23"/>
        </w:rPr>
      </w:pPr>
      <w:r>
        <w:rPr>
          <w:rFonts w:ascii="Times New Roman" w:hAnsi="Times New Roman"/>
          <w:b/>
          <w:color w:val="000000"/>
          <w:sz w:val="23"/>
        </w:rPr>
        <w:t>CONTACT:</w:t>
      </w:r>
      <w:r>
        <w:rPr>
          <w:rFonts w:ascii="Times New Roman" w:hAnsi="Times New Roman"/>
          <w:color w:val="000000"/>
          <w:sz w:val="23"/>
        </w:rPr>
        <w:t xml:space="preserve"> James A. Dowd, President and CEO, (315) 343-0057 </w:t>
      </w:r>
    </w:p>
    <w:p>
      <w:pPr>
        <w:pStyle w:val="TextBody"/>
        <w:bidi w:val="0"/>
        <w:jc w:val="both"/>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Pathfinder Bancorp, Inc. Declares Dividend</w:t>
      </w:r>
    </w:p>
    <w:p>
      <w:pPr>
        <w:pStyle w:val="TextBody"/>
        <w:bidi w:val="0"/>
        <w:jc w:val="both"/>
        <w:rPr>
          <w:rFonts w:ascii="Times New Roman" w:hAnsi="Times New Roman"/>
          <w:sz w:val="22"/>
        </w:rPr>
      </w:pPr>
      <w:r>
        <w:rPr>
          <w:rFonts w:ascii="Times New Roman" w:hAnsi="Times New Roman"/>
          <w:b/>
          <w:color w:val="000000"/>
          <w:sz w:val="22"/>
        </w:rPr>
        <w:t>OSWEGO, New York (September 28, 2026)</w:t>
      </w:r>
      <w:r>
        <w:rPr>
          <w:rFonts w:ascii="Times New Roman" w:hAnsi="Times New Roman"/>
          <w:color w:val="000000"/>
          <w:sz w:val="22"/>
        </w:rPr>
        <w:t xml:space="preserve"> – James A. Dowd, President and CEO of Pathfinder Bancorp, Inc., the bank holding company of Pathfinder Bank (NASDAQ: PBHC) (listing: PathBcp), has announced that the Company has declared a cash dividend of $0.10 per share on the Company's voting common and non-voting common stock relating to the fiscal quarter ending September 30, 2026. The third quarter 2026 dividend will be payable to all shareholders of record on October 16, 2026 and will be paid on November 6, 2026.</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b/>
          <w:color w:val="000000"/>
          <w:sz w:val="22"/>
          <w:u w:val="single"/>
        </w:rPr>
        <w:t>About Pathfinder Bancorp, Inc.</w:t>
      </w:r>
      <w:r>
        <w:rPr>
          <w:rFonts w:ascii="Times New Roman" w:hAnsi="Times New Roman"/>
          <w:color w:val="000000"/>
          <w:sz w:val="22"/>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Pathfinder Bank is a New York State chartered commercial bank headquartered in Oswego, whose deposits are insured by the Federal Deposit Insurance Corporation. The Bank is a wholly owned subsidiary of Pathfinder Bancorp, Inc., (NASDAQ SmallCap Market; symbol: PBHC, listing: PathBcp). The Bank has twelve full service offices located in its market areas consisting of Oswego and Onondaga County and one limited purpose office in Oneida County.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2"/>
        </w:rPr>
      </w:pPr>
      <w:r>
        <w:rPr>
          <w:rFonts w:ascii="Times New Roman" w:hAnsi="Times New Roman"/>
          <w:i/>
          <w:color w:val="000000"/>
          <w:sz w:val="22"/>
        </w:rPr>
        <w:t>This release may contain certain forward-looking statements, which are based on management's current expectations regarding economic, legislative, and regulatory issues that may impact the Company's earnings in future periods. Factors that could cause future results to vary materially from current management expectations include, but are not limited to, general economic conditions, changes in interest rates, deposit flows, loan demand, real estate values, and competition; changes in accounting principles, policies, or guidelines; changes in legislation or regulation; and economic, competitive, governmental, regulatory, and technological factors affecting the Company's operations, pricing, products, and services.</w:t>
      </w:r>
      <w:r>
        <w:rPr>
          <w:rFonts w:ascii="Times New Roman" w:hAnsi="Times New Roman"/>
          <w:color w:val="000000"/>
          <w:sz w:val="2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3819</Characters>
  <CharactersWithSpaces>4479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