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90170</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6" w:lineRule="exact"/>
        <w:rPr>
          <w:sz w:val="24"/>
          <w:szCs w:val="24"/>
          <w:color w:val="auto"/>
        </w:rPr>
      </w:pPr>
    </w:p>
    <w:p>
      <w:pPr>
        <w:ind w:left="3000" w:hanging="407"/>
        <w:spacing w:after="0"/>
        <w:tabs>
          <w:tab w:leader="none" w:pos="30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QUARTERLY REPORT PURSUANT TO SECTION 13 OR 15(d) OF THE</w:t>
      </w:r>
    </w:p>
    <w:p>
      <w:pPr>
        <w:spacing w:after="0" w:line="29" w:lineRule="exact"/>
        <w:rPr>
          <w:rFonts w:ascii="MS PGothic" w:cs="MS PGothic" w:eastAsia="MS PGothic" w:hAnsi="MS PGothic"/>
          <w:sz w:val="18"/>
          <w:szCs w:val="18"/>
          <w:color w:val="auto"/>
          <w:highlight w:val="black"/>
        </w:rPr>
      </w:pPr>
    </w:p>
    <w:p>
      <w:pPr>
        <w:ind w:left="41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13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2980" w:hanging="387"/>
        <w:spacing w:after="0"/>
        <w:tabs>
          <w:tab w:leader="none" w:pos="2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128905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222885</wp:posOffset>
            </wp:positionV>
            <wp:extent cx="182562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113030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318"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i w:val="1"/>
          <w:iCs w:val="1"/>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001-36695</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(Commission File No.)</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38-3941859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108" w:lineRule="exact"/>
        <w:rPr>
          <w:sz w:val="24"/>
          <w:szCs w:val="24"/>
          <w:color w:val="auto"/>
        </w:rPr>
      </w:pPr>
    </w:p>
    <w:p>
      <w:pPr>
        <w:sectPr>
          <w:pgSz w:w="11900" w:h="16838" w:orient="portrait"/>
          <w:cols w:equalWidth="0" w:num="3">
            <w:col w:w="4080" w:space="720"/>
            <w:col w:w="2180" w:space="720"/>
            <w:col w:w="3540"/>
          </w:cols>
          <w:pgMar w:left="320" w:top="1215" w:right="33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8"/>
          <w:szCs w:val="18"/>
          <w:b w:val="1"/>
          <w:bCs w:val="1"/>
          <w:color w:val="auto"/>
        </w:rPr>
        <w:t>214 West First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Oswego, NY 13126</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(315) 343-0057</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7"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5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63"/>
        </w:trPr>
        <w:tc>
          <w:tcPr>
            <w:tcW w:w="306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600" w:type="dxa"/>
            <w:vAlign w:val="bottom"/>
          </w:tcPr>
          <w:p>
            <w:pPr>
              <w:spacing w:after="0"/>
              <w:rPr>
                <w:sz w:val="22"/>
                <w:szCs w:val="22"/>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PBHC</w:t>
            </w:r>
          </w:p>
        </w:tc>
        <w:tc>
          <w:tcPr>
            <w:tcW w:w="38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p>
      <w:pPr>
        <w:ind w:left="180"/>
        <w:spacing w:after="0" w:line="207" w:lineRule="exact"/>
        <w:tabs>
          <w:tab w:leader="none" w:pos="2280" w:val="left"/>
          <w:tab w:leader="none" w:pos="4020" w:val="left"/>
          <w:tab w:leader="none" w:pos="6160" w:val="left"/>
          <w:tab w:leader="none" w:pos="88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90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10, 2024, there were 4,719,788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PART I - FINANCIAL INFORMATION</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PAGE NO.</w:t>
            </w:r>
          </w:p>
        </w:tc>
      </w:tr>
      <w:tr>
        <w:trPr>
          <w:trHeight w:val="76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3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8"/>
              </w:rPr>
              <w:t>Consolidated Financial Statements (Unaudited)</w:t>
            </w:r>
          </w:p>
        </w:tc>
        <w:tc>
          <w:tcPr>
            <w:tcW w:w="494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Consolidated Statements of Condition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Income</w:t>
            </w:r>
          </w:p>
        </w:tc>
        <w:tc>
          <w:tcPr>
            <w:tcW w:w="5680" w:type="dxa"/>
            <w:vAlign w:val="bottom"/>
            <w:gridSpan w:val="10"/>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Consolidated Statements of Comprehensive Income (Loss)</w:t>
            </w:r>
          </w:p>
        </w:tc>
        <w:tc>
          <w:tcPr>
            <w:tcW w:w="20" w:type="dxa"/>
            <w:vAlign w:val="bottom"/>
            <w:tcBorders>
              <w:bottom w:val="single" w:sz="8" w:color="0000EE"/>
            </w:tcBorders>
          </w:tcPr>
          <w:p>
            <w:pPr>
              <w:spacing w:after="0"/>
              <w:rPr>
                <w:sz w:val="20"/>
                <w:szCs w:val="20"/>
                <w:color w:val="auto"/>
              </w:rPr>
            </w:pPr>
          </w:p>
        </w:tc>
        <w:tc>
          <w:tcPr>
            <w:tcW w:w="4000" w:type="dxa"/>
            <w:vAlign w:val="bottom"/>
            <w:gridSpan w:val="5"/>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8"/>
              </w:rPr>
              <w:t>Consolidated Statements of Changes in Shareholders' Equity</w:t>
            </w:r>
          </w:p>
        </w:tc>
        <w:tc>
          <w:tcPr>
            <w:tcW w:w="3880" w:type="dxa"/>
            <w:vAlign w:val="bottom"/>
            <w:gridSpan w:val="2"/>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gridSpan w:val="4"/>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1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8"/>
              </w:rPr>
              <w:t>Management's Discussion and Analysis of Financial Condition and Results of Operations (Unaudited)</w:t>
            </w:r>
          </w:p>
        </w:tc>
        <w:tc>
          <w:tcPr>
            <w:tcW w:w="6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390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493"/>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Controls and Procedures</w:t>
            </w:r>
          </w:p>
        </w:tc>
        <w:tc>
          <w:tcPr>
            <w:tcW w:w="20" w:type="dxa"/>
            <w:vAlign w:val="bottom"/>
            <w:tcBorders>
              <w:bottom w:val="single" w:sz="8" w:color="0000EE"/>
            </w:tcBorders>
          </w:tcPr>
          <w:p>
            <w:pPr>
              <w:spacing w:after="0"/>
              <w:rPr>
                <w:sz w:val="24"/>
                <w:szCs w:val="24"/>
                <w:color w:val="auto"/>
              </w:rPr>
            </w:pPr>
          </w:p>
        </w:tc>
        <w:tc>
          <w:tcPr>
            <w:tcW w:w="6720" w:type="dxa"/>
            <w:vAlign w:val="bottom"/>
            <w:gridSpan w:val="13"/>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540"/>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auto"/>
              </w:rPr>
              <w:t>PART II - OTHER INFORMATION</w:t>
            </w:r>
          </w:p>
        </w:tc>
        <w:tc>
          <w:tcPr>
            <w:tcW w:w="1620" w:type="dxa"/>
            <w:vAlign w:val="bottom"/>
          </w:tcPr>
          <w:p>
            <w:pPr>
              <w:spacing w:after="0"/>
              <w:rPr>
                <w:sz w:val="24"/>
                <w:szCs w:val="24"/>
                <w:color w:val="auto"/>
              </w:rPr>
            </w:pPr>
          </w:p>
        </w:tc>
      </w:tr>
      <w:tr>
        <w:trPr>
          <w:trHeight w:val="46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w:t>
            </w:r>
          </w:p>
        </w:tc>
        <w:tc>
          <w:tcPr>
            <w:tcW w:w="1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Legal Proceedings</w:t>
            </w:r>
          </w:p>
        </w:tc>
        <w:tc>
          <w:tcPr>
            <w:tcW w:w="7220" w:type="dxa"/>
            <w:vAlign w:val="bottom"/>
            <w:gridSpan w:val="15"/>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1A.</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Risk Factor</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2.</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3.</w:t>
            </w:r>
          </w:p>
        </w:tc>
        <w:tc>
          <w:tcPr>
            <w:tcW w:w="25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Defaults upon Senior Securities</w:t>
            </w:r>
          </w:p>
        </w:tc>
        <w:tc>
          <w:tcPr>
            <w:tcW w:w="2260" w:type="dxa"/>
            <w:vAlign w:val="bottom"/>
            <w:tcBorders>
              <w:top w:val="single" w:sz="8" w:color="0000FF"/>
            </w:tcBorders>
            <w:gridSpan w:val="8"/>
          </w:tcPr>
          <w:p>
            <w:pPr>
              <w:spacing w:after="0"/>
              <w:rPr>
                <w:sz w:val="20"/>
                <w:szCs w:val="20"/>
                <w:color w:val="auto"/>
              </w:rPr>
            </w:pPr>
          </w:p>
        </w:tc>
        <w:tc>
          <w:tcPr>
            <w:tcW w:w="3920" w:type="dxa"/>
            <w:vAlign w:val="bottom"/>
            <w:gridSpan w:val="4"/>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4.</w:t>
            </w: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Mine Safety Disclosures</w:t>
            </w:r>
          </w:p>
        </w:tc>
        <w:tc>
          <w:tcPr>
            <w:tcW w:w="6740" w:type="dxa"/>
            <w:vAlign w:val="bottom"/>
            <w:gridSpan w:val="14"/>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5.</w:t>
            </w:r>
          </w:p>
        </w:tc>
        <w:tc>
          <w:tcPr>
            <w:tcW w:w="8700" w:type="dxa"/>
            <w:vAlign w:val="bottom"/>
            <w:gridSpan w:val="20"/>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Item 6.</w:t>
            </w:r>
          </w:p>
        </w:tc>
        <w:tc>
          <w:tcPr>
            <w:tcW w:w="1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Exhibits</w:t>
            </w:r>
          </w:p>
        </w:tc>
        <w:tc>
          <w:tcPr>
            <w:tcW w:w="7260" w:type="dxa"/>
            <w:vAlign w:val="bottom"/>
            <w:gridSpan w:val="16"/>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3"/>
        </w:trPr>
        <w:tc>
          <w:tcPr>
            <w:tcW w:w="962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000FF"/>
              </w:rPr>
              <w:t>SIGNATURES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1256"/>
        </w:trPr>
        <w:tc>
          <w:tcPr>
            <w:tcW w:w="2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Condition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March 31,</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r>
      <w:tr>
        <w:trPr>
          <w:trHeight w:val="236"/>
        </w:trPr>
        <w:tc>
          <w:tcPr>
            <w:tcW w:w="7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176"/>
        </w:trPr>
        <w:tc>
          <w:tcPr>
            <w:tcW w:w="762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Cash and due from banks</w:t>
            </w:r>
          </w:p>
        </w:tc>
        <w:tc>
          <w:tcPr>
            <w:tcW w:w="11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13,565</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12,338</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Interest-earning deposits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15,658</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36,394</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29,223</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48,732</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279,012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258,716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Held-to-maturity securities, at amortized cost (fair value of $162,368 and $168,034, respectively)</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172,648</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179,286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Marketable equity securities, at fair value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3,342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Federal Home Loan Bank stock, at cost</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7,031</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8,748</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Loans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891,531</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897,207</w:t>
            </w:r>
          </w:p>
        </w:tc>
      </w:tr>
      <w:tr>
        <w:trPr>
          <w:trHeight w:val="233"/>
        </w:trPr>
        <w:tc>
          <w:tcPr>
            <w:tcW w:w="20" w:type="dxa"/>
            <w:vAlign w:val="bottom"/>
            <w:tcBorders>
              <w:bottom w:val="single" w:sz="8" w:color="auto"/>
            </w:tcBorders>
            <w:shd w:val="clear" w:color="auto" w:fill="CFF0FC"/>
          </w:tcPr>
          <w:p>
            <w:pPr>
              <w:spacing w:after="0"/>
              <w:rPr>
                <w:sz w:val="20"/>
                <w:szCs w:val="20"/>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16,655</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15,975</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Loans receivable, net</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874,876</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881,232</w:t>
            </w: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18,332</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18,441</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Assets held-for-sale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3,042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3,042</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1,493</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4,038</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4,073</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7,170</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7,286</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Foreclosed real estate</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4,536</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4,536</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24,799</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24,641</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23,968</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22,097</w:t>
            </w:r>
          </w:p>
        </w:tc>
      </w:tr>
      <w:tr>
        <w:trPr>
          <w:trHeight w:val="263"/>
        </w:trPr>
        <w:tc>
          <w:tcPr>
            <w:tcW w:w="20" w:type="dxa"/>
            <w:vAlign w:val="bottom"/>
            <w:tcBorders>
              <w:bottom w:val="single" w:sz="8" w:color="auto"/>
            </w:tcBorders>
            <w:shd w:val="clear" w:color="auto" w:fill="CFF0FC"/>
          </w:tcPr>
          <w:p>
            <w:pPr>
              <w:spacing w:after="0"/>
              <w:rPr>
                <w:sz w:val="22"/>
                <w:szCs w:val="22"/>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1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1,453,672</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1,465,798</w:t>
            </w:r>
          </w:p>
        </w:tc>
      </w:tr>
      <w:tr>
        <w:trPr>
          <w:trHeight w:val="21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7600" w:type="dxa"/>
            <w:vAlign w:val="bottom"/>
            <w:gridSpan w:val="3"/>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3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Deposits:</w:t>
            </w:r>
          </w:p>
        </w:tc>
        <w:tc>
          <w:tcPr>
            <w:tcW w:w="406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08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11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969,692</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949,898</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176,421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170,169</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deposits</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1,146,113</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1,120,067</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Short-term borrowings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91,577</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125,680</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Long-term borrowings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45,869</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49,919</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Subordinated debt</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29,961</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29,914</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1,963</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2,245</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1,682</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1,711</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4,370</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4,381</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9,505</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11,625</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1,331,040</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1,345,542</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Shareholders' equity:</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Voting common stock, par value $0.01; 25,000,000 authorized shares; 4,719,788 and 4,719,288 shares</w:t>
            </w:r>
          </w:p>
        </w:tc>
        <w:tc>
          <w:tcPr>
            <w:tcW w:w="1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76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202"/>
        </w:trPr>
        <w:tc>
          <w:tcPr>
            <w:tcW w:w="20" w:type="dxa"/>
            <w:vAlign w:val="bottom"/>
          </w:tcPr>
          <w:p>
            <w:pPr>
              <w:spacing w:after="0"/>
              <w:rPr>
                <w:sz w:val="17"/>
                <w:szCs w:val="17"/>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Non-Voting common stock, par value $0.01; 1,505,283 authorized shares; 1,380,283 shares</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60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53,151</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53,114</w:t>
            </w:r>
          </w:p>
        </w:tc>
      </w:tr>
      <w:tr>
        <w:trPr>
          <w:trHeight w:val="220"/>
        </w:trPr>
        <w:tc>
          <w:tcPr>
            <w:tcW w:w="20" w:type="dxa"/>
            <w:vAlign w:val="bottom"/>
          </w:tcPr>
          <w:p>
            <w:pPr>
              <w:spacing w:after="0"/>
              <w:rPr>
                <w:sz w:val="19"/>
                <w:szCs w:val="19"/>
                <w:color w:val="auto"/>
              </w:rPr>
            </w:pPr>
          </w:p>
        </w:tc>
        <w:tc>
          <w:tcPr>
            <w:tcW w:w="76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77,558</w:t>
            </w:r>
          </w:p>
        </w:tc>
        <w:tc>
          <w:tcPr>
            <w:tcW w:w="28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76,060</w:t>
            </w:r>
          </w:p>
        </w:tc>
      </w:tr>
      <w:tr>
        <w:trPr>
          <w:trHeight w:val="239"/>
        </w:trPr>
        <w:tc>
          <w:tcPr>
            <w:tcW w:w="20" w:type="dxa"/>
            <w:vAlign w:val="bottom"/>
            <w:shd w:val="clear" w:color="auto" w:fill="CFF0FC"/>
          </w:tcPr>
          <w:p>
            <w:pPr>
              <w:spacing w:after="0"/>
              <w:rPr>
                <w:sz w:val="20"/>
                <w:szCs w:val="20"/>
                <w:color w:val="auto"/>
              </w:rPr>
            </w:pPr>
          </w:p>
        </w:tc>
        <w:tc>
          <w:tcPr>
            <w:tcW w:w="76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(8,862 )</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(9,605 )</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Unearned ESOP shares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(90 )</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Pathfinder Bancorp, Inc. shareholders' equity</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121,818</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119,495</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814</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600" w:type="dxa"/>
            <w:vAlign w:val="bottom"/>
            <w:tcBorders>
              <w:bottom w:val="single" w:sz="8" w:color="auto"/>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equity</w:t>
            </w:r>
          </w:p>
        </w:tc>
        <w:tc>
          <w:tcPr>
            <w:tcW w:w="1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122,632</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120,256</w:t>
            </w:r>
          </w:p>
        </w:tc>
      </w:tr>
      <w:tr>
        <w:trPr>
          <w:trHeight w:val="223"/>
        </w:trPr>
        <w:tc>
          <w:tcPr>
            <w:tcW w:w="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1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1,453,672</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1,465,798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3"/>
          </w:tcPr>
          <w:p>
            <w:pPr>
              <w:jc w:val="right"/>
              <w:ind w:right="879"/>
              <w:spacing w:after="0"/>
              <w:rPr>
                <w:sz w:val="20"/>
                <w:szCs w:val="20"/>
                <w:color w:val="auto"/>
              </w:rPr>
            </w:pPr>
            <w:r>
              <w:rPr>
                <w:rFonts w:ascii="Times New Roman" w:cs="Times New Roman" w:eastAsia="Times New Roman" w:hAnsi="Times New Roman"/>
                <w:sz w:val="16"/>
                <w:szCs w:val="16"/>
                <w:color w:val="auto"/>
              </w:rPr>
              <w:t>For the three months ended</w:t>
            </w:r>
          </w:p>
        </w:tc>
      </w:tr>
      <w:tr>
        <w:trPr>
          <w:trHeight w:val="223"/>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March 31, 2024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March 31, 2023</w:t>
            </w:r>
          </w:p>
        </w:tc>
      </w:tr>
      <w:tr>
        <w:trPr>
          <w:trHeight w:val="23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and dividend income:</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including fees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12,268</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10,658</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5,607</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3,747</w:t>
            </w:r>
          </w:p>
        </w:tc>
      </w:tr>
      <w:tr>
        <w:trPr>
          <w:trHeight w:val="239"/>
        </w:trPr>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Tax-exempt</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508</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r>
      <w:tr>
        <w:trPr>
          <w:trHeight w:val="233"/>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 funds sold and interest earning deposits</w:t>
            </w:r>
          </w:p>
        </w:tc>
        <w:tc>
          <w:tcPr>
            <w:tcW w:w="3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4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r>
      <w:tr>
        <w:trPr>
          <w:trHeight w:val="223"/>
        </w:trPr>
        <w:tc>
          <w:tcPr>
            <w:tcW w:w="7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interest and dividend income</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18,610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15,043</w:t>
            </w:r>
          </w:p>
        </w:tc>
      </w:tr>
      <w:tr>
        <w:trPr>
          <w:trHeight w:val="22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deposits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7,411</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4,037</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short-term borrowings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1,114</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372</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long-term borrowings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r>
      <w:tr>
        <w:trPr>
          <w:trHeight w:val="233"/>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on subordinated debt</w:t>
            </w:r>
          </w:p>
        </w:tc>
        <w:tc>
          <w:tcPr>
            <w:tcW w:w="3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491</w:t>
            </w:r>
          </w:p>
        </w:tc>
        <w:tc>
          <w:tcPr>
            <w:tcW w:w="4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r>
      <w:tr>
        <w:trPr>
          <w:trHeight w:val="223"/>
        </w:trPr>
        <w:tc>
          <w:tcPr>
            <w:tcW w:w="7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interest expense</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9,210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5,075</w:t>
            </w:r>
          </w:p>
        </w:tc>
      </w:tr>
      <w:tr>
        <w:trPr>
          <w:trHeight w:val="230"/>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9,400</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9,968</w:t>
            </w:r>
          </w:p>
        </w:tc>
      </w:tr>
      <w:tr>
        <w:trPr>
          <w:trHeight w:val="221"/>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credit losses:</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8"/>
        </w:trPr>
        <w:tc>
          <w:tcPr>
            <w:tcW w:w="7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Loans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710</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692</w:t>
            </w:r>
          </w:p>
        </w:tc>
      </w:tr>
      <w:tr>
        <w:trPr>
          <w:trHeight w:val="220"/>
        </w:trPr>
        <w:tc>
          <w:tcPr>
            <w:tcW w:w="7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6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Unfunded commitments</w:t>
            </w:r>
          </w:p>
        </w:tc>
        <w:tc>
          <w:tcPr>
            <w:tcW w:w="3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726</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692</w:t>
            </w:r>
          </w:p>
        </w:tc>
      </w:tr>
      <w:tr>
        <w:trPr>
          <w:trHeight w:val="223"/>
        </w:trPr>
        <w:tc>
          <w:tcPr>
            <w:tcW w:w="76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3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8,674</w:t>
            </w: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9,276</w:t>
            </w:r>
          </w:p>
        </w:tc>
      </w:tr>
      <w:tr>
        <w:trPr>
          <w:trHeight w:val="221"/>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8"/>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and gain on bank owned life insurance</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 servicing fees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(losses) gains on sales and redemptions of investment securities</w:t>
            </w:r>
          </w:p>
        </w:tc>
        <w:tc>
          <w:tcPr>
            <w:tcW w:w="34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(148 )</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realized gains on sales of marketable equity securities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on sales of loans and foreclosed real estate</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Debit card interchange fees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agency revenue</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397</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w:t>
            </w:r>
          </w:p>
        </w:tc>
      </w:tr>
      <w:tr>
        <w:trPr>
          <w:trHeight w:val="233"/>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charges, commissions &amp; fees</w:t>
            </w:r>
          </w:p>
        </w:tc>
        <w:tc>
          <w:tcPr>
            <w:tcW w:w="3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689</w:t>
            </w:r>
          </w:p>
        </w:tc>
        <w:tc>
          <w:tcPr>
            <w:tcW w:w="4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r>
      <w:tr>
        <w:trPr>
          <w:trHeight w:val="223"/>
        </w:trPr>
        <w:tc>
          <w:tcPr>
            <w:tcW w:w="7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1,737</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1,592</w:t>
            </w:r>
          </w:p>
        </w:tc>
      </w:tr>
      <w:tr>
        <w:trPr>
          <w:trHeight w:val="22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4,329</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4,183</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Building and occupancy</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816</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852</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processing</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528</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553</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Professional and other services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562</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536</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FDIC assessments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229</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Audits and exams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Insurance agency expense</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285</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Community service activities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 expenses</w:t>
            </w:r>
          </w:p>
        </w:tc>
        <w:tc>
          <w:tcPr>
            <w:tcW w:w="3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23"/>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605</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511</w:t>
            </w:r>
          </w:p>
        </w:tc>
      </w:tr>
      <w:tr>
        <w:trPr>
          <w:trHeight w:val="223"/>
        </w:trPr>
        <w:tc>
          <w:tcPr>
            <w:tcW w:w="76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7,706</w:t>
            </w: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7,524</w:t>
            </w:r>
          </w:p>
        </w:tc>
      </w:tr>
      <w:tr>
        <w:trPr>
          <w:trHeight w:val="22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40" w:type="dxa"/>
            <w:vAlign w:val="bottom"/>
          </w:tcPr>
          <w:p>
            <w:pPr>
              <w:spacing w:after="0"/>
              <w:rPr>
                <w:sz w:val="19"/>
                <w:szCs w:val="19"/>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2,705</w:t>
            </w:r>
          </w:p>
        </w:tc>
        <w:tc>
          <w:tcPr>
            <w:tcW w:w="42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3,344</w:t>
            </w:r>
          </w:p>
        </w:tc>
      </w:tr>
      <w:tr>
        <w:trPr>
          <w:trHeight w:val="233"/>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532</w:t>
            </w:r>
          </w:p>
        </w:tc>
        <w:tc>
          <w:tcPr>
            <w:tcW w:w="4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669</w:t>
            </w:r>
          </w:p>
        </w:tc>
      </w:tr>
      <w:tr>
        <w:trPr>
          <w:trHeight w:val="200"/>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noncontrolling interest and</w:t>
            </w: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5"/>
        </w:trPr>
        <w:tc>
          <w:tcPr>
            <w:tcW w:w="7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Pathfinder Bancorp, Inc.</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2,173</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2,675</w:t>
            </w:r>
          </w:p>
        </w:tc>
      </w:tr>
      <w:tr>
        <w:trPr>
          <w:trHeight w:val="223"/>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3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r>
      <w:tr>
        <w:trPr>
          <w:trHeight w:val="223"/>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Pathfinder Bancorp Inc.</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2,120</w:t>
            </w:r>
          </w:p>
        </w:tc>
        <w:tc>
          <w:tcPr>
            <w:tcW w:w="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2,599</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7"/>
        </w:trPr>
        <w:tc>
          <w:tcPr>
            <w:tcW w:w="76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r>
      <w:tr>
        <w:trPr>
          <w:trHeight w:val="216"/>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Voting Earnings per common share - basic and diluted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Series A Non-Voting Earnings per common share- basic and diluted</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r>
      <w:tr>
        <w:trPr>
          <w:trHeight w:val="210"/>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per common share (Voting and Series A Non-Voting)</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p>
    <w:p>
      <w:pPr>
        <w:sectPr>
          <w:pgSz w:w="11900" w:h="16838" w:orient="portrait"/>
          <w:cols w:equalWidth="0" w:num="1">
            <w:col w:w="11240"/>
          </w:cols>
          <w:pgMar w:left="320" w:top="1112" w:right="339" w:bottom="181"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179070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6"/>
                <w:szCs w:val="16"/>
                <w:color w:val="auto"/>
              </w:rPr>
              <w:t>For the three months ended</w:t>
            </w:r>
          </w:p>
        </w:tc>
      </w:tr>
      <w:tr>
        <w:trPr>
          <w:trHeight w:val="223"/>
        </w:trPr>
        <w:tc>
          <w:tcPr>
            <w:tcW w:w="7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March 31, 2024</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March 31, 2023</w:t>
            </w:r>
          </w:p>
        </w:tc>
      </w:tr>
      <w:tr>
        <w:trPr>
          <w:trHeight w:val="229"/>
        </w:trPr>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17"/>
        </w:trPr>
        <w:tc>
          <w:tcPr>
            <w:tcW w:w="74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2,173</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2,675</w:t>
            </w: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Other Comprehensive Income (Loss)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175"/>
        </w:trPr>
        <w:tc>
          <w:tcPr>
            <w:tcW w:w="74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Retirement Plans:</w:t>
            </w: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440" w:type="dxa"/>
            <w:vAlign w:val="bottom"/>
            <w:tcBorders>
              <w:bottom w:val="single" w:sz="8" w:color="auto"/>
            </w:tcBorders>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4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r>
      <w:tr>
        <w:trPr>
          <w:trHeight w:val="223"/>
        </w:trPr>
        <w:tc>
          <w:tcPr>
            <w:tcW w:w="7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Net unrealized gain on retirement plans</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r>
      <w:tr>
        <w:trPr>
          <w:trHeight w:val="229"/>
        </w:trPr>
        <w:tc>
          <w:tcPr>
            <w:tcW w:w="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176"/>
        </w:trPr>
        <w:tc>
          <w:tcPr>
            <w:tcW w:w="74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Unrealized holding gains on available-for-sale securities:</w:t>
            </w: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0" w:type="dxa"/>
            <w:vAlign w:val="bottom"/>
            <w:shd w:val="clear" w:color="auto" w:fill="CFF0FC"/>
          </w:tcPr>
          <w:p>
            <w:pPr>
              <w:spacing w:after="0"/>
              <w:rPr>
                <w:sz w:val="19"/>
                <w:szCs w:val="19"/>
                <w:color w:val="auto"/>
              </w:rPr>
            </w:pPr>
          </w:p>
        </w:tc>
        <w:tc>
          <w:tcPr>
            <w:tcW w:w="7440" w:type="dxa"/>
            <w:vAlign w:val="bottom"/>
            <w:gridSpan w:val="5"/>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arising during the period</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4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(509 )</w:t>
            </w:r>
          </w:p>
        </w:tc>
      </w:tr>
      <w:tr>
        <w:trPr>
          <w:trHeight w:val="223"/>
        </w:trPr>
        <w:tc>
          <w:tcPr>
            <w:tcW w:w="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losses included in net income</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154</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1,933</w:t>
            </w:r>
          </w:p>
        </w:tc>
      </w:tr>
      <w:tr>
        <w:trPr>
          <w:trHeight w:val="223"/>
        </w:trPr>
        <w:tc>
          <w:tcPr>
            <w:tcW w:w="74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gains on available-for-sale securities</w:t>
            </w: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456</w:t>
            </w:r>
          </w:p>
        </w:tc>
        <w:tc>
          <w:tcPr>
            <w:tcW w:w="4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1,424</w:t>
            </w: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auto"/>
            </w:tcBorders>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Derivatives and hedging activities:</w:t>
            </w:r>
          </w:p>
        </w:tc>
        <w:tc>
          <w:tcPr>
            <w:tcW w:w="5180" w:type="dxa"/>
            <w:vAlign w:val="bottom"/>
            <w:tcBorders>
              <w:bottom w:val="single" w:sz="8" w:color="CFF0FC"/>
            </w:tcBorders>
            <w:gridSpan w:val="3"/>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4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color w:val="auto"/>
              </w:rPr>
              <w:t>Unrealized holding gains (losses) arising during the period</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513</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(616 )</w:t>
            </w:r>
          </w:p>
        </w:tc>
      </w:tr>
      <w:tr>
        <w:trPr>
          <w:trHeight w:val="223"/>
        </w:trPr>
        <w:tc>
          <w:tcPr>
            <w:tcW w:w="74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unrealized gains (losses) on derivatives and hedging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513</w:t>
            </w:r>
          </w:p>
        </w:tc>
        <w:tc>
          <w:tcPr>
            <w:tcW w:w="4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(616 )</w:t>
            </w:r>
          </w:p>
        </w:tc>
      </w:tr>
      <w:tr>
        <w:trPr>
          <w:trHeight w:val="23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1,006</w:t>
            </w:r>
          </w:p>
        </w:tc>
        <w:tc>
          <w:tcPr>
            <w:tcW w:w="4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r>
      <w:tr>
        <w:trPr>
          <w:trHeight w:val="223"/>
        </w:trPr>
        <w:tc>
          <w:tcPr>
            <w:tcW w:w="7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(263 )</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(225 )</w:t>
            </w:r>
          </w:p>
        </w:tc>
      </w:tr>
      <w:tr>
        <w:trPr>
          <w:trHeight w:val="223"/>
        </w:trPr>
        <w:tc>
          <w:tcPr>
            <w:tcW w:w="74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743</w:t>
            </w:r>
          </w:p>
        </w:tc>
        <w:tc>
          <w:tcPr>
            <w:tcW w:w="4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638</w:t>
            </w:r>
          </w:p>
        </w:tc>
      </w:tr>
      <w:tr>
        <w:trPr>
          <w:trHeight w:val="223"/>
        </w:trPr>
        <w:tc>
          <w:tcPr>
            <w:tcW w:w="7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2,916</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3,313</w:t>
            </w:r>
          </w:p>
        </w:tc>
      </w:tr>
      <w:tr>
        <w:trPr>
          <w:trHeight w:val="223"/>
        </w:trPr>
        <w:tc>
          <w:tcPr>
            <w:tcW w:w="74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r>
      <w:tr>
        <w:trPr>
          <w:trHeight w:val="223"/>
        </w:trPr>
        <w:tc>
          <w:tcPr>
            <w:tcW w:w="7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Pathfinder Bancorp, Inc.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2,863</w:t>
            </w:r>
          </w:p>
        </w:tc>
        <w:tc>
          <w:tcPr>
            <w:tcW w:w="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3,237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176"/>
        </w:trPr>
        <w:tc>
          <w:tcPr>
            <w:tcW w:w="7460" w:type="dxa"/>
            <w:vAlign w:val="bottom"/>
            <w:gridSpan w:val="6"/>
          </w:tcPr>
          <w:p>
            <w:pPr>
              <w:ind w:left="20"/>
              <w:spacing w:after="0" w:line="175" w:lineRule="exact"/>
              <w:rPr>
                <w:sz w:val="20"/>
                <w:szCs w:val="20"/>
                <w:color w:val="auto"/>
              </w:rPr>
            </w:pPr>
            <w:r>
              <w:rPr>
                <w:rFonts w:ascii="Times New Roman" w:cs="Times New Roman" w:eastAsia="Times New Roman" w:hAnsi="Times New Roman"/>
                <w:sz w:val="16"/>
                <w:szCs w:val="16"/>
                <w:color w:val="auto"/>
              </w:rPr>
              <w:t>Tax Effect Allocated to Each Component of Other Comprehensive (Loss) Income</w:t>
            </w: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4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(10 )</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23"/>
        </w:trPr>
        <w:tc>
          <w:tcPr>
            <w:tcW w:w="7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Unrealized holding (gains) losses on available-for-sale securities arising during the period</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(79 )</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r>
      <w:tr>
        <w:trPr>
          <w:trHeight w:val="202"/>
        </w:trPr>
        <w:tc>
          <w:tcPr>
            <w:tcW w:w="7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Reclassification adjustment for net losses on available-for-sale securities</w:t>
            </w: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23"/>
        </w:trPr>
        <w:tc>
          <w:tcPr>
            <w:tcW w:w="20" w:type="dxa"/>
            <w:vAlign w:val="bottom"/>
            <w:tcBorders>
              <w:bottom w:val="single" w:sz="8" w:color="auto"/>
            </w:tcBorders>
            <w:shd w:val="clear" w:color="auto" w:fill="CFF0FC"/>
          </w:tcPr>
          <w:p>
            <w:pPr>
              <w:spacing w:after="0"/>
              <w:rPr>
                <w:sz w:val="19"/>
                <w:szCs w:val="19"/>
                <w:color w:val="auto"/>
              </w:rPr>
            </w:pPr>
          </w:p>
        </w:tc>
        <w:tc>
          <w:tcPr>
            <w:tcW w:w="7440" w:type="dxa"/>
            <w:vAlign w:val="bottom"/>
            <w:tcBorders>
              <w:bottom w:val="single" w:sz="8" w:color="auto"/>
            </w:tcBorders>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included in net income</w:t>
            </w: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(40 )</w:t>
            </w:r>
          </w:p>
        </w:tc>
        <w:tc>
          <w:tcPr>
            <w:tcW w:w="4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(505 )</w:t>
            </w:r>
          </w:p>
        </w:tc>
      </w:tr>
      <w:tr>
        <w:trPr>
          <w:trHeight w:val="223"/>
        </w:trPr>
        <w:tc>
          <w:tcPr>
            <w:tcW w:w="7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derivatives and hedging arising during the period</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(134 )</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r>
      <w:tr>
        <w:trPr>
          <w:trHeight w:val="263"/>
        </w:trPr>
        <w:tc>
          <w:tcPr>
            <w:tcW w:w="7460" w:type="dxa"/>
            <w:vAlign w:val="bottom"/>
            <w:tcBorders>
              <w:bottom w:val="single" w:sz="8" w:color="auto"/>
            </w:tcBorders>
            <w:gridSpan w:val="6"/>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effect related to other comprehensive income</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(263 )</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Three months ended March 31, 2024 and March 31, 2023</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Accumul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ated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4"/>
              </w:rPr>
              <w:t>Voting</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Additiona</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Compreh</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Unearned</w:t>
            </w:r>
          </w:p>
        </w:tc>
        <w:tc>
          <w:tcPr>
            <w:tcW w:w="200" w:type="dxa"/>
            <w:vAlign w:val="bottom"/>
          </w:tcPr>
          <w:p>
            <w:pPr>
              <w:spacing w:after="0"/>
              <w:rPr>
                <w:sz w:val="17"/>
                <w:szCs w:val="17"/>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Non-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0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Common</w:t>
            </w: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l Paid in</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Retained</w:t>
            </w:r>
          </w:p>
        </w:tc>
        <w:tc>
          <w:tcPr>
            <w:tcW w:w="180" w:type="dxa"/>
            <w:vAlign w:val="bottom"/>
          </w:tcPr>
          <w:p>
            <w:pPr>
              <w:spacing w:after="0"/>
              <w:rPr>
                <w:sz w:val="17"/>
                <w:szCs w:val="17"/>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ensive</w:t>
            </w:r>
          </w:p>
        </w:tc>
        <w:tc>
          <w:tcPr>
            <w:tcW w:w="18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ESOP</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controllin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Stock</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Capital</w:t>
            </w:r>
          </w:p>
        </w:tc>
        <w:tc>
          <w:tcPr>
            <w:tcW w:w="100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Earnings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g Interest</w:t>
            </w: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53,114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76,060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(9,605 )</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$ 120,256</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2,120</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743</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ESOP shares earned (6,111 shares)</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dividends declared ($0.10 per share)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($0.10 per share)</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($0.10 per share)</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53,151</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77,558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(8,862 )</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814</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$ 122,632</w:t>
            </w:r>
          </w:p>
        </w:tc>
        <w:tc>
          <w:tcPr>
            <w:tcW w:w="0" w:type="dxa"/>
            <w:vAlign w:val="bottom"/>
          </w:tcPr>
          <w:p>
            <w:pPr>
              <w:spacing w:after="0"/>
              <w:rPr>
                <w:sz w:val="1"/>
                <w:szCs w:val="1"/>
                <w:color w:val="auto"/>
              </w:rPr>
            </w:pP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52,101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71,322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(12,172 )</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$ 111,582</w:t>
            </w:r>
          </w:p>
        </w:tc>
        <w:tc>
          <w:tcPr>
            <w:tcW w:w="0" w:type="dxa"/>
            <w:vAlign w:val="bottom"/>
          </w:tcPr>
          <w:p>
            <w:pPr>
              <w:spacing w:after="0"/>
              <w:rPr>
                <w:sz w:val="1"/>
                <w:szCs w:val="1"/>
                <w:color w:val="auto"/>
              </w:rPr>
            </w:pPr>
          </w:p>
        </w:tc>
      </w:tr>
      <w:tr>
        <w:trPr>
          <w:trHeight w:val="238"/>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2,599</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638</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ESOP shares earned (6,111 shares)</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dividends declared ($0.09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0" w:type="dxa"/>
            <w:vAlign w:val="bottom"/>
          </w:tcPr>
          <w:p>
            <w:pPr>
              <w:spacing w:after="0"/>
              <w:rPr>
                <w:sz w:val="1"/>
                <w:szCs w:val="1"/>
                <w:color w:val="auto"/>
              </w:rPr>
            </w:pPr>
          </w:p>
        </w:tc>
      </w:tr>
      <w:tr>
        <w:trPr>
          <w:trHeight w:val="202"/>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Non-Voting common stock dividends declared</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($0.09 per share)</w:t>
            </w:r>
          </w:p>
        </w:tc>
        <w:tc>
          <w:tcPr>
            <w:tcW w:w="3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8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39"/>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Warrant dividends declared ($0.09 per share)</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02"/>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Adoption of ASU 2016-13 Current Expected Credit</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Losses</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(2,134 )</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(2,134 )</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52,207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71,236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(11,534 )</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2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661</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$ 112,361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7"/>
                <w:szCs w:val="17"/>
                <w:color w:val="auto"/>
              </w:rPr>
              <w:t>For the three months ended March 31,</w:t>
            </w:r>
          </w:p>
        </w:tc>
      </w:tr>
      <w:tr>
        <w:trPr>
          <w:trHeight w:val="226"/>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2024</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2023</w:t>
            </w:r>
          </w:p>
        </w:tc>
      </w:tr>
      <w:tr>
        <w:trPr>
          <w:trHeight w:val="22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Pathfinder Bancorp, Inc.</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2,120</w:t>
            </w:r>
          </w:p>
        </w:tc>
        <w:tc>
          <w:tcPr>
            <w:tcW w:w="68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2,599</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flows from operating activities: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726</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692</w:t>
            </w: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sales of loans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1,042</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962</w:t>
            </w: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Originations of loans held-for-sale</w:t>
            </w:r>
          </w:p>
        </w:tc>
        <w:tc>
          <w:tcPr>
            <w:tcW w:w="280" w:type="dxa"/>
            <w:vAlign w:val="bottom"/>
          </w:tcPr>
          <w:p>
            <w:pPr>
              <w:spacing w:after="0"/>
              <w:rPr>
                <w:sz w:val="19"/>
                <w:szCs w:val="19"/>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(1,024 )</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Realized (gains) losses on sales, redemptions and calls of:</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Loans</w:t>
            </w:r>
          </w:p>
        </w:tc>
        <w:tc>
          <w:tcPr>
            <w:tcW w:w="280" w:type="dxa"/>
            <w:vAlign w:val="bottom"/>
          </w:tcPr>
          <w:p>
            <w:pPr>
              <w:spacing w:after="0"/>
              <w:rPr>
                <w:sz w:val="19"/>
                <w:szCs w:val="19"/>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(18 )</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33"/>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Available-for-sale investment securities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143</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370</w:t>
            </w:r>
          </w:p>
        </w:tc>
      </w:tr>
      <w:tr>
        <w:trPr>
          <w:trHeight w:val="226"/>
        </w:trPr>
        <w:tc>
          <w:tcPr>
            <w:tcW w:w="7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Held-to-maturity investment securities</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r>
      <w:tr>
        <w:trPr>
          <w:trHeight w:val="233"/>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Marketable securities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(108 )</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339</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355</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mortgage servicing rights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(14 )</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280" w:type="dxa"/>
            <w:vAlign w:val="bottom"/>
          </w:tcPr>
          <w:p>
            <w:pPr>
              <w:spacing w:after="0"/>
              <w:rPr>
                <w:sz w:val="19"/>
                <w:szCs w:val="19"/>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(105 )</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operating leases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28</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28</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deferred financing from subordinated debt</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47</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44</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Earnings on bank owned life insurance</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(157 )</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amortization of premiums and discounts on investment securities</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22</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769</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 and ESOP expense</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77</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151</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change in accrued interest receivable</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116</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543</w:t>
            </w:r>
          </w:p>
        </w:tc>
      </w:tr>
      <w:tr>
        <w:trPr>
          <w:trHeight w:val="226"/>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change in other assets and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(2,740 )</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708</w:t>
            </w:r>
          </w:p>
        </w:tc>
      </w:tr>
      <w:tr>
        <w:trPr>
          <w:trHeight w:val="225"/>
        </w:trPr>
        <w:tc>
          <w:tcPr>
            <w:tcW w:w="764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7"/>
                <w:szCs w:val="17"/>
                <w:b w:val="1"/>
                <w:bCs w:val="1"/>
                <w:color w:val="auto"/>
              </w:rPr>
              <w:t>Net cash inflows from operating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504</w:t>
            </w:r>
          </w:p>
        </w:tc>
        <w:tc>
          <w:tcPr>
            <w:tcW w:w="6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6,044</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available-for-sale securities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(40,740 )</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(12,882 )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held-to-maturity securities</w:t>
            </w:r>
          </w:p>
        </w:tc>
        <w:tc>
          <w:tcPr>
            <w:tcW w:w="280" w:type="dxa"/>
            <w:vAlign w:val="bottom"/>
          </w:tcPr>
          <w:p>
            <w:pPr>
              <w:spacing w:after="0"/>
              <w:rPr>
                <w:sz w:val="19"/>
                <w:szCs w:val="19"/>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(3,014 )</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(8,999 )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(28 )</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(264 )</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Federal Home Loan Bank stock</w:t>
            </w:r>
          </w:p>
        </w:tc>
        <w:tc>
          <w:tcPr>
            <w:tcW w:w="280" w:type="dxa"/>
            <w:vAlign w:val="bottom"/>
          </w:tcPr>
          <w:p>
            <w:pPr>
              <w:spacing w:after="0"/>
              <w:rPr>
                <w:sz w:val="19"/>
                <w:szCs w:val="19"/>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(2,896 )</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(2,637 )</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redemption of Federal Home Loan Bank stock</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4,613</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3,393</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principal reductions of available-for-sale securities</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16,029</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2,341</w:t>
            </w:r>
          </w:p>
        </w:tc>
      </w:tr>
      <w:tr>
        <w:trPr>
          <w:trHeight w:val="23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principal reductions of held-to-maturity securities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8,929</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1,682</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sales, redemptions and calls of:</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3,434</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17,396</w:t>
            </w:r>
          </w:p>
        </w:tc>
      </w:tr>
      <w:tr>
        <w:trPr>
          <w:trHeight w:val="226"/>
        </w:trPr>
        <w:tc>
          <w:tcPr>
            <w:tcW w:w="7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Held-to-maturity securities</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696</w:t>
            </w:r>
          </w:p>
        </w:tc>
        <w:tc>
          <w:tcPr>
            <w:tcW w:w="6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w:t>
            </w: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Real estate acquired through foreclosure</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rPr>
              <w:t>68</w:t>
            </w:r>
          </w:p>
        </w:tc>
        <w:tc>
          <w:tcPr>
            <w:tcW w:w="6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loans</w:t>
            </w:r>
          </w:p>
        </w:tc>
        <w:tc>
          <w:tcPr>
            <w:tcW w:w="280" w:type="dxa"/>
            <w:vAlign w:val="bottom"/>
          </w:tcPr>
          <w:p>
            <w:pPr>
              <w:spacing w:after="0"/>
              <w:rPr>
                <w:sz w:val="19"/>
                <w:szCs w:val="19"/>
                <w:color w:val="auto"/>
              </w:rPr>
            </w:pP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5,735</w:t>
            </w: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(10,468 )</w:t>
            </w:r>
          </w:p>
        </w:tc>
      </w:tr>
      <w:tr>
        <w:trPr>
          <w:trHeight w:val="230"/>
        </w:trPr>
        <w:tc>
          <w:tcPr>
            <w:tcW w:w="7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rPr>
              <w:t>(230 )</w:t>
            </w:r>
          </w:p>
        </w:tc>
        <w:tc>
          <w:tcPr>
            <w:tcW w:w="6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(168 )</w:t>
            </w:r>
          </w:p>
        </w:tc>
      </w:tr>
      <w:tr>
        <w:trPr>
          <w:trHeight w:val="225"/>
        </w:trPr>
        <w:tc>
          <w:tcPr>
            <w:tcW w:w="7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Net cash outflows from investing activities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(7,404 )</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(10,567 )</w:t>
            </w:r>
          </w:p>
        </w:tc>
      </w:tr>
      <w:tr>
        <w:trPr>
          <w:trHeight w:val="427"/>
        </w:trPr>
        <w:tc>
          <w:tcPr>
            <w:tcW w:w="76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69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r>
      <w:tr>
        <w:trPr>
          <w:trHeight w:val="21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demand deposits, NOW accounts, savings accounts, money management</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 accounts, MMDA accounts and escrow deposits</w:t>
            </w:r>
          </w:p>
        </w:tc>
        <w:tc>
          <w:tcPr>
            <w:tcW w:w="1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6,271</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(16,091 )</w:t>
            </w:r>
          </w:p>
        </w:tc>
      </w:tr>
      <w:tr>
        <w:trPr>
          <w:trHeight w:val="250"/>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time deposits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23,657</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37,991</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brokered deposits</w:t>
            </w:r>
          </w:p>
        </w:tc>
        <w:tc>
          <w:tcPr>
            <w:tcW w:w="1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(3,882 )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(34,103 )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(16,797 )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1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(4,050 )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2,705</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paid to common voting shareholders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(424 )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to common non-voting shareholders</w:t>
            </w:r>
          </w:p>
        </w:tc>
        <w:tc>
          <w:tcPr>
            <w:tcW w:w="1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dividends paid on warrants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9"/>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noncontrolling interest, net</w:t>
            </w:r>
          </w:p>
        </w:tc>
        <w:tc>
          <w:tcPr>
            <w:tcW w:w="1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238"/>
        </w:trPr>
        <w:tc>
          <w:tcPr>
            <w:tcW w:w="69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Net cash (outflows) inflows from financing activities</w:t>
            </w:r>
          </w:p>
        </w:tc>
        <w:tc>
          <w:tcPr>
            <w:tcW w:w="1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(12,609 )</w:t>
            </w:r>
          </w:p>
        </w:tc>
        <w:tc>
          <w:tcPr>
            <w:tcW w:w="6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1,562</w:t>
            </w: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(19,509 )</w:t>
            </w:r>
          </w:p>
        </w:tc>
        <w:tc>
          <w:tcPr>
            <w:tcW w:w="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(2,961 )</w:t>
            </w:r>
          </w:p>
        </w:tc>
      </w:tr>
      <w:tr>
        <w:trPr>
          <w:trHeight w:val="241"/>
        </w:trPr>
        <w:tc>
          <w:tcPr>
            <w:tcW w:w="69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48,732</w:t>
            </w:r>
          </w:p>
        </w:tc>
        <w:tc>
          <w:tcPr>
            <w:tcW w:w="6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35,282</w:t>
            </w:r>
          </w:p>
        </w:tc>
      </w:tr>
      <w:tr>
        <w:trPr>
          <w:trHeight w:val="238"/>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29,223</w:t>
            </w:r>
          </w:p>
        </w:tc>
        <w:tc>
          <w:tcPr>
            <w:tcW w:w="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32,321</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1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9,492</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Collateral deposits for hedge position included in cash and due from banks</w:t>
            </w:r>
          </w:p>
        </w:tc>
        <w:tc>
          <w:tcPr>
            <w:tcW w:w="1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 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2023 consolidated financial statements may have been reclassified to conform to the current period presentation. These reclassifications had no effect on net income or comprehensive income as previously reported. Operating results for the three months ended March 31, 2024 are not necessarily indicative of the results that may be expected for the full year ending December 31, 2024 or any other interim period.</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consolidated financial statements; accordingly, as this information changes, the consolidated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Company owns, through its wholly owned subsidiary Pathfinder Risk Management Company, Inc., 51% of the membership interest in FitzGibbons Agency, LLC (“Agency”), the Company is required to consolidate 100% of the Agency within the consolidated financial statements. The 49% of which the Company does not own is accounted for separately as noncontrolling interests within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Note 2:  New Accounting Pronouncements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Standards Not Yet Adopted as of March 31, 2024</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60" w:type="dxa"/>
            <w:vAlign w:val="bottom"/>
            <w:tcBorders>
              <w:top w:val="single" w:sz="8" w:color="auto"/>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860" w:type="dxa"/>
            <w:vAlign w:val="bottom"/>
            <w:tcBorders>
              <w:top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Required Date</w:t>
            </w:r>
          </w:p>
        </w:tc>
        <w:tc>
          <w:tcPr>
            <w:tcW w:w="2720" w:type="dxa"/>
            <w:vAlign w:val="bottom"/>
            <w:tcBorders>
              <w:top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on Consolidated Financial</w:t>
            </w:r>
          </w:p>
        </w:tc>
      </w:tr>
      <w:tr>
        <w:trPr>
          <w:trHeight w:val="245"/>
        </w:trPr>
        <w:tc>
          <w:tcPr>
            <w:tcW w:w="1760" w:type="dxa"/>
            <w:vAlign w:val="bottom"/>
            <w:tcBorders>
              <w:left w:val="single" w:sz="8" w:color="auto"/>
              <w:bottom w:val="single" w:sz="8" w:color="auto"/>
              <w:right w:val="single" w:sz="8" w:color="auto"/>
            </w:tcBorders>
            <w:shd w:val="clear" w:color="auto" w:fill="CFF0FC"/>
          </w:tcPr>
          <w:p>
            <w:pPr>
              <w:spacing w:after="0"/>
              <w:rPr>
                <w:sz w:val="21"/>
                <w:szCs w:val="21"/>
                <w:color w:val="auto"/>
              </w:rPr>
            </w:pPr>
          </w:p>
        </w:tc>
        <w:tc>
          <w:tcPr>
            <w:tcW w:w="4860" w:type="dxa"/>
            <w:vAlign w:val="bottom"/>
            <w:tcBorders>
              <w:bottom w:val="single" w:sz="8" w:color="auto"/>
              <w:right w:val="single" w:sz="8" w:color="auto"/>
            </w:tcBorders>
            <w:shd w:val="clear" w:color="auto" w:fill="CFF0FC"/>
          </w:tcPr>
          <w:p>
            <w:pPr>
              <w:spacing w:after="0"/>
              <w:rPr>
                <w:sz w:val="21"/>
                <w:szCs w:val="21"/>
                <w:color w:val="auto"/>
              </w:rPr>
            </w:pPr>
          </w:p>
        </w:tc>
        <w:tc>
          <w:tcPr>
            <w:tcW w:w="19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72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w:t>
            </w:r>
          </w:p>
        </w:tc>
      </w:tr>
      <w:tr>
        <w:trPr>
          <w:trHeight w:val="154"/>
        </w:trPr>
        <w:tc>
          <w:tcPr>
            <w:tcW w:w="1760" w:type="dxa"/>
            <w:vAlign w:val="bottom"/>
            <w:tcBorders>
              <w:left w:val="single" w:sz="8" w:color="auto"/>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5"/>
                <w:szCs w:val="15"/>
                <w:color w:val="auto"/>
              </w:rPr>
              <w:t>Reference Rate Reform</w:t>
            </w:r>
          </w:p>
        </w:tc>
        <w:tc>
          <w:tcPr>
            <w:tcW w:w="486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The amendments provide optional expedients and exceptions for applying</w:t>
            </w:r>
          </w:p>
        </w:tc>
        <w:tc>
          <w:tcPr>
            <w:tcW w:w="190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Upon issuance, January 7,</w:t>
            </w:r>
          </w:p>
        </w:tc>
        <w:tc>
          <w:tcPr>
            <w:tcW w:w="272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The adoption of this ASU is not expected</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(ASU 2020-04:</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generally accepted accounting principles (GAAP) to contracts, hedging</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2021, through December 31,</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 have a material impact to the Company's</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Facilitation of the Effects</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relationships, and other transactions affected by reference rate reform. The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2024, as amended by ASU</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consolidated statements of condition or</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of Reference Rate Reform</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amendments apply only to contracts, hedging relationships, and other</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2022-06.</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income.</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on Financial Reporting</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transactions that reference LIBOR or another reference rate expected to be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[Topic 848]: Deferral of</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discontinued because of reference rate reform. The amendments (1) apply to</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the Sunset Date of Topic</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contract modifications that replace a reference rate affected by reference rate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6"/>
        </w:trPr>
        <w:tc>
          <w:tcPr>
            <w:tcW w:w="1760" w:type="dxa"/>
            <w:vAlign w:val="bottom"/>
            <w:tcBorders>
              <w:left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5"/>
                <w:szCs w:val="15"/>
                <w:i w:val="1"/>
                <w:iCs w:val="1"/>
                <w:color w:val="auto"/>
              </w:rPr>
              <w:t>848)</w:t>
            </w:r>
          </w:p>
        </w:tc>
        <w:tc>
          <w:tcPr>
            <w:tcW w:w="4860" w:type="dxa"/>
            <w:vAlign w:val="bottom"/>
            <w:tcBorders>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5"/>
                <w:szCs w:val="15"/>
                <w:color w:val="auto"/>
              </w:rPr>
              <w:t>reform, (2) provide exceptions to existing guidance related to changes to the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critical terms of a hedging relationship due to reference rate reform (3)</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provide optional expedients for fair value hedging relationships, cash flow</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hedging relationships, and net investment hedging relationships, and (4)</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provide a onetime election to sell, transfer, or both sell and transfer debt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securities classified as held-to-maturity that reference a rate affected by</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reference rate reform and that are classified as held-to-maturity before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January 1, 2020. In January 2021, the FASB issued ASU 2021-01,</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Reference Rate Reform (Topic 848): Scope. ASU 2021-01 clarifies that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certain optional expedients and exceptions in ASC 848 for contract</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modifications and hedge accounting apply to derivatives that are affected by</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the discounting transition. ASU 2021-01 also amends the expedients and</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exceptions in ASC 848 to capture the incremental consequences of the scope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clarification and to tailor the existing guidance to derivative instruments</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93"/>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affected by the discounting transition.</w:t>
            </w:r>
          </w:p>
        </w:tc>
        <w:tc>
          <w:tcPr>
            <w:tcW w:w="190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201"/>
        </w:trPr>
        <w:tc>
          <w:tcPr>
            <w:tcW w:w="1760" w:type="dxa"/>
            <w:vAlign w:val="bottom"/>
            <w:tcBorders>
              <w:left w:val="single" w:sz="8" w:color="auto"/>
              <w:right w:val="single" w:sz="8" w:color="auto"/>
            </w:tcBorders>
            <w:shd w:val="clear" w:color="auto" w:fill="CFF0FC"/>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Standard</w:t>
            </w:r>
          </w:p>
        </w:tc>
        <w:tc>
          <w:tcPr>
            <w:tcW w:w="4860" w:type="dxa"/>
            <w:vAlign w:val="bottom"/>
            <w:tcBorders>
              <w:right w:val="single" w:sz="8" w:color="auto"/>
            </w:tcBorders>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tcBorders>
              <w:right w:val="single" w:sz="8" w:color="auto"/>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Required Date</w:t>
            </w:r>
          </w:p>
        </w:tc>
        <w:tc>
          <w:tcPr>
            <w:tcW w:w="2720" w:type="dxa"/>
            <w:vAlign w:val="bottom"/>
            <w:tcBorders>
              <w:right w:val="single" w:sz="8" w:color="auto"/>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Effect on Consolidated Financial</w:t>
            </w:r>
          </w:p>
        </w:tc>
      </w:tr>
      <w:tr>
        <w:trPr>
          <w:trHeight w:val="245"/>
        </w:trPr>
        <w:tc>
          <w:tcPr>
            <w:tcW w:w="1760" w:type="dxa"/>
            <w:vAlign w:val="bottom"/>
            <w:tcBorders>
              <w:left w:val="single" w:sz="8" w:color="auto"/>
              <w:bottom w:val="single" w:sz="8" w:color="auto"/>
              <w:right w:val="single" w:sz="8" w:color="auto"/>
            </w:tcBorders>
            <w:shd w:val="clear" w:color="auto" w:fill="CFF0FC"/>
          </w:tcPr>
          <w:p>
            <w:pPr>
              <w:spacing w:after="0"/>
              <w:rPr>
                <w:sz w:val="21"/>
                <w:szCs w:val="21"/>
                <w:color w:val="auto"/>
              </w:rPr>
            </w:pPr>
          </w:p>
        </w:tc>
        <w:tc>
          <w:tcPr>
            <w:tcW w:w="4860" w:type="dxa"/>
            <w:vAlign w:val="bottom"/>
            <w:tcBorders>
              <w:bottom w:val="single" w:sz="8" w:color="auto"/>
              <w:right w:val="single" w:sz="8" w:color="auto"/>
            </w:tcBorders>
            <w:shd w:val="clear" w:color="auto" w:fill="CFF0FC"/>
          </w:tcPr>
          <w:p>
            <w:pPr>
              <w:spacing w:after="0"/>
              <w:rPr>
                <w:sz w:val="21"/>
                <w:szCs w:val="21"/>
                <w:color w:val="auto"/>
              </w:rPr>
            </w:pPr>
          </w:p>
        </w:tc>
        <w:tc>
          <w:tcPr>
            <w:tcW w:w="19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72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w:t>
            </w:r>
          </w:p>
        </w:tc>
      </w:tr>
      <w:tr>
        <w:trPr>
          <w:trHeight w:val="154"/>
        </w:trPr>
        <w:tc>
          <w:tcPr>
            <w:tcW w:w="1760" w:type="dxa"/>
            <w:vAlign w:val="bottom"/>
            <w:tcBorders>
              <w:left w:val="single" w:sz="8" w:color="auto"/>
              <w:right w:val="single" w:sz="8" w:color="auto"/>
            </w:tcBorders>
          </w:tcPr>
          <w:p>
            <w:pPr>
              <w:ind w:left="40"/>
              <w:spacing w:after="0" w:line="154" w:lineRule="exact"/>
              <w:rPr>
                <w:sz w:val="20"/>
                <w:szCs w:val="20"/>
                <w:color w:val="auto"/>
              </w:rPr>
            </w:pPr>
            <w:r>
              <w:rPr>
                <w:rFonts w:ascii="Times New Roman" w:cs="Times New Roman" w:eastAsia="Times New Roman" w:hAnsi="Times New Roman"/>
                <w:sz w:val="15"/>
                <w:szCs w:val="15"/>
                <w:color w:val="auto"/>
              </w:rPr>
              <w:t xml:space="preserve">Income taxes </w:t>
            </w:r>
            <w:r>
              <w:rPr>
                <w:rFonts w:ascii="Times New Roman" w:cs="Times New Roman" w:eastAsia="Times New Roman" w:hAnsi="Times New Roman"/>
                <w:sz w:val="15"/>
                <w:szCs w:val="15"/>
                <w:i w:val="1"/>
                <w:iCs w:val="1"/>
                <w:color w:val="auto"/>
              </w:rPr>
              <w:t>(Topic</w:t>
            </w:r>
          </w:p>
        </w:tc>
        <w:tc>
          <w:tcPr>
            <w:tcW w:w="4860" w:type="dxa"/>
            <w:vAlign w:val="bottom"/>
            <w:tcBorders>
              <w:right w:val="single" w:sz="8" w:color="auto"/>
            </w:tcBorders>
          </w:tcPr>
          <w:p>
            <w:pPr>
              <w:ind w:left="20"/>
              <w:spacing w:after="0" w:line="154" w:lineRule="exact"/>
              <w:rPr>
                <w:sz w:val="20"/>
                <w:szCs w:val="20"/>
                <w:color w:val="auto"/>
              </w:rPr>
            </w:pPr>
            <w:r>
              <w:rPr>
                <w:rFonts w:ascii="Times New Roman" w:cs="Times New Roman" w:eastAsia="Times New Roman" w:hAnsi="Times New Roman"/>
                <w:sz w:val="15"/>
                <w:szCs w:val="15"/>
                <w:color w:val="auto"/>
              </w:rPr>
              <w:t>Amendments to ASC740 are being made to enhance the transparency and</w:t>
            </w:r>
          </w:p>
        </w:tc>
        <w:tc>
          <w:tcPr>
            <w:tcW w:w="190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Public business entities are</w:t>
            </w:r>
          </w:p>
        </w:tc>
        <w:tc>
          <w:tcPr>
            <w:tcW w:w="2720" w:type="dxa"/>
            <w:vAlign w:val="bottom"/>
            <w:tcBorders>
              <w:right w:val="single" w:sz="8" w:color="auto"/>
            </w:tcBorders>
          </w:tcPr>
          <w:p>
            <w:pPr>
              <w:spacing w:after="0" w:line="154" w:lineRule="exact"/>
              <w:rPr>
                <w:sz w:val="20"/>
                <w:szCs w:val="20"/>
                <w:color w:val="auto"/>
              </w:rPr>
            </w:pPr>
            <w:r>
              <w:rPr>
                <w:rFonts w:ascii="Times New Roman" w:cs="Times New Roman" w:eastAsia="Times New Roman" w:hAnsi="Times New Roman"/>
                <w:sz w:val="15"/>
                <w:szCs w:val="15"/>
                <w:color w:val="auto"/>
              </w:rPr>
              <w:t>The adoption of this ASU is not expected</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740): Improvements to</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decision usefulness of income tax disclosures. The enhancements are made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required to apply this</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to have a material impact to the Company's</w:t>
            </w:r>
          </w:p>
        </w:tc>
      </w:tr>
      <w:tr>
        <w:trPr>
          <w:trHeight w:val="162"/>
        </w:trPr>
        <w:tc>
          <w:tcPr>
            <w:tcW w:w="176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Income Tax Disclosures</w:t>
            </w: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to provide information to better assess how an entity's operations and related</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guidance to annual periods</w:t>
            </w:r>
          </w:p>
        </w:tc>
        <w:tc>
          <w:tcPr>
            <w:tcW w:w="27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consolidated statements of condition or</w:t>
            </w:r>
          </w:p>
        </w:tc>
      </w:tr>
      <w:tr>
        <w:trPr>
          <w:trHeight w:val="166"/>
        </w:trPr>
        <w:tc>
          <w:tcPr>
            <w:tcW w:w="1760" w:type="dxa"/>
            <w:vAlign w:val="bottom"/>
            <w:tcBorders>
              <w:left w:val="single" w:sz="8" w:color="auto"/>
              <w:right w:val="single" w:sz="8" w:color="auto"/>
            </w:tcBorders>
          </w:tcPr>
          <w:p>
            <w:pPr>
              <w:ind w:left="40"/>
              <w:spacing w:after="0" w:line="166" w:lineRule="exact"/>
              <w:rPr>
                <w:sz w:val="20"/>
                <w:szCs w:val="20"/>
                <w:color w:val="auto"/>
              </w:rPr>
            </w:pPr>
            <w:r>
              <w:rPr>
                <w:rFonts w:ascii="Times New Roman" w:cs="Times New Roman" w:eastAsia="Times New Roman" w:hAnsi="Times New Roman"/>
                <w:sz w:val="15"/>
                <w:szCs w:val="15"/>
                <w:i w:val="1"/>
                <w:iCs w:val="1"/>
                <w:color w:val="auto"/>
              </w:rPr>
              <w:t>2023-09</w:t>
            </w:r>
          </w:p>
        </w:tc>
        <w:tc>
          <w:tcPr>
            <w:tcW w:w="4860" w:type="dxa"/>
            <w:vAlign w:val="bottom"/>
            <w:tcBorders>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5"/>
                <w:szCs w:val="15"/>
                <w:color w:val="auto"/>
              </w:rPr>
              <w:t>tax risks and tax planning and operational opportunities affect its tax rate</w:t>
            </w:r>
          </w:p>
        </w:tc>
        <w:tc>
          <w:tcPr>
            <w:tcW w:w="190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beginning after December 15,</w:t>
            </w:r>
          </w:p>
        </w:tc>
        <w:tc>
          <w:tcPr>
            <w:tcW w:w="272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5"/>
                <w:szCs w:val="15"/>
                <w:color w:val="auto"/>
              </w:rPr>
              <w:t>income.</w:t>
            </w: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and prospects for future cash flows. The objective of these disclosure</w:t>
            </w:r>
          </w:p>
        </w:tc>
        <w:tc>
          <w:tcPr>
            <w:tcW w:w="19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2024.</w:t>
            </w: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requirements is for an entity, particularly an entity operating in multiple</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jurisdictions, to disclose sufficient information to enable users of financial</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86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statements to understand the nature and magnitude of factors contributing to</w:t>
            </w:r>
          </w:p>
        </w:tc>
        <w:tc>
          <w:tcPr>
            <w:tcW w:w="19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r>
      <w:tr>
        <w:trPr>
          <w:trHeight w:val="193"/>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the difference between the effective tax rate and the statutory tax rate.</w:t>
            </w:r>
          </w:p>
        </w:tc>
        <w:tc>
          <w:tcPr>
            <w:tcW w:w="190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641"/>
        </w:trPr>
        <w:tc>
          <w:tcPr>
            <w:tcW w:w="1760" w:type="dxa"/>
            <w:vAlign w:val="bottom"/>
          </w:tcPr>
          <w:p>
            <w:pPr>
              <w:spacing w:after="0"/>
              <w:rPr>
                <w:sz w:val="24"/>
                <w:szCs w:val="24"/>
                <w:color w:val="auto"/>
              </w:rPr>
            </w:pPr>
          </w:p>
        </w:tc>
        <w:tc>
          <w:tcPr>
            <w:tcW w:w="48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p>
        </w:tc>
        <w:tc>
          <w:tcPr>
            <w:tcW w:w="19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63"/>
        </w:trPr>
        <w:tc>
          <w:tcPr>
            <w:tcW w:w="1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Note 3:  Earnings per Common Share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shareholder approval received on June 4, 2021, the Company converted 1,380,283 shares of its Series B Convertible Perpetual Preferred Stock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Anti-dilutive shares are common stock equivalents with average exercise prices in excess of the weighted average market price for the period presented. Anti-dilutive stock options, not included in the computation below, were -0- for the three months ended March 31, 2024, and March 31,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calculation of basic and diluted earnings per share.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Three months ended</w:t>
            </w:r>
          </w:p>
        </w:tc>
        <w:tc>
          <w:tcPr>
            <w:tcW w:w="960" w:type="dxa"/>
            <w:vAlign w:val="bottom"/>
          </w:tcPr>
          <w:p>
            <w:pPr>
              <w:spacing w:after="0"/>
              <w:rPr>
                <w:sz w:val="18"/>
                <w:szCs w:val="18"/>
                <w:color w:val="auto"/>
              </w:rPr>
            </w:pPr>
          </w:p>
        </w:tc>
      </w:tr>
      <w:tr>
        <w:trPr>
          <w:trHeight w:val="243"/>
        </w:trPr>
        <w:tc>
          <w:tcPr>
            <w:tcW w:w="71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7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7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2024</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22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2,120</w:t>
            </w:r>
          </w:p>
        </w:tc>
        <w:tc>
          <w:tcPr>
            <w:tcW w:w="7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2,599</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Non-Voting Common Stock dividends</w:t>
            </w:r>
          </w:p>
        </w:tc>
        <w:tc>
          <w:tcPr>
            <w:tcW w:w="700" w:type="dxa"/>
            <w:vAlign w:val="bottom"/>
          </w:tcPr>
          <w:p>
            <w:pPr>
              <w:spacing w:after="0"/>
              <w:rPr>
                <w:sz w:val="19"/>
                <w:szCs w:val="19"/>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138</w:t>
            </w:r>
          </w:p>
        </w:tc>
        <w:tc>
          <w:tcPr>
            <w:tcW w:w="7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r>
      <w:tr>
        <w:trPr>
          <w:trHeight w:val="23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dividends</w:t>
            </w:r>
          </w:p>
        </w:tc>
        <w:tc>
          <w:tcPr>
            <w:tcW w:w="70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13</w:t>
            </w:r>
          </w:p>
        </w:tc>
        <w:tc>
          <w:tcPr>
            <w:tcW w:w="7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7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363</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r>
      <w:tr>
        <w:trPr>
          <w:trHeight w:val="263"/>
        </w:trPr>
        <w:tc>
          <w:tcPr>
            <w:tcW w:w="7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shareholders-Voting</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1,606</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1,960</w:t>
            </w:r>
          </w:p>
        </w:tc>
      </w:tr>
      <w:tr>
        <w:trPr>
          <w:trHeight w:val="217"/>
        </w:trPr>
        <w:tc>
          <w:tcPr>
            <w:tcW w:w="7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2,120</w:t>
            </w:r>
          </w:p>
        </w:tc>
        <w:tc>
          <w:tcPr>
            <w:tcW w:w="7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2,599</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Voting Common Stock dividends</w:t>
            </w:r>
          </w:p>
        </w:tc>
        <w:tc>
          <w:tcPr>
            <w:tcW w:w="700" w:type="dxa"/>
            <w:vAlign w:val="bottom"/>
          </w:tcPr>
          <w:p>
            <w:pPr>
              <w:spacing w:after="0"/>
              <w:rPr>
                <w:sz w:val="19"/>
                <w:szCs w:val="19"/>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471</w:t>
            </w:r>
          </w:p>
        </w:tc>
        <w:tc>
          <w:tcPr>
            <w:tcW w:w="7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w:t>
            </w:r>
          </w:p>
        </w:tc>
      </w:tr>
      <w:tr>
        <w:trPr>
          <w:trHeight w:val="23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dividends</w:t>
            </w:r>
          </w:p>
        </w:tc>
        <w:tc>
          <w:tcPr>
            <w:tcW w:w="70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13</w:t>
            </w:r>
          </w:p>
        </w:tc>
        <w:tc>
          <w:tcPr>
            <w:tcW w:w="7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7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1,165</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1,586</w:t>
            </w:r>
          </w:p>
        </w:tc>
      </w:tr>
      <w:tr>
        <w:trPr>
          <w:trHeight w:val="263"/>
        </w:trPr>
        <w:tc>
          <w:tcPr>
            <w:tcW w:w="7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shareholders-Series A Non-Voting</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471</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586</w:t>
            </w:r>
          </w:p>
        </w:tc>
      </w:tr>
      <w:tr>
        <w:trPr>
          <w:trHeight w:val="217"/>
        </w:trPr>
        <w:tc>
          <w:tcPr>
            <w:tcW w:w="7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outstanding-Voting</w:t>
            </w:r>
          </w:p>
        </w:tc>
        <w:tc>
          <w:tcPr>
            <w:tcW w:w="7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4,701</w:t>
            </w:r>
          </w:p>
        </w:tc>
        <w:tc>
          <w:tcPr>
            <w:tcW w:w="7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4,609</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outstanding-Series A Non-Voting</w:t>
            </w:r>
          </w:p>
        </w:tc>
        <w:tc>
          <w:tcPr>
            <w:tcW w:w="700" w:type="dxa"/>
            <w:vAlign w:val="bottom"/>
          </w:tcPr>
          <w:p>
            <w:pPr>
              <w:spacing w:after="0"/>
              <w:rPr>
                <w:sz w:val="19"/>
                <w:szCs w:val="19"/>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1,380</w:t>
            </w:r>
          </w:p>
        </w:tc>
        <w:tc>
          <w:tcPr>
            <w:tcW w:w="7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r>
      <w:tr>
        <w:trPr>
          <w:trHeight w:val="239"/>
        </w:trPr>
        <w:tc>
          <w:tcPr>
            <w:tcW w:w="7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earnings per common share-Voting</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0.34</w:t>
            </w:r>
          </w:p>
        </w:tc>
        <w:tc>
          <w:tcPr>
            <w:tcW w:w="78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r>
      <w:tr>
        <w:trPr>
          <w:trHeight w:val="23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and diluted earnings per common share-Series A Non-Voting</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0.34</w:t>
            </w:r>
          </w:p>
        </w:tc>
        <w:tc>
          <w:tcPr>
            <w:tcW w:w="7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Note 4:  Investment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and estimated fair value of investment securities are summarized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March 31, 2024</w:t>
            </w: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w:t>
            </w:r>
          </w:p>
        </w:tc>
        <w:tc>
          <w:tcPr>
            <w:tcW w:w="6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38"/>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66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Gains</w:t>
            </w:r>
          </w:p>
        </w:tc>
        <w:tc>
          <w:tcPr>
            <w:tcW w:w="6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Losses</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92,121</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672</w:t>
            </w:r>
          </w:p>
        </w:tc>
        <w:tc>
          <w:tcPr>
            <w:tcW w:w="6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(3,645 )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89,148</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30,270</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28,908</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10,993</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(358 )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19,661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19,470</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32,761</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(1,069 )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31,742</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13,958</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88,827</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(3,288 )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85,639</w:t>
            </w:r>
          </w:p>
        </w:tc>
      </w:tr>
      <w:tr>
        <w:trPr>
          <w:trHeight w:val="236"/>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288,591</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1,299</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(11,084 )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278,806</w:t>
            </w: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20" w:type="dxa"/>
            <w:vAlign w:val="bottom"/>
            <w:tcBorders>
              <w:bottom w:val="single" w:sz="8" w:color="auto"/>
            </w:tcBorders>
            <w:shd w:val="clear" w:color="auto" w:fill="CFF0FC"/>
          </w:tcPr>
          <w:p>
            <w:pPr>
              <w:spacing w:after="0"/>
              <w:rPr>
                <w:sz w:val="20"/>
                <w:szCs w:val="20"/>
                <w:color w:val="auto"/>
              </w:rPr>
            </w:pPr>
          </w:p>
        </w:tc>
        <w:tc>
          <w:tcPr>
            <w:tcW w:w="4420" w:type="dxa"/>
            <w:vAlign w:val="bottom"/>
            <w:tcBorders>
              <w:bottom w:val="single" w:sz="8" w:color="auto"/>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288,797</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1,299</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(11,084 )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279,012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3,698</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3,385</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17,011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(1,888 )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15,133</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44,418</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(2,934 )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41,517</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17,091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16,148</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6,915</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(693 )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6,240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12,986</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11,626</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70,896</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(2,713 )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68,319</w:t>
            </w:r>
          </w:p>
        </w:tc>
      </w:tr>
      <w:tr>
        <w:trPr>
          <w:trHeight w:val="237"/>
        </w:trPr>
        <w:tc>
          <w:tcPr>
            <w:tcW w:w="20" w:type="dxa"/>
            <w:vAlign w:val="bottom"/>
          </w:tcPr>
          <w:p>
            <w:pPr>
              <w:spacing w:after="0"/>
              <w:rPr>
                <w:sz w:val="20"/>
                <w:szCs w:val="20"/>
                <w:color w:val="auto"/>
              </w:rPr>
            </w:pPr>
          </w:p>
        </w:tc>
        <w:tc>
          <w:tcPr>
            <w:tcW w:w="4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173,015</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w:t>
            </w:r>
          </w:p>
        </w:tc>
        <w:tc>
          <w:tcPr>
            <w:tcW w:w="6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(10,844 )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162,368</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367</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held-to-maturity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172,648</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197</w:t>
            </w: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(10,844 )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162,368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10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Gross</w:t>
            </w:r>
          </w:p>
        </w:tc>
        <w:tc>
          <w:tcPr>
            <w:tcW w:w="7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Gross</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38"/>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7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Gains</w:t>
            </w: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Losses</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4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189"/>
        </w:trPr>
        <w:tc>
          <w:tcPr>
            <w:tcW w:w="44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82,588</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754</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(3,259 )</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80,083</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34,588</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32,924</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11,008</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276</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(365 )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10,919</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20,251</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19,892</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25,446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(1,085 )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24,418</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13,058</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420" w:type="dxa"/>
            <w:vAlign w:val="bottom"/>
            <w:tcBorders>
              <w:bottom w:val="single" w:sz="8" w:color="auto"/>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81,812</w:t>
            </w:r>
          </w:p>
        </w:tc>
        <w:tc>
          <w:tcPr>
            <w:tcW w:w="5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(3,845 )</w:t>
            </w: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78,095</w:t>
            </w:r>
          </w:p>
        </w:tc>
      </w:tr>
      <w:tr>
        <w:trPr>
          <w:trHeight w:val="237"/>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268,751</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1,476</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(11,717 )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258,510</w:t>
            </w: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2"/>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6"/>
        </w:trPr>
        <w:tc>
          <w:tcPr>
            <w:tcW w:w="20" w:type="dxa"/>
            <w:vAlign w:val="bottom"/>
            <w:tcBorders>
              <w:bottom w:val="single" w:sz="8" w:color="auto"/>
            </w:tcBorders>
            <w:shd w:val="clear" w:color="auto" w:fill="CFF0FC"/>
          </w:tcPr>
          <w:p>
            <w:pPr>
              <w:spacing w:after="0"/>
              <w:rPr>
                <w:sz w:val="20"/>
                <w:szCs w:val="20"/>
                <w:color w:val="auto"/>
              </w:rPr>
            </w:pPr>
          </w:p>
        </w:tc>
        <w:tc>
          <w:tcPr>
            <w:tcW w:w="4420" w:type="dxa"/>
            <w:vAlign w:val="bottom"/>
            <w:tcBorders>
              <w:bottom w:val="single" w:sz="8" w:color="auto"/>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4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268,957</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1,476</w:t>
            </w:r>
          </w:p>
        </w:tc>
        <w:tc>
          <w:tcPr>
            <w:tcW w:w="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(11,717 )</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258,716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41"/>
        </w:trPr>
        <w:tc>
          <w:tcPr>
            <w:tcW w:w="44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1"/>
        </w:trPr>
        <w:tc>
          <w:tcPr>
            <w:tcW w:w="20" w:type="dxa"/>
            <w:vAlign w:val="bottom"/>
            <w:shd w:val="clear" w:color="auto" w:fill="CFF0FC"/>
          </w:tcPr>
          <w:p>
            <w:pPr>
              <w:spacing w:after="0"/>
              <w:rPr>
                <w:sz w:val="16"/>
                <w:szCs w:val="16"/>
                <w:color w:val="auto"/>
              </w:rPr>
            </w:pPr>
          </w:p>
        </w:tc>
        <w:tc>
          <w:tcPr>
            <w:tcW w:w="4420" w:type="dxa"/>
            <w:vAlign w:val="bottom"/>
            <w:gridSpan w:val="3"/>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960" w:type="dxa"/>
            <w:vAlign w:val="bottom"/>
            <w:tcBorders>
              <w:top w:val="single" w:sz="8" w:color="auto"/>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3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2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6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3,760</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(304 )</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3,456</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16,576</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(1,874 )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14,730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45,427</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(3,281 )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42,155</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16,860</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(1,180 )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15,680</w:t>
            </w:r>
          </w:p>
        </w:tc>
      </w:tr>
      <w:tr>
        <w:trPr>
          <w:trHeight w:val="239"/>
        </w:trPr>
        <w:tc>
          <w:tcPr>
            <w:tcW w:w="20" w:type="dxa"/>
            <w:vAlign w:val="bottom"/>
          </w:tcPr>
          <w:p>
            <w:pPr>
              <w:spacing w:after="0"/>
              <w:rPr>
                <w:sz w:val="20"/>
                <w:szCs w:val="20"/>
                <w:color w:val="auto"/>
              </w:rPr>
            </w:pPr>
          </w:p>
        </w:tc>
        <w:tc>
          <w:tcPr>
            <w:tcW w:w="4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6,974</w:t>
            </w:r>
          </w:p>
        </w:tc>
        <w:tc>
          <w:tcPr>
            <w:tcW w:w="5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(665 )</w:t>
            </w:r>
          </w:p>
        </w:tc>
        <w:tc>
          <w:tcPr>
            <w:tcW w:w="5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6,324</w:t>
            </w:r>
          </w:p>
        </w:tc>
      </w:tr>
      <w:tr>
        <w:trPr>
          <w:trHeight w:val="247"/>
        </w:trPr>
        <w:tc>
          <w:tcPr>
            <w:tcW w:w="20" w:type="dxa"/>
            <w:vAlign w:val="bottom"/>
            <w:shd w:val="clear" w:color="auto" w:fill="CFF0FC"/>
          </w:tcPr>
          <w:p>
            <w:pPr>
              <w:spacing w:after="0"/>
              <w:rPr>
                <w:sz w:val="21"/>
                <w:szCs w:val="21"/>
                <w:color w:val="auto"/>
              </w:rPr>
            </w:pPr>
          </w:p>
        </w:tc>
        <w:tc>
          <w:tcPr>
            <w:tcW w:w="442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13,221</w:t>
            </w:r>
          </w:p>
        </w:tc>
        <w:tc>
          <w:tcPr>
            <w:tcW w:w="5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(1,293 )</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11,928</w:t>
            </w: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76,819</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(3,178 )</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73,761</w:t>
            </w:r>
          </w:p>
        </w:tc>
      </w:tr>
      <w:tr>
        <w:trPr>
          <w:trHeight w:val="241"/>
        </w:trPr>
        <w:tc>
          <w:tcPr>
            <w:tcW w:w="20" w:type="dxa"/>
            <w:vAlign w:val="bottom"/>
            <w:shd w:val="clear" w:color="auto" w:fill="CFF0FC"/>
          </w:tcPr>
          <w:p>
            <w:pPr>
              <w:spacing w:after="0"/>
              <w:rPr>
                <w:sz w:val="20"/>
                <w:szCs w:val="20"/>
                <w:color w:val="auto"/>
              </w:rPr>
            </w:pPr>
          </w:p>
        </w:tc>
        <w:tc>
          <w:tcPr>
            <w:tcW w:w="44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179,637</w:t>
            </w:r>
          </w:p>
        </w:tc>
        <w:tc>
          <w:tcPr>
            <w:tcW w:w="5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(11,775 )</w:t>
            </w:r>
          </w:p>
        </w:tc>
        <w:tc>
          <w:tcPr>
            <w:tcW w:w="5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r>
        <w:trPr>
          <w:trHeight w:val="239"/>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440" w:type="dxa"/>
            <w:vAlign w:val="bottom"/>
            <w:tcBorders>
              <w:bottom w:val="single" w:sz="8" w:color="auto"/>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held-to-maturity</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179,286</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(11,775 )</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amortized cost and estimated fair value of debt investments at March 31, 2024 by contractual maturity are shown below. Expected maturities may differ from contractual maturities because borrowers may have the right to call or prepay obligations with or without penalties.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900" w:type="dxa"/>
            <w:vAlign w:val="bottom"/>
            <w:tcBorders>
              <w:bottom w:val="single" w:sz="8" w:color="auto"/>
            </w:tcBorders>
          </w:tcPr>
          <w:p>
            <w:pPr>
              <w:spacing w:after="0"/>
              <w:rPr>
                <w:sz w:val="21"/>
                <w:szCs w:val="21"/>
                <w:color w:val="auto"/>
              </w:rPr>
            </w:pPr>
          </w:p>
        </w:tc>
      </w:tr>
      <w:tr>
        <w:trPr>
          <w:trHeight w:val="234"/>
        </w:trPr>
        <w:tc>
          <w:tcPr>
            <w:tcW w:w="4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4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4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16,463</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16,663</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1,922</w:t>
            </w:r>
          </w:p>
        </w:tc>
        <w:tc>
          <w:tcPr>
            <w:tcW w:w="7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1,904</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9,001</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8,532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20,500</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20,012</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44,936</w:t>
            </w:r>
          </w:p>
        </w:tc>
        <w:tc>
          <w:tcPr>
            <w:tcW w:w="7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41,728</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41,877</w:t>
            </w:r>
          </w:p>
        </w:tc>
        <w:tc>
          <w:tcPr>
            <w:tcW w:w="7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38,211</w:t>
            </w:r>
          </w:p>
        </w:tc>
      </w:tr>
      <w:tr>
        <w:trPr>
          <w:trHeight w:val="23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82,645</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81,493</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17,919</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16,056</w:t>
            </w:r>
          </w:p>
        </w:tc>
      </w:tr>
      <w:tr>
        <w:trPr>
          <w:trHeight w:val="241"/>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153,045</w:t>
            </w:r>
          </w:p>
        </w:tc>
        <w:tc>
          <w:tcPr>
            <w:tcW w:w="7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148,416</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82,218</w:t>
            </w:r>
          </w:p>
        </w:tc>
        <w:tc>
          <w:tcPr>
            <w:tcW w:w="7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76,183</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3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32,761</w:t>
            </w:r>
          </w:p>
        </w:tc>
        <w:tc>
          <w:tcPr>
            <w:tcW w:w="7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31,742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6,915</w:t>
            </w:r>
          </w:p>
        </w:tc>
        <w:tc>
          <w:tcPr>
            <w:tcW w:w="7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6,240</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13,958</w:t>
            </w:r>
          </w:p>
        </w:tc>
        <w:tc>
          <w:tcPr>
            <w:tcW w:w="7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13,009</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12,986</w:t>
            </w:r>
          </w:p>
        </w:tc>
        <w:tc>
          <w:tcPr>
            <w:tcW w:w="7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11,626</w:t>
            </w:r>
          </w:p>
        </w:tc>
      </w:tr>
      <w:tr>
        <w:trPr>
          <w:trHeight w:val="23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88,827</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85,639</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70,896</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68,319</w:t>
            </w:r>
          </w:p>
        </w:tc>
      </w:tr>
      <w:tr>
        <w:trPr>
          <w:trHeight w:val="276"/>
        </w:trPr>
        <w:tc>
          <w:tcPr>
            <w:tcW w:w="4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288,591</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278,806</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173,015</w:t>
            </w:r>
          </w:p>
        </w:tc>
        <w:tc>
          <w:tcPr>
            <w:tcW w:w="7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162,368</w:t>
            </w:r>
          </w:p>
        </w:tc>
      </w:tr>
      <w:tr>
        <w:trPr>
          <w:trHeight w:val="417"/>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 w:name="page15"/>
    <w:bookmarkEnd w:id="14"/>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March 31, 2024</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9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Individual</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(53 )</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10,680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(3,592 )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29,325</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(3,645 )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40,005</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(1,519 )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23,437</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(1,519 )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23,437</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3,354</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969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(205 )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13,480</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(212 )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14,449</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(955 )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14,756</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(1,069 )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22,532</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(5 )</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1,271</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(988 )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7,794</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(993 )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9,065</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(220 )</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23,903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(3,068 )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35,192</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(3,288 )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59,095</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(399 )</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44,599</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(10,685 )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127,338</w:t>
            </w:r>
          </w:p>
        </w:tc>
        <w:tc>
          <w:tcPr>
            <w:tcW w:w="96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(11,084 )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171,937</w:t>
            </w: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3,385</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(313 )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3,385</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(1,886 )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13,214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(1,888 )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14,001</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(2,934 )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33,310</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(2,934 )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33,310</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(943 )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10,748</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(943 )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10,748</w:t>
            </w: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(693 )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4,885</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(693 )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4,885</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(1,360 )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11,626</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(1,360 )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11,626</w:t>
            </w: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(2,713 )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56,175</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(2,713 )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56,175</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860" w:type="dxa"/>
            <w:vAlign w:val="bottom"/>
            <w:tcBorders>
              <w:bottom w:val="single" w:sz="8" w:color="auto"/>
            </w:tcBorders>
            <w:gridSpan w:val="2"/>
            <w:vMerge w:val="continue"/>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gridSpan w:val="2"/>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(2 )</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787</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(10,842 )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133,343</w:t>
            </w:r>
          </w:p>
        </w:tc>
        <w:tc>
          <w:tcPr>
            <w:tcW w:w="9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(10,844 )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134,130</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90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Number of</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Individual</w:t>
            </w: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Individual</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Unrealized</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6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(13 )</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(3,246 )</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25,794</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(3,259 )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31,784</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(1,809 )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26,432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(1,809 )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26,432</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(365 )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4,351</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(65 )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5,907</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(294 )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13,985</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(359 )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19,892</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(1,071 )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14,931</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(1,085 )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17,408</w:t>
            </w: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(995 )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8,123</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(995 )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8,123</w:t>
            </w:r>
          </w:p>
        </w:tc>
        <w:tc>
          <w:tcPr>
            <w:tcW w:w="0" w:type="dxa"/>
            <w:vAlign w:val="bottom"/>
          </w:tcPr>
          <w:p>
            <w:pPr>
              <w:spacing w:after="0"/>
              <w:rPr>
                <w:sz w:val="1"/>
                <w:szCs w:val="1"/>
                <w:color w:val="auto"/>
              </w:rPr>
            </w:pPr>
          </w:p>
        </w:tc>
      </w:tr>
      <w:tr>
        <w:trPr>
          <w:trHeight w:val="18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(274 )</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18,067</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8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(3,571 )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46,483</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(3,845 )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64,550</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(366 )</w:t>
            </w:r>
          </w:p>
        </w:tc>
        <w:tc>
          <w:tcPr>
            <w:tcW w:w="2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32,441</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(11,351 )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140,099</w:t>
            </w:r>
          </w:p>
        </w:tc>
        <w:tc>
          <w:tcPr>
            <w:tcW w:w="960" w:type="dxa"/>
            <w:vAlign w:val="bottom"/>
            <w:tcBorders>
              <w:bottom w:val="single" w:sz="8" w:color="auto"/>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(11,717 )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172,540</w:t>
            </w:r>
          </w:p>
        </w:tc>
        <w:tc>
          <w:tcPr>
            <w:tcW w:w="0" w:type="dxa"/>
            <w:vAlign w:val="bottom"/>
          </w:tcPr>
          <w:p>
            <w:pPr>
              <w:spacing w:after="0"/>
              <w:rPr>
                <w:sz w:val="1"/>
                <w:szCs w:val="1"/>
                <w:color w:val="auto"/>
              </w:rPr>
            </w:pPr>
          </w:p>
        </w:tc>
      </w:tr>
      <w:tr>
        <w:trPr>
          <w:trHeight w:val="156"/>
        </w:trPr>
        <w:tc>
          <w:tcPr>
            <w:tcW w:w="2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3,456</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(304 )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3,456</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(1,872 )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12,718</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(1,874 )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13,293</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(61 )</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(3,220 )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33,532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(3,281 )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33,971</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(8 )</w:t>
            </w:r>
          </w:p>
        </w:tc>
        <w:tc>
          <w:tcPr>
            <w:tcW w:w="2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8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(1,172 )</w:t>
            </w:r>
          </w:p>
        </w:tc>
        <w:tc>
          <w:tcPr>
            <w:tcW w:w="18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10,652</w:t>
            </w: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(1,180 )</w:t>
            </w:r>
          </w:p>
        </w:tc>
        <w:tc>
          <w:tcPr>
            <w:tcW w:w="22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13,529</w:t>
            </w:r>
          </w:p>
        </w:tc>
        <w:tc>
          <w:tcPr>
            <w:tcW w:w="0" w:type="dxa"/>
            <w:vAlign w:val="bottom"/>
          </w:tcPr>
          <w:p>
            <w:pPr>
              <w:spacing w:after="0"/>
              <w:rPr>
                <w:sz w:val="1"/>
                <w:szCs w:val="1"/>
                <w:color w:val="auto"/>
              </w:rPr>
            </w:pPr>
          </w:p>
        </w:tc>
      </w:tr>
      <w:tr>
        <w:trPr>
          <w:trHeight w:val="17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(665 )</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4,942</w:t>
            </w: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(665 )</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4,942</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(1,293 )</w:t>
            </w:r>
          </w:p>
        </w:tc>
        <w:tc>
          <w:tcPr>
            <w:tcW w:w="1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11,928</w:t>
            </w:r>
          </w:p>
        </w:tc>
        <w:tc>
          <w:tcPr>
            <w:tcW w:w="9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(1,293 )</w:t>
            </w:r>
          </w:p>
        </w:tc>
        <w:tc>
          <w:tcPr>
            <w:tcW w:w="22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11,928</w:t>
            </w: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(38 )</w:t>
            </w:r>
          </w:p>
        </w:tc>
        <w:tc>
          <w:tcPr>
            <w:tcW w:w="26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5,827</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(3,140 )</w:t>
            </w:r>
          </w:p>
        </w:tc>
        <w:tc>
          <w:tcPr>
            <w:tcW w:w="18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60,260</w:t>
            </w:r>
          </w:p>
        </w:tc>
        <w:tc>
          <w:tcPr>
            <w:tcW w:w="9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(3,178 )</w:t>
            </w:r>
          </w:p>
        </w:tc>
        <w:tc>
          <w:tcPr>
            <w:tcW w:w="2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66,087</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860" w:type="dxa"/>
            <w:vAlign w:val="bottom"/>
            <w:tcBorders>
              <w:bottom w:val="single" w:sz="8" w:color="auto"/>
            </w:tcBorders>
            <w:gridSpan w:val="2"/>
            <w:vMerge w:val="continue"/>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gridSpan w:val="2"/>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(109 )</w:t>
            </w:r>
          </w:p>
        </w:tc>
        <w:tc>
          <w:tcPr>
            <w:tcW w:w="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9,718</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(11,666 )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137,488</w:t>
            </w:r>
          </w:p>
        </w:tc>
        <w:tc>
          <w:tcPr>
            <w:tcW w:w="9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(11,775 )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147,206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jc w:val="both"/>
        <w:ind w:firstLine="8"/>
        <w:spacing w:after="0" w:line="242" w:lineRule="auto"/>
        <w:tabs>
          <w:tab w:leader="none" w:pos="28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3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any individual security categorized as available-for-sale ("AFS") or held-to-maturity ("HTM") is less than its amortized cost basis, an assessment is made as to whether or not a charge to current earnings for credit loss is required. In assessing potential credit losses, management also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credit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AFS, with an aggregate amortized historical cost of $288.8 million, had an aggregate fair value that was less than its aggregate amortized historical cost by $10.7 million</w:t>
      </w:r>
      <w:r>
        <w:rPr>
          <w:rFonts w:ascii="Times New Roman" w:cs="Times New Roman" w:eastAsia="Times New Roman" w:hAnsi="Times New Roman"/>
          <w:sz w:val="20"/>
          <w:szCs w:val="20"/>
          <w:color w:val="404040"/>
        </w:rPr>
        <w:t>,</w:t>
      </w:r>
      <w:r>
        <w:rPr>
          <w:rFonts w:ascii="Times New Roman" w:cs="Times New Roman" w:eastAsia="Times New Roman" w:hAnsi="Times New Roman"/>
          <w:sz w:val="20"/>
          <w:szCs w:val="20"/>
          <w:color w:val="auto"/>
        </w:rPr>
        <w:t xml:space="preserve"> or -3.7%, at March 31, 2024. The AFS securities portfolio, with an aggregate amortized historical cost of $268.8 million, had an aggregate fair value that was less than its aggregate amortized historical cost by $11.7 million, or -4.4%, at December 31, 2023. The resultant $1.0 million total improvement in the fair value of the AFS investment portfolio's aggregate fair value relative to its aggregate amortized historical cost, in the three months ended March 31, 2024,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three months ended March 31, 2024 did not represent any changes in credit loss estimations within the portfolio.</w:t>
      </w: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HTM, with an aggregate amortized historical cost of $172.6 million, had an aggregate fair value that was less than its aggregate amortized historical cost by $10.8 million, or -6.3%, at March 31, 2024. The portion of the investment securities portfolio, categorized as HTM, with an aggregate amortized historical cost of $179.3 million, had an aggregate fair value that was less than its aggregate amortized historical cost by $11.8 million, or -6.6%, at December 31, 2023. The resultant $1.0 million reduction in the aggregate fair value of the HTM investment portfolio, relative to its aggregate amortized historical cost, during the three months ended March 31, 2024,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three months ended March 31, 2024 did not represent any changes in credit loss estimations within the portfolio. The Company does not intend to sell these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securities, nor is it more likely than not that the Company will be required to sell these securities prior to the recovery of the amortized cost.</w:t>
      </w: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depicts a rollforward of the allowance for credit losses on investment securities classified as held-to-maturity for the three months ended March 31,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Securities Issued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Government Issued and</w:t>
            </w:r>
          </w:p>
        </w:tc>
        <w:tc>
          <w:tcPr>
            <w:tcW w:w="18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Mortgage and</w:t>
            </w:r>
          </w:p>
        </w:tc>
        <w:tc>
          <w:tcPr>
            <w:tcW w:w="20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By State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Government Sponsored</w:t>
            </w:r>
          </w:p>
        </w:tc>
        <w:tc>
          <w:tcPr>
            <w:tcW w:w="18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Political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47"/>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on purchased financial assets</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credit deterioration</w:t>
            </w:r>
          </w:p>
        </w:tc>
        <w:tc>
          <w:tcPr>
            <w:tcW w:w="30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3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425"/>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Issued and</w:t>
            </w:r>
          </w:p>
        </w:tc>
        <w:tc>
          <w:tcPr>
            <w:tcW w:w="16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and</w:t>
            </w:r>
          </w:p>
        </w:tc>
        <w:tc>
          <w:tcPr>
            <w:tcW w:w="2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By State</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Sponsored</w:t>
            </w:r>
          </w:p>
        </w:tc>
        <w:tc>
          <w:tcPr>
            <w:tcW w:w="16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Political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300" w:type="dxa"/>
            <w:vAlign w:val="bottom"/>
          </w:tcPr>
          <w:p>
            <w:pPr>
              <w:spacing w:after="0"/>
              <w:rPr>
                <w:sz w:val="20"/>
                <w:szCs w:val="20"/>
                <w:color w:val="auto"/>
              </w:rPr>
            </w:pPr>
          </w:p>
        </w:tc>
        <w:tc>
          <w:tcPr>
            <w:tcW w:w="1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 for the adoption of ASU 2016-13</w:t>
            </w:r>
          </w:p>
        </w:tc>
        <w:tc>
          <w:tcPr>
            <w:tcW w:w="17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5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Allowance on purchased financial assets with</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deterioration</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Charge-offs of securities</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3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300" w:type="dxa"/>
            <w:vAlign w:val="bottom"/>
            <w:tcBorders>
              <w:bottom w:val="single" w:sz="8" w:color="auto"/>
            </w:tcBorders>
            <w:shd w:val="clear" w:color="auto" w:fill="CFF0FC"/>
          </w:tcPr>
          <w:p>
            <w:pPr>
              <w:spacing w:after="0"/>
              <w:rPr>
                <w:sz w:val="24"/>
                <w:szCs w:val="24"/>
                <w:color w:val="auto"/>
              </w:rPr>
            </w:pPr>
          </w:p>
        </w:tc>
        <w:tc>
          <w:tcPr>
            <w:tcW w:w="17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monitors the credit quality of the debt securities categorized as HTM primarily through the use of NRSRO credit ratings. These assessments are made on a quarterly basis. The following tables summarizes the amortized cost of debt securities categorized as HTM at March 31, 2024 and December 31, 2023, aggregated by credit quality indicators: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7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 or equivalent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37,202</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42,476</w:t>
            </w:r>
          </w:p>
        </w:tc>
      </w:tr>
      <w:tr>
        <w:trPr>
          <w:trHeight w:val="215"/>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AA or equivalent, including securities issued by the United States</w:t>
            </w:r>
          </w:p>
        </w:tc>
        <w:tc>
          <w:tcPr>
            <w:tcW w:w="380" w:type="dxa"/>
            <w:vAlign w:val="bottom"/>
            <w:shd w:val="clear" w:color="auto" w:fill="CFF0FC"/>
          </w:tcPr>
          <w:p>
            <w:pPr>
              <w:spacing w:after="0"/>
              <w:rPr>
                <w:sz w:val="18"/>
                <w:szCs w:val="18"/>
                <w:color w:val="auto"/>
              </w:rPr>
            </w:pPr>
          </w:p>
        </w:tc>
        <w:tc>
          <w:tcPr>
            <w:tcW w:w="2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r>
      <w:tr>
        <w:trPr>
          <w:trHeight w:val="248"/>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or Government Sponsored Enterprises</w:t>
            </w:r>
          </w:p>
        </w:tc>
        <w:tc>
          <w:tcPr>
            <w:tcW w:w="380" w:type="dxa"/>
            <w:vAlign w:val="bottom"/>
            <w:shd w:val="clear" w:color="auto" w:fill="CFF0FC"/>
          </w:tcPr>
          <w:p>
            <w:pPr>
              <w:spacing w:after="0"/>
              <w:rPr>
                <w:sz w:val="21"/>
                <w:szCs w:val="21"/>
                <w:color w:val="auto"/>
              </w:rPr>
            </w:pPr>
          </w:p>
        </w:tc>
        <w:tc>
          <w:tcPr>
            <w:tcW w:w="2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46,308</w:t>
            </w:r>
          </w:p>
        </w:tc>
        <w:tc>
          <w:tcPr>
            <w:tcW w:w="760" w:type="dxa"/>
            <w:vAlign w:val="bottom"/>
            <w:shd w:val="clear" w:color="auto" w:fill="CFF0FC"/>
          </w:tcPr>
          <w:p>
            <w:pPr>
              <w:spacing w:after="0"/>
              <w:rPr>
                <w:sz w:val="21"/>
                <w:szCs w:val="21"/>
                <w:color w:val="auto"/>
              </w:rPr>
            </w:pPr>
          </w:p>
        </w:tc>
        <w:tc>
          <w:tcPr>
            <w:tcW w:w="2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49,479</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or equivalent</w:t>
            </w:r>
          </w:p>
        </w:tc>
        <w:tc>
          <w:tcPr>
            <w:tcW w:w="3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18,945</w:t>
            </w:r>
          </w:p>
        </w:tc>
        <w:tc>
          <w:tcPr>
            <w:tcW w:w="76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19,021</w:t>
            </w: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BBB or equivalent</w:t>
            </w:r>
          </w:p>
        </w:tc>
        <w:tc>
          <w:tcPr>
            <w:tcW w:w="380" w:type="dxa"/>
            <w:vAlign w:val="bottom"/>
            <w:shd w:val="clear" w:color="auto" w:fill="CFF0FC"/>
          </w:tcPr>
          <w:p>
            <w:pPr>
              <w:spacing w:after="0"/>
              <w:rPr>
                <w:sz w:val="21"/>
                <w:szCs w:val="21"/>
                <w:color w:val="auto"/>
              </w:rPr>
            </w:pPr>
          </w:p>
        </w:tc>
        <w:tc>
          <w:tcPr>
            <w:tcW w:w="2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760" w:type="dxa"/>
            <w:vAlign w:val="bottom"/>
            <w:shd w:val="clear" w:color="auto" w:fill="CFF0FC"/>
          </w:tcPr>
          <w:p>
            <w:pPr>
              <w:spacing w:after="0"/>
              <w:rPr>
                <w:sz w:val="21"/>
                <w:szCs w:val="21"/>
                <w:color w:val="auto"/>
              </w:rPr>
            </w:pPr>
          </w:p>
        </w:tc>
        <w:tc>
          <w:tcPr>
            <w:tcW w:w="2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16,304</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 or equivalent</w:t>
            </w:r>
          </w:p>
        </w:tc>
        <w:tc>
          <w:tcPr>
            <w:tcW w:w="380" w:type="dxa"/>
            <w:vAlign w:val="bottom"/>
          </w:tcPr>
          <w:p>
            <w:pPr>
              <w:spacing w:after="0"/>
              <w:rPr>
                <w:sz w:val="20"/>
                <w:szCs w:val="20"/>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76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r>
      <w:tr>
        <w:trPr>
          <w:trHeight w:val="243"/>
        </w:trPr>
        <w:tc>
          <w:tcPr>
            <w:tcW w:w="5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Unrated</w:t>
            </w:r>
          </w:p>
        </w:tc>
        <w:tc>
          <w:tcPr>
            <w:tcW w:w="380" w:type="dxa"/>
            <w:vAlign w:val="bottom"/>
            <w:tcBorders>
              <w:bottom w:val="single" w:sz="8" w:color="auto"/>
            </w:tcBorders>
            <w:shd w:val="clear" w:color="auto" w:fill="CFF0FC"/>
          </w:tcPr>
          <w:p>
            <w:pPr>
              <w:spacing w:after="0"/>
              <w:rPr>
                <w:sz w:val="21"/>
                <w:szCs w:val="21"/>
                <w:color w:val="auto"/>
              </w:rPr>
            </w:pPr>
          </w:p>
        </w:tc>
        <w:tc>
          <w:tcPr>
            <w:tcW w:w="2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76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51,374</w:t>
            </w:r>
          </w:p>
        </w:tc>
      </w:tr>
      <w:tr>
        <w:trPr>
          <w:trHeight w:val="237"/>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173,015</w:t>
            </w:r>
          </w:p>
        </w:tc>
        <w:tc>
          <w:tcPr>
            <w:tcW w:w="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179,637</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417"/>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16</w:t>
            </w:r>
            <w:r>
              <w:rPr>
                <w:rFonts w:ascii="Times New Roman" w:cs="Times New Roman" w:eastAsia="Times New Roman" w:hAnsi="Times New Roman"/>
                <w:sz w:val="18"/>
                <w:szCs w:val="18"/>
                <w:color w:val="auto"/>
                <w:w w:val="97"/>
              </w:rPr>
              <w:t xml:space="preserve"> -</w:t>
            </w: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763"/>
        </w:trPr>
        <w:tc>
          <w:tcPr>
            <w:tcW w:w="5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jc w:val="both"/>
        <w:spacing w:after="0" w:line="269" w:lineRule="auto"/>
        <w:rPr>
          <w:sz w:val="20"/>
          <w:szCs w:val="20"/>
          <w:color w:val="auto"/>
        </w:rPr>
      </w:pPr>
      <w:r>
        <w:rPr>
          <w:rFonts w:ascii="Times New Roman" w:cs="Times New Roman" w:eastAsia="Times New Roman" w:hAnsi="Times New Roman"/>
          <w:sz w:val="20"/>
          <w:szCs w:val="20"/>
          <w:color w:val="auto"/>
        </w:rPr>
        <w:t>Gross realized (losses) gains on sales and redemptions of available-for-sale and held-to-maturity securities for the indicated periods are detailed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For the three months</w:t>
            </w:r>
          </w:p>
        </w:tc>
        <w:tc>
          <w:tcPr>
            <w:tcW w:w="1120" w:type="dxa"/>
            <w:vAlign w:val="bottom"/>
          </w:tcPr>
          <w:p>
            <w:pPr>
              <w:spacing w:after="0"/>
              <w:rPr>
                <w:sz w:val="20"/>
                <w:szCs w:val="20"/>
                <w:color w:val="auto"/>
              </w:rPr>
            </w:pPr>
          </w:p>
        </w:tc>
      </w:tr>
      <w:tr>
        <w:trPr>
          <w:trHeight w:val="250"/>
        </w:trPr>
        <w:tc>
          <w:tcPr>
            <w:tcW w:w="65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ended March 31,</w:t>
            </w:r>
          </w:p>
        </w:tc>
        <w:tc>
          <w:tcPr>
            <w:tcW w:w="1120" w:type="dxa"/>
            <w:vAlign w:val="bottom"/>
            <w:tcBorders>
              <w:bottom w:val="single" w:sz="8" w:color="auto"/>
            </w:tcBorders>
          </w:tcPr>
          <w:p>
            <w:pPr>
              <w:spacing w:after="0"/>
              <w:rPr>
                <w:sz w:val="21"/>
                <w:szCs w:val="21"/>
                <w:color w:val="auto"/>
              </w:rPr>
            </w:pPr>
          </w:p>
        </w:tc>
      </w:tr>
      <w:tr>
        <w:trPr>
          <w:trHeight w:val="23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1"/>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734</w:t>
            </w:r>
          </w:p>
        </w:tc>
        <w:tc>
          <w:tcPr>
            <w:tcW w:w="12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r>
      <w:tr>
        <w:trPr>
          <w:trHeight w:val="239"/>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Realized losses on investments</w:t>
            </w: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(882 )</w:t>
            </w:r>
          </w:p>
        </w:tc>
        <w:tc>
          <w:tcPr>
            <w:tcW w:w="1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(1,948 )</w:t>
            </w:r>
          </w:p>
        </w:tc>
      </w:tr>
      <w:tr>
        <w:trPr>
          <w:trHeight w:val="277"/>
        </w:trPr>
        <w:tc>
          <w:tcPr>
            <w:tcW w:w="6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(148 )</w:t>
            </w:r>
          </w:p>
        </w:tc>
        <w:tc>
          <w:tcPr>
            <w:tcW w:w="122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2024 and December 31, 2023, securities with a fair value of $155.2 million and $110.3 million, respectively, were pledged to collateralize certain municipal deposit relationships. As of the same dates, securities with a fair value of $97.6 million and $114.3 million, respectively, were pledged against certain borrowing arrangements.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Pension and Postretirement Benefits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net periodic pension plan and postretirement plan costs for the indicated periods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6"/>
                <w:szCs w:val="16"/>
                <w:color w:val="auto"/>
              </w:rPr>
              <w:t>Pension Benefits</w:t>
            </w:r>
          </w:p>
        </w:tc>
        <w:tc>
          <w:tcPr>
            <w:tcW w:w="5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Postretirement Benefits</w:t>
            </w:r>
          </w:p>
        </w:tc>
        <w:tc>
          <w:tcPr>
            <w:tcW w:w="640" w:type="dxa"/>
            <w:vAlign w:val="bottom"/>
            <w:tcBorders>
              <w:bottom w:val="single" w:sz="8" w:color="auto"/>
            </w:tcBorders>
          </w:tcPr>
          <w:p>
            <w:pPr>
              <w:spacing w:after="0"/>
              <w:rPr>
                <w:sz w:val="19"/>
                <w:szCs w:val="19"/>
                <w:color w:val="auto"/>
              </w:rPr>
            </w:pPr>
          </w:p>
        </w:tc>
      </w:tr>
      <w:tr>
        <w:trPr>
          <w:trHeight w:val="223"/>
        </w:trPr>
        <w:tc>
          <w:tcPr>
            <w:tcW w:w="4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2023</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r>
      <w:tr>
        <w:trPr>
          <w:trHeight w:val="23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5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5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139</w:t>
            </w:r>
          </w:p>
        </w:tc>
        <w:tc>
          <w:tcPr>
            <w:tcW w:w="30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140</w:t>
            </w:r>
          </w:p>
        </w:tc>
        <w:tc>
          <w:tcPr>
            <w:tcW w:w="54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96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r>
      <w:tr>
        <w:trPr>
          <w:trHeight w:val="23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(253 )</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(241 )</w:t>
            </w:r>
          </w:p>
        </w:tc>
        <w:tc>
          <w:tcPr>
            <w:tcW w:w="5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credits</w:t>
            </w:r>
          </w:p>
        </w:tc>
        <w:tc>
          <w:tcPr>
            <w:tcW w:w="5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(1 )</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3"/>
        </w:trPr>
        <w:tc>
          <w:tcPr>
            <w:tcW w:w="4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losses</w:t>
            </w:r>
          </w:p>
        </w:tc>
        <w:tc>
          <w:tcPr>
            <w:tcW w:w="5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57</w:t>
            </w:r>
          </w:p>
        </w:tc>
        <w:tc>
          <w:tcPr>
            <w:tcW w:w="5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(1 )</w:t>
            </w:r>
          </w:p>
        </w:tc>
        <w:tc>
          <w:tcPr>
            <w:tcW w:w="9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periodic benefit plan (benefit) cost</w:t>
            </w: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(74 )</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(44 )</w:t>
            </w:r>
          </w:p>
        </w:tc>
        <w:tc>
          <w:tcPr>
            <w:tcW w:w="5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will evaluate the need for further contributions to the defined benefit pension plan during 2024. The prepaid pension asset of $7.6 million and $7.5 million as of March 31, 2024 and December 31, 2023 respectively, is recorded in other assets on the consolidated statements of condition.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Note 6:  Loans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Major classifications of loans at the indicated dates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7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2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252,026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257,604</w:t>
            </w: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27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1,689</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r>
      <w:tr>
        <w:trPr>
          <w:trHeight w:val="239"/>
        </w:trPr>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Loans held-for-sale</w:t>
            </w:r>
          </w:p>
        </w:tc>
        <w:tc>
          <w:tcPr>
            <w:tcW w:w="2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27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253,715</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258,959</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2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27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363,467</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358,707</w:t>
            </w: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27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67,416</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72,069</w:t>
            </w: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27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91,178</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89,803</w:t>
            </w: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27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5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27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3,374</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r>
      <w:tr>
        <w:trPr>
          <w:trHeight w:val="237"/>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2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525,582</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524,167</w:t>
            </w:r>
          </w:p>
        </w:tc>
      </w:tr>
      <w:tr>
        <w:trPr>
          <w:trHeight w:val="241"/>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27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270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35,723</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34,858</w:t>
            </w:r>
          </w:p>
        </w:tc>
      </w:tr>
      <w:tr>
        <w:trPr>
          <w:trHeight w:val="243"/>
        </w:trPr>
        <w:tc>
          <w:tcPr>
            <w:tcW w:w="5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27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77,106</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79,797</w:t>
            </w:r>
          </w:p>
        </w:tc>
      </w:tr>
      <w:tr>
        <w:trPr>
          <w:trHeight w:val="236"/>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27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112,829</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114,655</w:t>
            </w:r>
          </w:p>
        </w:tc>
      </w:tr>
      <w:tr>
        <w:trPr>
          <w:trHeight w:val="237"/>
        </w:trPr>
        <w:tc>
          <w:tcPr>
            <w:tcW w:w="5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7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892,126</w:t>
            </w:r>
          </w:p>
        </w:tc>
        <w:tc>
          <w:tcPr>
            <w:tcW w:w="4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897,781</w:t>
            </w:r>
          </w:p>
        </w:tc>
      </w:tr>
      <w:tr>
        <w:trPr>
          <w:trHeight w:val="237"/>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deferred loan fees</w:t>
            </w:r>
          </w:p>
        </w:tc>
        <w:tc>
          <w:tcPr>
            <w:tcW w:w="27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(595 )</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r>
      <w:tr>
        <w:trPr>
          <w:trHeight w:val="243"/>
        </w:trPr>
        <w:tc>
          <w:tcPr>
            <w:tcW w:w="5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7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16,655</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r>
      <w:tr>
        <w:trPr>
          <w:trHeight w:val="237"/>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2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874,876</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881,232</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9" w:name="page20"/>
    <w:bookmarkEnd w:id="19"/>
    <w:p>
      <w:pPr>
        <w:jc w:val="both"/>
        <w:spacing w:after="0" w:line="249" w:lineRule="auto"/>
        <w:rPr>
          <w:sz w:val="20"/>
          <w:szCs w:val="20"/>
          <w:color w:val="auto"/>
        </w:rPr>
      </w:pPr>
      <w:r>
        <w:rPr>
          <w:rFonts w:ascii="Times New Roman" w:cs="Times New Roman" w:eastAsia="Times New Roman" w:hAnsi="Times New Roman"/>
          <w:sz w:val="20"/>
          <w:szCs w:val="20"/>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The following tables detail the purchased loan pool positions held by the Bank at March 31, 2024 and December 31, 2023 (the month/year of the earliest acquisition date is depicted in parentheses):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2024</w:t>
            </w: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Unamortiz</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w:t>
            </w:r>
          </w:p>
        </w:tc>
      </w:tr>
      <w:tr>
        <w:trPr>
          <w:trHeight w:val="216"/>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ed</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ve net</w:t>
            </w:r>
          </w:p>
        </w:tc>
      </w:tr>
      <w:tr>
        <w:trPr>
          <w:trHeight w:val="216"/>
        </w:trPr>
        <w:tc>
          <w:tcPr>
            <w:tcW w:w="51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Original</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2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charge-</w:t>
            </w:r>
          </w:p>
        </w:tc>
      </w:tr>
      <w:tr>
        <w:trPr>
          <w:trHeight w:val="241"/>
        </w:trPr>
        <w:tc>
          <w:tcPr>
            <w:tcW w:w="5120" w:type="dxa"/>
            <w:vAlign w:val="bottom"/>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w:t>
            </w: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(Discount)</w:t>
            </w: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Loans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6,800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 years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installment loans pool 3 (12/2019)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15"/>
        </w:trPr>
        <w:tc>
          <w:tcPr>
            <w:tcW w:w="5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4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(1,414 )</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493</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5 (1/2021)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(388 )</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 year</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17,700</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(2,839 )</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6 (11/2021)</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18,100</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(2,212 )</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 years</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$ 169,300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84,800</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(6,478 )</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2,969</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Unamortiz</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w:t>
            </w:r>
          </w:p>
        </w:tc>
      </w:tr>
      <w:tr>
        <w:trPr>
          <w:trHeight w:val="216"/>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ed</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ve net</w:t>
            </w:r>
          </w:p>
        </w:tc>
      </w:tr>
      <w:tr>
        <w:trPr>
          <w:trHeight w:val="216"/>
        </w:trPr>
        <w:tc>
          <w:tcPr>
            <w:tcW w:w="51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Original</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Premium/</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22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charge-</w:t>
            </w:r>
          </w:p>
        </w:tc>
      </w:tr>
      <w:tr>
        <w:trPr>
          <w:trHeight w:val="241"/>
        </w:trPr>
        <w:tc>
          <w:tcPr>
            <w:tcW w:w="5120" w:type="dxa"/>
            <w:vAlign w:val="bottom"/>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w:t>
            </w: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(Discount)</w:t>
            </w: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Loans</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4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284</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installment loans pool 3 (12/2019)</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11"/>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10,600</w:t>
            </w: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(1,252 )</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 years</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5 (1/2021)</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15,600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(450 )</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644</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12,400</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 year</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4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18,000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(2,923 )</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 years</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commercial line of credit 2 (11/2021) paid in full at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12/11/23</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10,500</w:t>
            </w:r>
          </w:p>
        </w:tc>
        <w:tc>
          <w:tcPr>
            <w:tcW w:w="24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Unsecured consumer loans pool 6 (11/2021)</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22,200</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18,200</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(2,292 )</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 years</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$ 179,800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87,400</w:t>
            </w:r>
          </w:p>
        </w:tc>
        <w:tc>
          <w:tcPr>
            <w:tcW w:w="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(6,504 )</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3,093</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At March 31, 2024 and December 31, 2023, the ACL related to these pools were $2.1 million, respectively. As of March 31, 2024 and December 31, 2023, residential mortgage loans with a carrying value of $118.1 million and $113.6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0" w:name="page21"/>
    <w:bookmarkEnd w:id="20"/>
    <w:p>
      <w:pPr>
        <w:jc w:val="both"/>
        <w:spacing w:after="0" w:line="269" w:lineRule="auto"/>
        <w:rPr>
          <w:sz w:val="20"/>
          <w:szCs w:val="20"/>
          <w:color w:val="auto"/>
        </w:rPr>
      </w:pPr>
      <w:r>
        <w:rPr>
          <w:rFonts w:ascii="Times New Roman" w:cs="Times New Roman" w:eastAsia="Times New Roman" w:hAnsi="Times New Roman"/>
          <w:sz w:val="20"/>
          <w:szCs w:val="20"/>
          <w:color w:val="auto"/>
        </w:rPr>
        <w:t>respectively, have been pledged by the Company to the Federal Home Loan Bank of New York (“FHLBNY”) under a blanket collateral agreement to secure the Company’s line of credit and term borrowings.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Origination / Risk Management</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lending policies and procedures are presented in Note 5 to the audited consolidated financial statements included in the 2023 Annual Report on Form 10-K filed with the Securities and Exchange Commission on March 22, 2024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illustrates the portfolio segments and classes for the Company’s loan portfolio:</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line="216" w:lineRule="exact"/>
              <w:rPr>
                <w:sz w:val="20"/>
                <w:szCs w:val="20"/>
                <w:color w:val="auto"/>
              </w:rPr>
            </w:pPr>
            <w:r>
              <w:rPr>
                <w:rFonts w:ascii="Times New Roman" w:cs="Times New Roman" w:eastAsia="Times New Roman" w:hAnsi="Times New Roman"/>
                <w:sz w:val="20"/>
                <w:szCs w:val="20"/>
                <w:b w:val="1"/>
                <w:bCs w:val="1"/>
                <w:color w:val="auto"/>
                <w:w w:val="97"/>
              </w:rPr>
              <w:t>Portfolio Segment</w:t>
            </w:r>
          </w:p>
        </w:tc>
        <w:tc>
          <w:tcPr>
            <w:tcW w:w="3120" w:type="dxa"/>
            <w:vAlign w:val="bottom"/>
            <w:tcBorders>
              <w:top w:val="single" w:sz="8" w:color="auto"/>
            </w:tcBorders>
          </w:tcPr>
          <w:p>
            <w:pPr>
              <w:spacing w:after="0"/>
              <w:rPr>
                <w:sz w:val="18"/>
                <w:szCs w:val="18"/>
                <w:color w:val="auto"/>
              </w:rPr>
            </w:pPr>
          </w:p>
        </w:tc>
        <w:tc>
          <w:tcPr>
            <w:tcW w:w="636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Class</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tcPr>
          <w:p>
            <w:pPr>
              <w:spacing w:after="0" w:line="20" w:lineRule="exact"/>
              <w:rPr>
                <w:sz w:val="1"/>
                <w:szCs w:val="1"/>
                <w:color w:val="auto"/>
              </w:rPr>
            </w:pPr>
          </w:p>
        </w:tc>
      </w:tr>
      <w:tr>
        <w:trPr>
          <w:trHeight w:val="538"/>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Construction</w:t>
            </w:r>
          </w:p>
        </w:tc>
      </w:tr>
      <w:tr>
        <w:trPr>
          <w:trHeight w:val="511"/>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r>
      <w:tr>
        <w:trPr>
          <w:trHeight w:val="257"/>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Lines of credit</w:t>
            </w:r>
          </w:p>
        </w:tc>
      </w:tr>
      <w:tr>
        <w:trPr>
          <w:trHeight w:val="256"/>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commercial and industrial</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Tax exempt loans</w:t>
            </w:r>
          </w:p>
        </w:tc>
      </w:tr>
      <w:tr>
        <w:trPr>
          <w:trHeight w:val="511"/>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Home equity and junior liens</w:t>
            </w:r>
          </w:p>
        </w:tc>
      </w:tr>
      <w:tr>
        <w:trPr>
          <w:trHeight w:val="262"/>
        </w:trPr>
        <w:tc>
          <w:tcPr>
            <w:tcW w:w="140" w:type="dxa"/>
            <w:vAlign w:val="bottom"/>
            <w:tcBorders>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spacing w:after="0"/>
              <w:rPr>
                <w:sz w:val="22"/>
                <w:szCs w:val="22"/>
                <w:color w:val="auto"/>
              </w:rPr>
            </w:pPr>
          </w:p>
        </w:tc>
        <w:tc>
          <w:tcPr>
            <w:tcW w:w="6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consumer</w:t>
            </w:r>
          </w:p>
        </w:tc>
      </w:tr>
      <w:tr>
        <w:trPr>
          <w:trHeight w:val="659"/>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p>
        </w:tc>
      </w:tr>
      <w:tr>
        <w:trPr>
          <w:trHeight w:val="763"/>
        </w:trPr>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1" w:name="page22"/>
    <w:bookmarkEnd w:id="21"/>
    <w:p>
      <w:pPr>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March 31, 2024, summarized by the aggregate pass rating and the classified ratings of special mention, substandard and doubtful within the Company's internal risk rating system as of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2021</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131,68</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337,85</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9,617</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45,928</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  66,860</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$ 54,896</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$ 28,871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14,009</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14,454</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2,988</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2,338</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739</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4,532</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11,097</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136,72</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363,46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9,617</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48,916</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81,369</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57,234</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29,610</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62,865</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2,339</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65,204</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158</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1,006</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 Lines of Credit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63,906</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3,510</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67,416</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4,586</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24,278</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15,331</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5,799</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5,090</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22,466</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4,357</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81,907</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2,204</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233</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2,496</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1,124</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929</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2,547</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1,405</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Commercial and Industrial</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4,586</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27,917</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16,455</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6,961</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5,889</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25,013</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4,357</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91,178</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Paycheck Protection Program</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Exempt Loans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3,118</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92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Tax Exempt Loans</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151</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3,118</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Revolving</w:t>
            </w:r>
          </w:p>
        </w:tc>
        <w:tc>
          <w:tcPr>
            <w:tcW w:w="26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converted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2021</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 term loans</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 family first-lien residential</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110,36</w:t>
            </w: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247,19</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16,860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31,333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49,447</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$ 38,987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1,452</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519</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2,533</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136</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1,336</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465</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0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1-4 family first-lien residential</w:t>
            </w: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112,68</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252,02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16,860</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31,333</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51,035</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39,912</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1,643</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Construction</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1,643</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4,404</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3,960</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2,244</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1,444</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716</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2,632</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18,662</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911</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34,973</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66</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Home Equity and Junior Liens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4,404</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3,960</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2,244</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1,510</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716</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2,688</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19,281</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920</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35,723</w:t>
            </w:r>
          </w:p>
        </w:tc>
        <w:tc>
          <w:tcPr>
            <w:tcW w:w="0" w:type="dxa"/>
            <w:vAlign w:val="bottom"/>
          </w:tcPr>
          <w:p>
            <w:pPr>
              <w:spacing w:after="0"/>
              <w:rPr>
                <w:sz w:val="1"/>
                <w:szCs w:val="1"/>
                <w:color w:val="auto"/>
              </w:rPr>
            </w:pPr>
          </w:p>
        </w:tc>
      </w:tr>
      <w:tr>
        <w:trPr>
          <w:trHeight w:val="22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Consumer:</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1,767</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64,726</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3,703</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2,957</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1,302</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2,578</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77,033</w:t>
            </w:r>
          </w:p>
        </w:tc>
        <w:tc>
          <w:tcPr>
            <w:tcW w:w="0" w:type="dxa"/>
            <w:vAlign w:val="bottom"/>
          </w:tcPr>
          <w:p>
            <w:pPr>
              <w:spacing w:after="0"/>
              <w:rPr>
                <w:sz w:val="1"/>
                <w:szCs w:val="1"/>
                <w:color w:val="auto"/>
              </w:rPr>
            </w:pPr>
          </w:p>
        </w:tc>
      </w:tr>
      <w:tr>
        <w:trPr>
          <w:trHeight w:val="220"/>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9"/>
        </w:trPr>
        <w:tc>
          <w:tcPr>
            <w:tcW w:w="2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w:t>
            </w:r>
          </w:p>
        </w:tc>
        <w:tc>
          <w:tcPr>
            <w:tcW w:w="7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Consumer</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1,767</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64,748</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3,707</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2,977</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1,310</w:t>
            </w: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2,597</w:t>
            </w: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77,106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Deferred Loan Fees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(496 )</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166</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(83 )</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(16 )</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(595 )</w:t>
            </w:r>
          </w:p>
        </w:tc>
        <w:tc>
          <w:tcPr>
            <w:tcW w:w="0" w:type="dxa"/>
            <w:vAlign w:val="bottom"/>
          </w:tcPr>
          <w:p>
            <w:pPr>
              <w:spacing w:after="0"/>
              <w:rPr>
                <w:sz w:val="1"/>
                <w:szCs w:val="1"/>
                <w:color w:val="auto"/>
              </w:rPr>
            </w:pPr>
          </w:p>
        </w:tc>
      </w:tr>
      <w:tr>
        <w:trPr>
          <w:trHeight w:val="202"/>
        </w:trPr>
        <w:tc>
          <w:tcPr>
            <w:tcW w:w="2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5"/>
              </w:rPr>
              <w:t>119,63</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282,57</w:t>
            </w: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891,53</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20,126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164,315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135,188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$ 77,719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87,544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4,430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Nonaccrual and Past Due Loans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ind w:right="20"/>
        <w:spacing w:after="0" w:line="269" w:lineRule="auto"/>
        <w:rPr>
          <w:sz w:val="20"/>
          <w:szCs w:val="20"/>
          <w:color w:val="auto"/>
        </w:rPr>
      </w:pPr>
      <w:r>
        <w:rPr>
          <w:rFonts w:ascii="Times New Roman" w:cs="Times New Roman" w:eastAsia="Times New Roman" w:hAnsi="Times New Roman"/>
          <w:sz w:val="20"/>
          <w:szCs w:val="20"/>
          <w:color w:val="auto"/>
        </w:rPr>
        <w:t>An aging analysis of past due loans, not including net deferred loan costs, segregated by portfolio segment and class of loans, as of March 31, 2024 and December 31, 2023, are detailed in the following tables: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w w:val="99"/>
              </w:rPr>
              <w:t>As of March 31, 2024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473"/>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30-59 Days</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60-89 Days</w:t>
            </w:r>
          </w:p>
        </w:tc>
        <w:tc>
          <w:tcPr>
            <w:tcW w:w="26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 Days</w:t>
            </w:r>
          </w:p>
        </w:tc>
        <w:tc>
          <w:tcPr>
            <w:tcW w:w="30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Past Due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and Over</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Receivable</w:t>
            </w: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246,957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252,026</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1,689</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1,689</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Loans held-for-sale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2,801</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1,775</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5,069</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248,646</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253,715</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16,078</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6,548</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23,203</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340,264</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363,467</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1,541</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2,601</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64,815</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67,416</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6,356</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583</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6,799</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13,738</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77,440</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91,178</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3,374</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3,374</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23,975</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1,262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14,305</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39,542</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486,040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525,582</w:t>
            </w:r>
          </w:p>
        </w:tc>
      </w:tr>
      <w:tr>
        <w:trPr>
          <w:trHeight w:val="24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35,451</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35,723</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3,389</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4,460</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72,646</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77,106</w:t>
            </w:r>
          </w:p>
        </w:tc>
      </w:tr>
      <w:tr>
        <w:trPr>
          <w:trHeight w:val="23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606</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3,572</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4,732</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108,097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112,829</w:t>
            </w:r>
          </w:p>
        </w:tc>
      </w:tr>
      <w:tr>
        <w:trPr>
          <w:trHeight w:val="277"/>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27,382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2,309</w:t>
            </w:r>
          </w:p>
        </w:tc>
        <w:tc>
          <w:tcPr>
            <w:tcW w:w="2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19,652</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49,343</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842,783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892,126</w:t>
            </w:r>
          </w:p>
        </w:tc>
      </w:tr>
      <w:tr>
        <w:trPr>
          <w:trHeight w:val="464"/>
        </w:trPr>
        <w:tc>
          <w:tcPr>
            <w:tcW w:w="4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As of December 31, 2023</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473"/>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30-59 Days</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60-89 Days</w:t>
            </w:r>
          </w:p>
        </w:tc>
        <w:tc>
          <w:tcPr>
            <w:tcW w:w="26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 Days</w:t>
            </w:r>
          </w:p>
        </w:tc>
        <w:tc>
          <w:tcPr>
            <w:tcW w:w="30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Past Due</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and Over</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Receivable</w:t>
            </w: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2,269</w:t>
            </w:r>
          </w:p>
        </w:tc>
        <w:tc>
          <w:tcPr>
            <w:tcW w:w="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252,103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257,604</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w:t>
            </w:r>
          </w:p>
        </w:tc>
      </w:tr>
      <w:tr>
        <w:trPr>
          <w:trHeight w:val="239"/>
        </w:trPr>
        <w:tc>
          <w:tcPr>
            <w:tcW w:w="4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Loans held-for-sale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1,462</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2,269</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5,501</w:t>
            </w: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253,458</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258,959</w:t>
            </w: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5,385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5,053</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10,634</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348,073</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358,707</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Lines of credit</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924</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1,104</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70,965</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72,069</w:t>
            </w:r>
          </w:p>
        </w:tc>
      </w:tr>
      <w:tr>
        <w:trPr>
          <w:trHeight w:val="247"/>
        </w:trPr>
        <w:tc>
          <w:tcPr>
            <w:tcW w:w="4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5,347</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6,340</w:t>
            </w: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12,009</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77,794</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89,803</w:t>
            </w: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exempt loans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3,430</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commercial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10,912</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12,317</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23,747</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500,420</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524,167</w:t>
            </w:r>
          </w:p>
        </w:tc>
      </w:tr>
      <w:tr>
        <w:trPr>
          <w:trHeight w:val="241"/>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9"/>
        </w:trPr>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14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34,427</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34,858</w:t>
            </w:r>
          </w:p>
        </w:tc>
      </w:tr>
      <w:tr>
        <w:trPr>
          <w:trHeight w:val="243"/>
        </w:trPr>
        <w:tc>
          <w:tcPr>
            <w:tcW w:w="40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984</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2,948</w:t>
            </w: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4,315</w:t>
            </w: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75,482</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79,797</w:t>
            </w:r>
          </w:p>
        </w:tc>
      </w:tr>
      <w:tr>
        <w:trPr>
          <w:trHeight w:val="237"/>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3,140</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109,909</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114,655</w:t>
            </w:r>
          </w:p>
        </w:tc>
      </w:tr>
      <w:tr>
        <w:trPr>
          <w:trHeight w:val="276"/>
        </w:trPr>
        <w:tc>
          <w:tcPr>
            <w:tcW w:w="4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13,568</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3,199</w:t>
            </w:r>
          </w:p>
        </w:tc>
        <w:tc>
          <w:tcPr>
            <w:tcW w:w="2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17,227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33,994</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863,787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897,781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2024 and December 31, 2023, the amount of interest income recognized on nonaccrual loans and the cost basis of nonaccrual loans, for which there is no ACL, are detailed in the following tables. All loans greater than 90 days past due are classified as nonaccrual.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March 31, 2024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11"/>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Nonaccrual loans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without related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allowance for</w:t>
            </w:r>
          </w:p>
        </w:tc>
        <w:tc>
          <w:tcPr>
            <w:tcW w:w="3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41"/>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4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1,728</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1,728</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3,838</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3,485</w:t>
            </w: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6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7,416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r>
      <w:tr>
        <w:trPr>
          <w:trHeight w:val="241"/>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1,537</w:t>
            </w: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1,668</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77"/>
        </w:trPr>
        <w:tc>
          <w:tcPr>
            <w:tcW w:w="68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10,812</w:t>
            </w: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451"/>
        </w:trPr>
        <w:tc>
          <w:tcPr>
            <w:tcW w:w="68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1"/>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Nonaccrual loans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without related</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allowance for</w:t>
            </w:r>
          </w:p>
        </w:tc>
        <w:tc>
          <w:tcPr>
            <w:tcW w:w="38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41"/>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credit loss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3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68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1,770</w:t>
            </w: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6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1,770</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41"/>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9"/>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44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3,058</w:t>
            </w:r>
          </w:p>
        </w:tc>
        <w:tc>
          <w:tcPr>
            <w:tcW w:w="3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4,132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r>
      <w:tr>
        <w:trPr>
          <w:trHeight w:val="236"/>
        </w:trPr>
        <w:tc>
          <w:tcPr>
            <w:tcW w:w="68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12,317</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7,257</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r>
      <w:tr>
        <w:trPr>
          <w:trHeight w:val="23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9"/>
        </w:trPr>
        <w:tc>
          <w:tcPr>
            <w:tcW w:w="6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1,228</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6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4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1,265</w:t>
            </w: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6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nonaccrual loans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10,292</w:t>
            </w: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At March 31, 2024, the Bank's 176 nonperforming loans represented 2.2% of total loans, with an aggregate outstanding balance of $19.7 million, as compared to 150 loans with an aggregate outstanding balance of $17.2 million at December 31, 2023. This increase in nonaccrual balances of $2.5 million was primarily the result of the downgrade of one commercial real estate loan with a balance of $1.4 million, $900,000 in commercial and consumer loan relationships, and $200,000 in other loans in the aggregate. Management is closely monitoring all nonaccrual loans and has incorporated its current estimate of the ultimate collectability of these loans into the reported allowance for credit losses at March 31, 2024.</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The Company utilizes the Discounted Cash Flow (“DCF”) method for its pooled segment calculation. The DCF method implements a probability of default with loss given default and loss exposure at default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 w:name="page26"/>
    <w:bookmarkEnd w:id="2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estimation. The probability of default and loss given default are applied to future cash flows that are adjusted to present value and these discounted expected losses become the Allowance for Credit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Allowance for Credit Losses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We recorded $726,000 in provision for credit losses ("PCL") for the three month period ended March 31, 2024, as compared to $692,000 for the three month period ended March 31, 2023.</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There was a modest increase in provision for credit losses in the three months ended March 31, 2024, when compared to the same three month period in 2023. In addition, during the first quarter of 2024, the Company recorded modest PCL increases of $15,000 and $1,000 for reserves related to securities classified as held-to-maturity and unfunded commitments, respectively. The provision in the quarter ended March 31, 2024 was reflective of the qualitative factors used in determining the adequacy of the ACL and changes in the levels of delinquent and nonaccrual loans. The first quarter PCL reflects an addition to reserves considering loan growth and asset quality metrics.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all activity related to the ACL from December 31, 2023 to March 31, 2024 and to the recorded PCL for the three months ended March 31,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468"/>
        </w:trPr>
        <w:tc>
          <w:tcPr>
            <w:tcW w:w="4100" w:type="dxa"/>
            <w:vAlign w:val="bottom"/>
            <w:tcBorders>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Reserves as of</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Q1 2024 Charge-</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Q1 2024</w:t>
            </w:r>
          </w:p>
        </w:tc>
        <w:tc>
          <w:tcPr>
            <w:tcW w:w="48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Reserves as of</w:t>
            </w:r>
          </w:p>
        </w:tc>
        <w:tc>
          <w:tcPr>
            <w:tcW w:w="0" w:type="dxa"/>
            <w:vAlign w:val="bottom"/>
          </w:tcPr>
          <w:p>
            <w:pPr>
              <w:spacing w:after="0"/>
              <w:rPr>
                <w:sz w:val="1"/>
                <w:szCs w:val="1"/>
                <w:color w:val="auto"/>
              </w:rPr>
            </w:pPr>
          </w:p>
        </w:tc>
      </w:tr>
      <w:tr>
        <w:trPr>
          <w:trHeight w:val="241"/>
        </w:trPr>
        <w:tc>
          <w:tcPr>
            <w:tcW w:w="41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2023</w:t>
            </w:r>
          </w:p>
        </w:tc>
        <w:tc>
          <w:tcPr>
            <w:tcW w:w="9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Offs</w:t>
            </w:r>
          </w:p>
        </w:tc>
        <w:tc>
          <w:tcPr>
            <w:tcW w:w="15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Recoveries</w:t>
            </w:r>
          </w:p>
        </w:tc>
        <w:tc>
          <w:tcPr>
            <w:tcW w:w="122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Q1 2024 PCL</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20"/>
        </w:trPr>
        <w:tc>
          <w:tcPr>
            <w:tcW w:w="41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ACL - Loans</w:t>
            </w: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00" w:type="dxa"/>
            <w:vAlign w:val="bottom"/>
            <w:tcBorders>
              <w:bottom w:val="single" w:sz="8" w:color="auto"/>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Borders>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Specifically identified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3,716</w:t>
            </w: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39"/>
        </w:trPr>
        <w:tc>
          <w:tcPr>
            <w:tcW w:w="41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Overdraft</w:t>
            </w:r>
          </w:p>
        </w:tc>
        <w:tc>
          <w:tcPr>
            <w:tcW w:w="140" w:type="dxa"/>
            <w:vAlign w:val="bottom"/>
          </w:tcPr>
          <w:p>
            <w:pPr>
              <w:spacing w:after="0"/>
              <w:rPr>
                <w:sz w:val="20"/>
                <w:szCs w:val="20"/>
                <w:color w:val="auto"/>
              </w:rPr>
            </w:pPr>
          </w:p>
        </w:tc>
        <w:tc>
          <w:tcPr>
            <w:tcW w:w="17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364</w:t>
            </w:r>
          </w:p>
        </w:tc>
        <w:tc>
          <w:tcPr>
            <w:tcW w:w="94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0"/>
                <w:szCs w:val="20"/>
                <w:color w:val="auto"/>
              </w:rPr>
            </w:pPr>
          </w:p>
        </w:tc>
        <w:tc>
          <w:tcPr>
            <w:tcW w:w="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47"/>
        </w:trPr>
        <w:tc>
          <w:tcPr>
            <w:tcW w:w="4100" w:type="dxa"/>
            <w:vAlign w:val="bottom"/>
            <w:tcBorders>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Pooled - quantitative</w:t>
            </w:r>
          </w:p>
        </w:tc>
        <w:tc>
          <w:tcPr>
            <w:tcW w:w="140" w:type="dxa"/>
            <w:vAlign w:val="bottom"/>
            <w:shd w:val="clear" w:color="auto" w:fill="CFF0FC"/>
          </w:tcPr>
          <w:p>
            <w:pPr>
              <w:spacing w:after="0"/>
              <w:rPr>
                <w:sz w:val="21"/>
                <w:szCs w:val="21"/>
                <w:color w:val="auto"/>
              </w:rPr>
            </w:pPr>
          </w:p>
        </w:tc>
        <w:tc>
          <w:tcPr>
            <w:tcW w:w="17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6,203</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(63 )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shd w:val="clear" w:color="auto" w:fill="CFF0FC"/>
          </w:tcPr>
          <w:p>
            <w:pPr>
              <w:spacing w:after="0"/>
              <w:rPr>
                <w:sz w:val="21"/>
                <w:szCs w:val="21"/>
                <w:color w:val="auto"/>
              </w:rPr>
            </w:pP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21"/>
                <w:szCs w:val="21"/>
                <w:color w:val="auto"/>
              </w:rPr>
            </w:pPr>
          </w:p>
        </w:tc>
        <w:tc>
          <w:tcPr>
            <w:tcW w:w="14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6,275</w:t>
            </w:r>
          </w:p>
        </w:tc>
        <w:tc>
          <w:tcPr>
            <w:tcW w:w="0" w:type="dxa"/>
            <w:vAlign w:val="bottom"/>
          </w:tcPr>
          <w:p>
            <w:pPr>
              <w:spacing w:after="0"/>
              <w:rPr>
                <w:sz w:val="1"/>
                <w:szCs w:val="1"/>
                <w:color w:val="auto"/>
              </w:rPr>
            </w:pPr>
          </w:p>
        </w:tc>
      </w:tr>
      <w:tr>
        <w:trPr>
          <w:trHeight w:val="239"/>
        </w:trPr>
        <w:tc>
          <w:tcPr>
            <w:tcW w:w="41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Pooled - qualitative</w:t>
            </w:r>
          </w:p>
        </w:tc>
        <w:tc>
          <w:tcPr>
            <w:tcW w:w="140" w:type="dxa"/>
            <w:vAlign w:val="bottom"/>
          </w:tcPr>
          <w:p>
            <w:pPr>
              <w:spacing w:after="0"/>
              <w:rPr>
                <w:sz w:val="20"/>
                <w:szCs w:val="20"/>
                <w:color w:val="auto"/>
              </w:rPr>
            </w:pPr>
          </w:p>
        </w:tc>
        <w:tc>
          <w:tcPr>
            <w:tcW w:w="17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3,566</w:t>
            </w:r>
          </w:p>
        </w:tc>
        <w:tc>
          <w:tcPr>
            <w:tcW w:w="94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20"/>
                <w:szCs w:val="20"/>
                <w:color w:val="auto"/>
              </w:rPr>
            </w:pPr>
          </w:p>
        </w:tc>
        <w:tc>
          <w:tcPr>
            <w:tcW w:w="14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Purchased</w:t>
            </w:r>
          </w:p>
        </w:tc>
        <w:tc>
          <w:tcPr>
            <w:tcW w:w="1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2,126</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36"/>
        </w:trPr>
        <w:tc>
          <w:tcPr>
            <w:tcW w:w="4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ACL -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15,975</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47"/>
        </w:trPr>
        <w:tc>
          <w:tcPr>
            <w:tcW w:w="410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tcBorders>
              <w:right w:val="single" w:sz="8" w:color="auto"/>
            </w:tcBorders>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4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tcBorders>
              <w:right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ACL - Held-To-Maturity</w:t>
            </w:r>
          </w:p>
        </w:tc>
        <w:tc>
          <w:tcPr>
            <w:tcW w:w="140" w:type="dxa"/>
            <w:vAlign w:val="bottom"/>
          </w:tcPr>
          <w:p>
            <w:pPr>
              <w:spacing w:after="0"/>
              <w:rPr>
                <w:sz w:val="20"/>
                <w:szCs w:val="20"/>
                <w:color w:val="auto"/>
              </w:rPr>
            </w:pPr>
          </w:p>
        </w:tc>
        <w:tc>
          <w:tcPr>
            <w:tcW w:w="17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94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14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7"/>
        </w:trPr>
        <w:tc>
          <w:tcPr>
            <w:tcW w:w="410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20" w:type="dxa"/>
            <w:vAlign w:val="bottom"/>
            <w:tcBorders>
              <w:right w:val="single" w:sz="8" w:color="auto"/>
            </w:tcBorders>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40" w:type="dxa"/>
            <w:vAlign w:val="bottom"/>
            <w:tcBorders>
              <w:right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80" w:type="dxa"/>
            <w:vAlign w:val="bottom"/>
            <w:tcBorders>
              <w:right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 Unfunded Commitments</w:t>
            </w:r>
          </w:p>
        </w:tc>
        <w:tc>
          <w:tcPr>
            <w:tcW w:w="14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589</w:t>
            </w: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81"/>
        </w:trPr>
        <w:tc>
          <w:tcPr>
            <w:tcW w:w="4100" w:type="dxa"/>
            <w:vAlign w:val="bottom"/>
            <w:tcBorders>
              <w:bottom w:val="single" w:sz="8" w:color="CFF0FC"/>
              <w:right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FF0FC"/>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16,916</w:t>
            </w:r>
          </w:p>
        </w:tc>
        <w:tc>
          <w:tcPr>
            <w:tcW w:w="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 $</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17,612</w:t>
            </w:r>
          </w:p>
        </w:tc>
        <w:tc>
          <w:tcPr>
            <w:tcW w:w="0" w:type="dxa"/>
            <w:vAlign w:val="bottom"/>
          </w:tcPr>
          <w:p>
            <w:pPr>
              <w:spacing w:after="0"/>
              <w:rPr>
                <w:sz w:val="1"/>
                <w:szCs w:val="1"/>
                <w:color w:val="auto"/>
              </w:rPr>
            </w:pPr>
          </w:p>
        </w:tc>
      </w:tr>
      <w:tr>
        <w:trPr>
          <w:trHeight w:val="224"/>
        </w:trPr>
        <w:tc>
          <w:tcPr>
            <w:tcW w:w="4100" w:type="dxa"/>
            <w:vAlign w:val="bottom"/>
            <w:tcBorders>
              <w:top w:val="single" w:sz="8" w:color="CFF0FC"/>
              <w:righ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 xml:space="preserve"> -</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0"/>
          <w:szCs w:val="20"/>
          <w:color w:val="auto"/>
        </w:rPr>
        <w:t>Summarized in the tables below are changes in the allowance for credit losses for loans for the indicated periods and information pertaining to the allocation of the balances of the credit losses, loans receivable based on individual, and collective evaluation by loan portfolio class. An allocation of a portion of the allowance to a given portfolio class does not limit the Company’s ability to absorb losses in another portfolio class.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6"/>
                <w:szCs w:val="16"/>
                <w:color w:val="auto"/>
              </w:rPr>
              <w:t>For the three months ended March 31, 2024</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 family</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first-lien</w:t>
            </w:r>
          </w:p>
        </w:tc>
        <w:tc>
          <w:tcPr>
            <w:tcW w:w="30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Paycheck</w:t>
            </w:r>
          </w:p>
        </w:tc>
      </w:tr>
      <w:tr>
        <w:trPr>
          <w:trHeight w:val="230"/>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construction</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Commercial</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Protection</w:t>
            </w:r>
          </w:p>
        </w:tc>
      </w:tr>
      <w:tr>
        <w:trPr>
          <w:trHeight w:val="242"/>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mortgage</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mortgage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lines of credit</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and industrial</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Program</w:t>
            </w: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1,608</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858</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5,751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1,674</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3,281</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Charge-offs</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Recoveries</w:t>
            </w:r>
          </w:p>
        </w:tc>
        <w:tc>
          <w:tcPr>
            <w:tcW w:w="2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Provisions (credits)</w:t>
            </w: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(56 )</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810</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2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117</w:t>
            </w: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1,619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802</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6,567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1,391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3,403</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138</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1,057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1,710</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1,481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802</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5,510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1,693</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252,026</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1,689</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363,467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67,416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91,178</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individually</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2,129</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12,138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6,849</w:t>
            </w:r>
          </w:p>
        </w:tc>
        <w:tc>
          <w:tcPr>
            <w:tcW w:w="2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249,897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1,689</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351,329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66,146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84,329</w:t>
            </w:r>
          </w:p>
        </w:tc>
        <w:tc>
          <w:tcPr>
            <w:tcW w:w="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r>
      <w:tr>
        <w:trPr>
          <w:trHeight w:val="453"/>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Home equity</w:t>
            </w:r>
          </w:p>
        </w:tc>
        <w:tc>
          <w:tcPr>
            <w:tcW w:w="30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3"/>
        </w:trPr>
        <w:tc>
          <w:tcPr>
            <w:tcW w:w="3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Tax exempt</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and junior liens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657</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2,145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15,975</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9"/>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Charge-offs</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0"/>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Recoveries</w:t>
            </w:r>
          </w:p>
        </w:tc>
        <w:tc>
          <w:tcPr>
            <w:tcW w:w="2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3"/>
        </w:trPr>
        <w:tc>
          <w:tcPr>
            <w:tcW w:w="33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Provisions (credits)</w:t>
            </w: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710</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662</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16,655</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individually 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3,846</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collectively 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516</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12,809</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3,374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35,723</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77,106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892,126</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 individually</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33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715</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23,171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3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evaluated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3,374</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35,008</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77,036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868,955</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For the three months ended March 31, 2023</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0"/>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Paychec</w:t>
            </w: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k</w:t>
            </w:r>
          </w:p>
        </w:tc>
      </w:tr>
      <w:tr>
        <w:trPr>
          <w:trHeight w:val="225"/>
        </w:trPr>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Protectio</w:t>
            </w:r>
          </w:p>
        </w:tc>
      </w:tr>
      <w:tr>
        <w:trPr>
          <w:trHeight w:val="234"/>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construction</w:t>
            </w:r>
          </w:p>
        </w:tc>
        <w:tc>
          <w:tcPr>
            <w:tcW w:w="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w:t>
            </w:r>
          </w:p>
        </w:tc>
      </w:tr>
      <w:tr>
        <w:trPr>
          <w:trHeight w:val="25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and industrial</w:t>
            </w:r>
          </w:p>
        </w:tc>
        <w:tc>
          <w:tcPr>
            <w:tcW w:w="8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Program</w:t>
            </w: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2,944</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(1,744 )</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(173 )</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(269 )</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(1,991 )</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2,101</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1,937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5,182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5,081</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1,712</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1,874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4,652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3,369</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81"/>
        </w:trPr>
        <w:tc>
          <w:tcPr>
            <w:tcW w:w="3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260,199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2,933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350,175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81,704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84,553</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r>
        <w:trPr>
          <w:trHeight w:val="196"/>
        </w:trPr>
        <w:tc>
          <w:tcPr>
            <w:tcW w:w="3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individually</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10,522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6,369</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258,772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2,933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339,653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79,213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78,184</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r>
        <w:trPr>
          <w:trHeight w:val="486"/>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Home equity</w:t>
            </w:r>
          </w:p>
        </w:tc>
        <w:tc>
          <w:tcPr>
            <w:tcW w:w="26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3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and junior liens</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5"/>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15,319</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1,886</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7"/>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336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 (credits)</w:t>
            </w: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6"/>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17,869</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3,763</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related to loans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13,405</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9"/>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34,096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93,197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911,249</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Ending balance: individually</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1"/>
        </w:trPr>
        <w:tc>
          <w:tcPr>
            <w:tcW w:w="3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21,525</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collectively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41"/>
        </w:trPr>
        <w:tc>
          <w:tcPr>
            <w:tcW w:w="3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evaluated for impairment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33,380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93,197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889,724</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6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national and local economic trends;</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growth in the portfolio;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8" w:name="page29"/>
    <w:bookmarkEnd w:id="28"/>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Trends of delinquencies and nonaccrual balances;</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loan policy; and</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lending management experience and related staffing.</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allocation of the allowance for credit losses summarized on the basis of the Company’s calculation methodology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March 31, 2024</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Residential</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construction</w:t>
            </w:r>
          </w:p>
        </w:tc>
        <w:tc>
          <w:tcPr>
            <w:tcW w:w="4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mortgage</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1,710</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1,556</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2,605</w:t>
            </w:r>
          </w:p>
        </w:tc>
        <w:tc>
          <w:tcPr>
            <w:tcW w:w="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w:t>
            </w:r>
          </w:p>
        </w:tc>
      </w:tr>
      <w:tr>
        <w:trPr>
          <w:trHeight w:val="243"/>
        </w:trPr>
        <w:tc>
          <w:tcPr>
            <w:tcW w:w="3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(75 )</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2,905</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r>
      <w:tr>
        <w:trPr>
          <w:trHeight w:val="236"/>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6,567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3,403</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57"/>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Home equity</w:t>
            </w: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5,973</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6,630</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3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4,052</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7"/>
        </w:trPr>
        <w:tc>
          <w:tcPr>
            <w:tcW w:w="3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2,209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16,655</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1"/>
        </w:trPr>
        <w:tc>
          <w:tcPr>
            <w:tcW w:w="3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34"/>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Residential</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Other</w:t>
            </w:r>
          </w:p>
        </w:tc>
      </w:tr>
      <w:tr>
        <w:trPr>
          <w:trHeight w:val="243"/>
        </w:trPr>
        <w:tc>
          <w:tcPr>
            <w:tcW w:w="3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construction</w:t>
            </w:r>
          </w:p>
        </w:tc>
        <w:tc>
          <w:tcPr>
            <w:tcW w:w="4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r>
      <w:tr>
        <w:trPr>
          <w:trHeight w:val="250"/>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mortgage</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industrial</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2,645</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r>
      <w:tr>
        <w:trPr>
          <w:trHeight w:val="23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r>
      <w:tr>
        <w:trPr>
          <w:trHeight w:val="277"/>
        </w:trPr>
        <w:tc>
          <w:tcPr>
            <w:tcW w:w="3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1,608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5,751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r>
      <w:tr>
        <w:trPr>
          <w:trHeight w:val="457"/>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Home equity</w:t>
            </w: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3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Specifically reserved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5,842</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Historical loss rate</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6,589</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9"/>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Qualitative factors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3,544</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6"/>
        </w:trPr>
        <w:tc>
          <w:tcPr>
            <w:tcW w:w="3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2,145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 Dependent Disclosures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w:t>
      </w:r>
    </w:p>
    <w:p>
      <w:pPr>
        <w:spacing w:after="0" w:line="6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9" w:name="page30"/>
    <w:bookmarkEnd w:id="29"/>
    <w:p>
      <w:pPr>
        <w:ind w:left="1020"/>
        <w:spacing w:after="0" w:line="282" w:lineRule="auto"/>
        <w:rPr>
          <w:sz w:val="20"/>
          <w:szCs w:val="20"/>
          <w:color w:val="auto"/>
        </w:rPr>
      </w:pPr>
      <w:r>
        <w:rPr>
          <w:rFonts w:ascii="Times New Roman" w:cs="Times New Roman" w:eastAsia="Times New Roman" w:hAnsi="Times New Roman"/>
          <w:sz w:val="18"/>
          <w:szCs w:val="18"/>
          <w:color w:val="auto"/>
        </w:rPr>
        <w:t>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real estate loans are typically secured by first mortgages, and in some cases could be secured by a second mortgage.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equity lines of credit are generally secured by second mortgages on residential real estate property.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loans are generally secured by automobiles, motorcycles, recreational vehicles and other personal property. Some consumer loans are unsecured and have no underlying collateral.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following table </w:t>
      </w:r>
      <w:r>
        <w:rPr>
          <w:rFonts w:ascii="Times New Roman" w:cs="Times New Roman" w:eastAsia="Times New Roman" w:hAnsi="Times New Roman"/>
          <w:sz w:val="17"/>
          <w:szCs w:val="17"/>
          <w:color w:val="auto"/>
        </w:rPr>
        <w:t>details the amortized cost of collateral dependent loans at March 31, 2024 and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2024</w:t>
            </w:r>
          </w:p>
        </w:tc>
        <w:tc>
          <w:tcPr>
            <w:tcW w:w="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5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7,788</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520" w:type="dxa"/>
            <w:vAlign w:val="bottom"/>
          </w:tcPr>
          <w:p>
            <w:pPr>
              <w:spacing w:after="0"/>
              <w:rPr>
                <w:sz w:val="20"/>
                <w:szCs w:val="20"/>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11,814</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Residential (1-4 family) first mortgages</w:t>
            </w:r>
          </w:p>
        </w:tc>
        <w:tc>
          <w:tcPr>
            <w:tcW w:w="2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520" w:type="dxa"/>
            <w:vAlign w:val="bottom"/>
            <w:shd w:val="clear" w:color="auto" w:fill="CFF0FC"/>
          </w:tcPr>
          <w:p>
            <w:pPr>
              <w:spacing w:after="0"/>
              <w:rPr>
                <w:sz w:val="21"/>
                <w:szCs w:val="21"/>
                <w:color w:val="auto"/>
              </w:rPr>
            </w:pP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loans and lines of credit</w:t>
            </w:r>
          </w:p>
        </w:tc>
        <w:tc>
          <w:tcPr>
            <w:tcW w:w="2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520" w:type="dxa"/>
            <w:vAlign w:val="bottom"/>
          </w:tcPr>
          <w:p>
            <w:pPr>
              <w:spacing w:after="0"/>
              <w:rPr>
                <w:sz w:val="20"/>
                <w:szCs w:val="20"/>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r>
      <w:tr>
        <w:trPr>
          <w:trHeight w:val="243"/>
        </w:trPr>
        <w:tc>
          <w:tcPr>
            <w:tcW w:w="49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loans</w:t>
            </w:r>
          </w:p>
        </w:tc>
        <w:tc>
          <w:tcPr>
            <w:tcW w:w="24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37"/>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21,577</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20,981</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Foreclosed Real Estate</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is required to disclose the carrying amount of foreclosed real estate properties held as a result of obtaining physical possession of the property at each reporting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March 31,</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3840" w:type="dxa"/>
            <w:vAlign w:val="bottom"/>
            <w:tcBorders>
              <w:bottom w:val="single" w:sz="8" w:color="auto"/>
            </w:tcBorders>
            <w:vMerge w:val="continue"/>
          </w:tcPr>
          <w:p>
            <w:pPr>
              <w:spacing w:after="0"/>
              <w:rPr>
                <w:sz w:val="20"/>
                <w:szCs w:val="20"/>
                <w:color w:val="auto"/>
              </w:rPr>
            </w:pPr>
          </w:p>
        </w:tc>
        <w:tc>
          <w:tcPr>
            <w:tcW w:w="3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properties</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properties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79"/>
        </w:trPr>
        <w:tc>
          <w:tcPr>
            <w:tcW w:w="38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Foreclosed real estate</w:t>
            </w:r>
          </w:p>
        </w:tc>
        <w:tc>
          <w:tcPr>
            <w:tcW w:w="3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March 31, 2024 and December 31, 2023, the Company reported $1.8 million and $1.3 million, respectively, in real estate loans in the process of foreclosure.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Guarantees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is essentially the same as those that are involved in extending loan facilities to customers. The Company generally holds collateral and/or personal guarantees supporting these commitments. The Company had $1.8 million of standby letters of credit as of March 31, 2024. Management believes that the proceeds obtained through a liquidation of collateral and the enforcement of guarantees would be sufficient to cover the potential amount of future payments required under the corresponding guarantees. No provision for credit losses have been made for these commitments. The fair value of standby letters of credit was not significant to the Company’s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Fair Value Measurements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Level 1 – Quoted prices (unadjusted) for identical assets or liabilities in active markets that the entity has the ability to access as of the measurement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Model-derived valuations in which one or more significant inputs or significant value drivers are unobservable.</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 asset’s or liability’s level within the fair value hierarchy is based on the lowest level of input that is significant to the fair value measurement.</w:t>
      </w:r>
    </w:p>
    <w:p>
      <w:pPr>
        <w:spacing w:after="0" w:line="1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used the following methods and significant assumptions to estimate fair value:</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holds two corporate investment securities with an amortized historical cost of $4.1 million and an aggregate fair market value of $4.3 million as of March 31, 2024.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also holds two limited partnership investments managed by an unrelated third party with an aggregate fair market value of $3.3 million. The investments are funds comprised of marketable equity securities, primarily issued by community banks and financial technology companies. These investments are recorded at fair value at the end of each reporting period using Level 1 valuation techniques. Unrealized changes in the fair value of these investments are recorded as components of periodic net income in the period in which the changes occur.</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Individually evaluated loans: Specifically-identified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1" w:name="page32"/>
    <w:bookmarkEnd w:id="31"/>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valuations of such collateral. Estimated costs to sell are based on current amounts of disposal costs for similar assets. These measurements are classified as Level 3 within the valuation hierarchy. Specifically-identified loans are subject to nonrecurring fair value adjustment upon initial recognition or subsequent impairment. A portion of the allowance for credit losses is allocated to specifically-identified loans if the value of such loans is deemed to be less than the unpaid balance.</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summarize assets measured at fair value on a recurring basis as of the indicated dates, segregated by the level of valuation inputs within the hierarchy utilized to measure fair value: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March 31, 2024</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4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1</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3</w:t>
            </w: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46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189"/>
        </w:trPr>
        <w:tc>
          <w:tcPr>
            <w:tcW w:w="46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60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89,148</w:t>
            </w:r>
          </w:p>
        </w:tc>
        <w:tc>
          <w:tcPr>
            <w:tcW w:w="76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89,148</w:t>
            </w:r>
          </w:p>
        </w:tc>
      </w:tr>
      <w:tr>
        <w:trPr>
          <w:trHeight w:val="239"/>
        </w:trPr>
        <w:tc>
          <w:tcPr>
            <w:tcW w:w="20" w:type="dxa"/>
            <w:vAlign w:val="bottom"/>
          </w:tcPr>
          <w:p>
            <w:pPr>
              <w:spacing w:after="0"/>
              <w:rPr>
                <w:sz w:val="20"/>
                <w:szCs w:val="20"/>
                <w:color w:val="auto"/>
              </w:rPr>
            </w:pPr>
          </w:p>
        </w:tc>
        <w:tc>
          <w:tcPr>
            <w:tcW w:w="4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28,908</w:t>
            </w:r>
          </w:p>
        </w:tc>
        <w:tc>
          <w:tcPr>
            <w:tcW w:w="7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28,908</w:t>
            </w:r>
          </w:p>
        </w:tc>
      </w:tr>
      <w:tr>
        <w:trPr>
          <w:trHeight w:val="247"/>
        </w:trPr>
        <w:tc>
          <w:tcPr>
            <w:tcW w:w="20" w:type="dxa"/>
            <w:vAlign w:val="bottom"/>
            <w:shd w:val="clear" w:color="auto" w:fill="CFF0FC"/>
          </w:tcPr>
          <w:p>
            <w:pPr>
              <w:spacing w:after="0"/>
              <w:rPr>
                <w:sz w:val="21"/>
                <w:szCs w:val="21"/>
                <w:color w:val="auto"/>
              </w:rPr>
            </w:pPr>
          </w:p>
        </w:tc>
        <w:tc>
          <w:tcPr>
            <w:tcW w:w="460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6,598</w:t>
            </w:r>
          </w:p>
        </w:tc>
        <w:tc>
          <w:tcPr>
            <w:tcW w:w="7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6,598</w:t>
            </w:r>
          </w:p>
        </w:tc>
      </w:tr>
      <w:tr>
        <w:trPr>
          <w:trHeight w:val="239"/>
        </w:trPr>
        <w:tc>
          <w:tcPr>
            <w:tcW w:w="20" w:type="dxa"/>
            <w:vAlign w:val="bottom"/>
          </w:tcPr>
          <w:p>
            <w:pPr>
              <w:spacing w:after="0"/>
              <w:rPr>
                <w:sz w:val="20"/>
                <w:szCs w:val="20"/>
                <w:color w:val="auto"/>
              </w:rPr>
            </w:pPr>
          </w:p>
        </w:tc>
        <w:tc>
          <w:tcPr>
            <w:tcW w:w="4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4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19,470</w:t>
            </w:r>
          </w:p>
        </w:tc>
        <w:tc>
          <w:tcPr>
            <w:tcW w:w="7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19,470</w:t>
            </w:r>
          </w:p>
        </w:tc>
      </w:tr>
      <w:tr>
        <w:trPr>
          <w:trHeight w:val="247"/>
        </w:trPr>
        <w:tc>
          <w:tcPr>
            <w:tcW w:w="20" w:type="dxa"/>
            <w:vAlign w:val="bottom"/>
            <w:shd w:val="clear" w:color="auto" w:fill="CFF0FC"/>
          </w:tcPr>
          <w:p>
            <w:pPr>
              <w:spacing w:after="0"/>
              <w:rPr>
                <w:sz w:val="21"/>
                <w:szCs w:val="21"/>
                <w:color w:val="auto"/>
              </w:rPr>
            </w:pPr>
          </w:p>
        </w:tc>
        <w:tc>
          <w:tcPr>
            <w:tcW w:w="460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31,742</w:t>
            </w:r>
          </w:p>
        </w:tc>
        <w:tc>
          <w:tcPr>
            <w:tcW w:w="7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31,742</w:t>
            </w:r>
          </w:p>
        </w:tc>
      </w:tr>
      <w:tr>
        <w:trPr>
          <w:trHeight w:val="239"/>
        </w:trPr>
        <w:tc>
          <w:tcPr>
            <w:tcW w:w="20" w:type="dxa"/>
            <w:vAlign w:val="bottom"/>
          </w:tcPr>
          <w:p>
            <w:pPr>
              <w:spacing w:after="0"/>
              <w:rPr>
                <w:sz w:val="20"/>
                <w:szCs w:val="20"/>
                <w:color w:val="auto"/>
              </w:rPr>
            </w:pPr>
          </w:p>
        </w:tc>
        <w:tc>
          <w:tcPr>
            <w:tcW w:w="4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13,009</w:t>
            </w:r>
          </w:p>
        </w:tc>
        <w:tc>
          <w:tcPr>
            <w:tcW w:w="7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4600" w:type="dxa"/>
            <w:vAlign w:val="bottom"/>
            <w:tcBorders>
              <w:bottom w:val="single" w:sz="8" w:color="auto"/>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85,639</w:t>
            </w:r>
          </w:p>
        </w:tc>
        <w:tc>
          <w:tcPr>
            <w:tcW w:w="7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85,639</w:t>
            </w:r>
          </w:p>
        </w:tc>
      </w:tr>
      <w:tr>
        <w:trPr>
          <w:trHeight w:val="237"/>
        </w:trPr>
        <w:tc>
          <w:tcPr>
            <w:tcW w:w="20" w:type="dxa"/>
            <w:vAlign w:val="bottom"/>
          </w:tcPr>
          <w:p>
            <w:pPr>
              <w:spacing w:after="0"/>
              <w:rPr>
                <w:sz w:val="20"/>
                <w:szCs w:val="20"/>
                <w:color w:val="auto"/>
              </w:rPr>
            </w:pPr>
          </w:p>
        </w:tc>
        <w:tc>
          <w:tcPr>
            <w:tcW w:w="4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274,514</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274,514</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2100" w:type="dxa"/>
            <w:vAlign w:val="bottom"/>
            <w:tcBorders>
              <w:bottom w:val="single" w:sz="8" w:color="auto"/>
            </w:tcBorders>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5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6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8"/>
              </w:rPr>
              <w:t>Other Securities:</w:t>
            </w:r>
          </w:p>
        </w:tc>
        <w:tc>
          <w:tcPr>
            <w:tcW w:w="3380" w:type="dxa"/>
            <w:vAlign w:val="bottom"/>
            <w:tcBorders>
              <w:bottom w:val="single" w:sz="8" w:color="CFF0FC"/>
            </w:tcBorders>
            <w:gridSpan w:val="3"/>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r>
      <w:tr>
        <w:trPr>
          <w:trHeight w:val="277"/>
        </w:trPr>
        <w:tc>
          <w:tcPr>
            <w:tcW w:w="462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60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274,514</w:t>
            </w:r>
          </w:p>
        </w:tc>
        <w:tc>
          <w:tcPr>
            <w:tcW w:w="76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279,012</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9"/>
        </w:trPr>
        <w:tc>
          <w:tcPr>
            <w:tcW w:w="462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3,342</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1"/>
        </w:trPr>
        <w:tc>
          <w:tcPr>
            <w:tcW w:w="46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fair value hedges (unrealized</w:t>
            </w: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81"/>
        </w:trPr>
        <w:tc>
          <w:tcPr>
            <w:tcW w:w="462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carried as receivable from derivative counterparties)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6,544</w:t>
            </w:r>
          </w:p>
        </w:tc>
        <w:tc>
          <w:tcPr>
            <w:tcW w:w="76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6,544</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1"/>
        </w:trPr>
        <w:tc>
          <w:tcPr>
            <w:tcW w:w="46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cash flow hedges (unrealized</w:t>
            </w: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81"/>
        </w:trPr>
        <w:tc>
          <w:tcPr>
            <w:tcW w:w="462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carried as receivable from derivative counterparties)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556</w:t>
            </w:r>
          </w:p>
        </w:tc>
        <w:tc>
          <w:tcPr>
            <w:tcW w:w="76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r>
      <w:tr>
        <w:trPr>
          <w:trHeight w:val="43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 -</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December 31, 2023</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1</w:t>
            </w: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3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189"/>
        </w:trPr>
        <w:tc>
          <w:tcPr>
            <w:tcW w:w="5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28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80,083</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80,083</w:t>
            </w:r>
          </w:p>
        </w:tc>
      </w:tr>
      <w:tr>
        <w:trPr>
          <w:trHeight w:val="239"/>
        </w:trPr>
        <w:tc>
          <w:tcPr>
            <w:tcW w:w="20" w:type="dxa"/>
            <w:vAlign w:val="bottom"/>
          </w:tcPr>
          <w:p>
            <w:pPr>
              <w:spacing w:after="0"/>
              <w:rPr>
                <w:sz w:val="20"/>
                <w:szCs w:val="20"/>
                <w:color w:val="auto"/>
              </w:rPr>
            </w:pPr>
          </w:p>
        </w:tc>
        <w:tc>
          <w:tcPr>
            <w:tcW w:w="5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32,924</w:t>
            </w:r>
          </w:p>
        </w:tc>
        <w:tc>
          <w:tcPr>
            <w:tcW w:w="4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32,924</w:t>
            </w:r>
          </w:p>
        </w:tc>
      </w:tr>
      <w:tr>
        <w:trPr>
          <w:trHeight w:val="247"/>
        </w:trPr>
        <w:tc>
          <w:tcPr>
            <w:tcW w:w="20" w:type="dxa"/>
            <w:vAlign w:val="bottom"/>
            <w:shd w:val="clear" w:color="auto" w:fill="CFF0FC"/>
          </w:tcPr>
          <w:p>
            <w:pPr>
              <w:spacing w:after="0"/>
              <w:rPr>
                <w:sz w:val="21"/>
                <w:szCs w:val="21"/>
                <w:color w:val="auto"/>
              </w:rPr>
            </w:pPr>
          </w:p>
        </w:tc>
        <w:tc>
          <w:tcPr>
            <w:tcW w:w="528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6,576</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6,576</w:t>
            </w:r>
          </w:p>
        </w:tc>
      </w:tr>
      <w:tr>
        <w:trPr>
          <w:trHeight w:val="239"/>
        </w:trPr>
        <w:tc>
          <w:tcPr>
            <w:tcW w:w="20" w:type="dxa"/>
            <w:vAlign w:val="bottom"/>
          </w:tcPr>
          <w:p>
            <w:pPr>
              <w:spacing w:after="0"/>
              <w:rPr>
                <w:sz w:val="20"/>
                <w:szCs w:val="20"/>
                <w:color w:val="auto"/>
              </w:rPr>
            </w:pPr>
          </w:p>
        </w:tc>
        <w:tc>
          <w:tcPr>
            <w:tcW w:w="5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19,892</w:t>
            </w:r>
          </w:p>
        </w:tc>
        <w:tc>
          <w:tcPr>
            <w:tcW w:w="4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19,892</w:t>
            </w:r>
          </w:p>
        </w:tc>
      </w:tr>
      <w:tr>
        <w:trPr>
          <w:trHeight w:val="247"/>
        </w:trPr>
        <w:tc>
          <w:tcPr>
            <w:tcW w:w="20" w:type="dxa"/>
            <w:vAlign w:val="bottom"/>
            <w:shd w:val="clear" w:color="auto" w:fill="CFF0FC"/>
          </w:tcPr>
          <w:p>
            <w:pPr>
              <w:spacing w:after="0"/>
              <w:rPr>
                <w:sz w:val="21"/>
                <w:szCs w:val="21"/>
                <w:color w:val="auto"/>
              </w:rPr>
            </w:pPr>
          </w:p>
        </w:tc>
        <w:tc>
          <w:tcPr>
            <w:tcW w:w="528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24,418</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24,418</w:t>
            </w:r>
          </w:p>
        </w:tc>
      </w:tr>
      <w:tr>
        <w:trPr>
          <w:trHeight w:val="239"/>
        </w:trPr>
        <w:tc>
          <w:tcPr>
            <w:tcW w:w="20" w:type="dxa"/>
            <w:vAlign w:val="bottom"/>
          </w:tcPr>
          <w:p>
            <w:pPr>
              <w:spacing w:after="0"/>
              <w:rPr>
                <w:sz w:val="20"/>
                <w:szCs w:val="20"/>
                <w:color w:val="auto"/>
              </w:rPr>
            </w:pPr>
          </w:p>
        </w:tc>
        <w:tc>
          <w:tcPr>
            <w:tcW w:w="5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12,179</w:t>
            </w:r>
          </w:p>
        </w:tc>
        <w:tc>
          <w:tcPr>
            <w:tcW w:w="4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12,179</w:t>
            </w:r>
          </w:p>
        </w:tc>
      </w:tr>
      <w:tr>
        <w:trPr>
          <w:trHeight w:val="243"/>
        </w:trPr>
        <w:tc>
          <w:tcPr>
            <w:tcW w:w="20" w:type="dxa"/>
            <w:vAlign w:val="bottom"/>
            <w:tcBorders>
              <w:bottom w:val="single" w:sz="8" w:color="auto"/>
            </w:tcBorders>
            <w:shd w:val="clear" w:color="auto" w:fill="CFF0FC"/>
          </w:tcPr>
          <w:p>
            <w:pPr>
              <w:spacing w:after="0"/>
              <w:rPr>
                <w:sz w:val="21"/>
                <w:szCs w:val="21"/>
                <w:color w:val="auto"/>
              </w:rPr>
            </w:pPr>
          </w:p>
        </w:tc>
        <w:tc>
          <w:tcPr>
            <w:tcW w:w="5280" w:type="dxa"/>
            <w:vAlign w:val="bottom"/>
            <w:tcBorders>
              <w:bottom w:val="single" w:sz="8" w:color="auto"/>
            </w:tcBorders>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78,095</w:t>
            </w: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78,095</w:t>
            </w:r>
          </w:p>
        </w:tc>
      </w:tr>
      <w:tr>
        <w:trPr>
          <w:trHeight w:val="232"/>
        </w:trPr>
        <w:tc>
          <w:tcPr>
            <w:tcW w:w="20" w:type="dxa"/>
            <w:vAlign w:val="bottom"/>
            <w:shd w:val="clear" w:color="auto" w:fill="CFF0FC"/>
          </w:tcPr>
          <w:p>
            <w:pPr>
              <w:spacing w:after="0"/>
              <w:rPr>
                <w:sz w:val="20"/>
                <w:szCs w:val="20"/>
                <w:color w:val="auto"/>
              </w:rPr>
            </w:pPr>
          </w:p>
        </w:tc>
        <w:tc>
          <w:tcPr>
            <w:tcW w:w="528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254,167</w:t>
            </w: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254,167</w:t>
            </w:r>
          </w:p>
        </w:tc>
      </w:tr>
      <w:tr>
        <w:trPr>
          <w:trHeight w:val="232"/>
        </w:trPr>
        <w:tc>
          <w:tcPr>
            <w:tcW w:w="20" w:type="dxa"/>
            <w:vAlign w:val="bottom"/>
            <w:tcBorders>
              <w:bottom w:val="single" w:sz="8" w:color="CFF0FC"/>
            </w:tcBorders>
            <w:shd w:val="clear" w:color="auto" w:fill="CFF0FC"/>
          </w:tcPr>
          <w:p>
            <w:pPr>
              <w:spacing w:after="0"/>
              <w:rPr>
                <w:sz w:val="20"/>
                <w:szCs w:val="20"/>
                <w:color w:val="auto"/>
              </w:rPr>
            </w:pPr>
          </w:p>
        </w:tc>
        <w:tc>
          <w:tcPr>
            <w:tcW w:w="2100" w:type="dxa"/>
            <w:vAlign w:val="bottom"/>
            <w:tcBorders>
              <w:bottom w:val="single" w:sz="8" w:color="auto"/>
            </w:tcBorders>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3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5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8"/>
              </w:rPr>
              <w:t>Other Securities:</w:t>
            </w:r>
          </w:p>
        </w:tc>
        <w:tc>
          <w:tcPr>
            <w:tcW w:w="4060" w:type="dxa"/>
            <w:vAlign w:val="bottom"/>
            <w:tcBorders>
              <w:bottom w:val="single" w:sz="8" w:color="CFF0FC"/>
            </w:tcBorders>
            <w:gridSpan w:val="3"/>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r>
      <w:tr>
        <w:trPr>
          <w:trHeight w:val="277"/>
        </w:trPr>
        <w:tc>
          <w:tcPr>
            <w:tcW w:w="530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7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254,167</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258,716</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9"/>
        </w:trPr>
        <w:tc>
          <w:tcPr>
            <w:tcW w:w="530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7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3,206</w:t>
            </w: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1"/>
        </w:trPr>
        <w:tc>
          <w:tcPr>
            <w:tcW w:w="53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fair value hedges (unrealized gain carried as</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0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receivable from derivative counterparties)</w:t>
            </w:r>
          </w:p>
        </w:tc>
        <w:tc>
          <w:tcPr>
            <w:tcW w:w="7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5,160</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5,160</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1"/>
        </w:trPr>
        <w:tc>
          <w:tcPr>
            <w:tcW w:w="53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swap derivative cash flow hedges (unrealized gain carried</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81"/>
        </w:trPr>
        <w:tc>
          <w:tcPr>
            <w:tcW w:w="5300" w:type="dxa"/>
            <w:vAlign w:val="bottom"/>
            <w:tcBorders>
              <w:bottom w:val="single" w:sz="8" w:color="auto"/>
            </w:tcBorders>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receivable from derivative counterparties)</w:t>
            </w:r>
          </w:p>
        </w:tc>
        <w:tc>
          <w:tcPr>
            <w:tcW w:w="7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Pathfinder Bank had the following assets measured at fair value on a nonrecurring basis as of March 31,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March 31, 2024</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4"/>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6,669</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6,669</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r>
      <w:tr>
        <w:trPr>
          <w:trHeight w:val="475"/>
        </w:trPr>
        <w:tc>
          <w:tcPr>
            <w:tcW w:w="5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34"/>
        </w:trPr>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Fair</w:t>
            </w:r>
          </w:p>
        </w:tc>
      </w:tr>
      <w:tr>
        <w:trPr>
          <w:trHeight w:val="24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9,722</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9,722</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additional quantitative information about assets measured at fair value on a nonrecurring basis and for which Level 3 inputs were used to determine fair value at the indicated dates.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920" w:type="dxa"/>
            <w:vAlign w:val="bottom"/>
            <w:tcBorders>
              <w:bottom w:val="single" w:sz="8" w:color="auto"/>
            </w:tcBorders>
          </w:tcPr>
          <w:p>
            <w:pPr>
              <w:spacing w:after="0"/>
              <w:rPr>
                <w:sz w:val="19"/>
                <w:szCs w:val="19"/>
                <w:color w:val="auto"/>
              </w:rPr>
            </w:pPr>
          </w:p>
        </w:tc>
      </w:tr>
      <w:tr>
        <w:trPr>
          <w:trHeight w:val="210"/>
        </w:trPr>
        <w:tc>
          <w:tcPr>
            <w:tcW w:w="2160" w:type="dxa"/>
            <w:vAlign w:val="bottom"/>
          </w:tcPr>
          <w:p>
            <w:pPr>
              <w:spacing w:after="0"/>
              <w:rPr>
                <w:sz w:val="18"/>
                <w:szCs w:val="18"/>
                <w:color w:val="auto"/>
              </w:rPr>
            </w:pPr>
          </w:p>
        </w:tc>
        <w:tc>
          <w:tcPr>
            <w:tcW w:w="20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8"/>
              </w:rPr>
              <w:t>Valuation</w:t>
            </w:r>
          </w:p>
        </w:tc>
        <w:tc>
          <w:tcPr>
            <w:tcW w:w="5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c>
          <w:tcPr>
            <w:tcW w:w="19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Range</w:t>
            </w:r>
          </w:p>
        </w:tc>
      </w:tr>
      <w:tr>
        <w:trPr>
          <w:trHeight w:val="242"/>
        </w:trPr>
        <w:tc>
          <w:tcPr>
            <w:tcW w:w="2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Techniques</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w:t>
            </w:r>
          </w:p>
        </w:tc>
        <w:tc>
          <w:tcPr>
            <w:tcW w:w="19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7"/>
              </w:rPr>
              <w:t>(Weighted Avg.)</w:t>
            </w: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March 31, 2024</w:t>
            </w:r>
          </w:p>
        </w:tc>
        <w:tc>
          <w:tcPr>
            <w:tcW w:w="206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22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2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Appraisal of collateral</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92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10% - 75% (24%)</w:t>
            </w:r>
          </w:p>
        </w:tc>
      </w:tr>
      <w:tr>
        <w:trPr>
          <w:trHeight w:val="223"/>
        </w:trPr>
        <w:tc>
          <w:tcPr>
            <w:tcW w:w="2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2060" w:type="dxa"/>
            <w:vAlign w:val="bottom"/>
            <w:tcBorders>
              <w:bottom w:val="single" w:sz="8" w:color="auto"/>
            </w:tcBorders>
            <w:shd w:val="clear" w:color="auto" w:fill="CFF0FC"/>
          </w:tcPr>
          <w:p>
            <w:pPr>
              <w:jc w:val="center"/>
              <w:ind w:right="119"/>
              <w:spacing w:after="0"/>
              <w:rPr>
                <w:sz w:val="20"/>
                <w:szCs w:val="20"/>
                <w:color w:val="auto"/>
              </w:rPr>
            </w:pPr>
            <w:r>
              <w:rPr>
                <w:rFonts w:ascii="Times New Roman" w:cs="Times New Roman" w:eastAsia="Times New Roman" w:hAnsi="Times New Roman"/>
                <w:sz w:val="16"/>
                <w:szCs w:val="16"/>
                <w:color w:val="auto"/>
              </w:rPr>
              <w:t>Appraisal of collateral</w:t>
            </w:r>
          </w:p>
        </w:tc>
        <w:tc>
          <w:tcPr>
            <w:tcW w:w="51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Costs to Sell</w:t>
            </w:r>
          </w:p>
        </w:tc>
        <w:tc>
          <w:tcPr>
            <w:tcW w:w="1920" w:type="dxa"/>
            <w:vAlign w:val="bottom"/>
            <w:tcBorders>
              <w:bottom w:val="single" w:sz="8" w:color="auto"/>
            </w:tcBorders>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21% - 24% (22%)</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20" w:type="dxa"/>
            <w:vAlign w:val="bottom"/>
            <w:tcBorders>
              <w:bottom w:val="single" w:sz="8" w:color="auto"/>
            </w:tcBorders>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21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Valuation</w:t>
            </w:r>
          </w:p>
        </w:tc>
        <w:tc>
          <w:tcPr>
            <w:tcW w:w="5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Unobservable</w:t>
            </w:r>
          </w:p>
        </w:tc>
        <w:tc>
          <w:tcPr>
            <w:tcW w:w="18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Range</w:t>
            </w:r>
          </w:p>
        </w:tc>
      </w:tr>
      <w:tr>
        <w:trPr>
          <w:trHeight w:val="242"/>
        </w:trPr>
        <w:tc>
          <w:tcPr>
            <w:tcW w:w="2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Techniques</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Input</w:t>
            </w:r>
          </w:p>
        </w:tc>
        <w:tc>
          <w:tcPr>
            <w:tcW w:w="18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(Weighted Avg.)</w:t>
            </w:r>
          </w:p>
        </w:tc>
      </w:tr>
      <w:tr>
        <w:trPr>
          <w:trHeight w:val="22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2023</w:t>
            </w:r>
          </w:p>
        </w:tc>
        <w:tc>
          <w:tcPr>
            <w:tcW w:w="212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23"/>
        </w:trPr>
        <w:tc>
          <w:tcPr>
            <w:tcW w:w="2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2120" w:type="dxa"/>
            <w:vAlign w:val="bottom"/>
            <w:tcBorders>
              <w:bottom w:val="single" w:sz="8" w:color="auto"/>
            </w:tcBorders>
            <w:shd w:val="clear" w:color="auto" w:fill="CFF0FC"/>
          </w:tcPr>
          <w:p>
            <w:pPr>
              <w:jc w:val="center"/>
              <w:ind w:right="1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Discounted Cash Flow</w:t>
            </w:r>
          </w:p>
        </w:tc>
        <w:tc>
          <w:tcPr>
            <w:tcW w:w="1820" w:type="dxa"/>
            <w:vAlign w:val="bottom"/>
            <w:tcBorders>
              <w:bottom w:val="single" w:sz="8" w:color="auto"/>
            </w:tcBorders>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w w:val="99"/>
              </w:rPr>
              <w:t>10% - 75% (21%)</w:t>
            </w:r>
          </w:p>
        </w:tc>
      </w:tr>
      <w:tr>
        <w:trPr>
          <w:trHeight w:val="223"/>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21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Costs to Sell</w:t>
            </w:r>
          </w:p>
        </w:tc>
        <w:tc>
          <w:tcPr>
            <w:tcW w:w="18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21% - 24% (22%)</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have been no transfers of assets into or out of any fair value measurement level during the three months ended March 31, 2024 or 2023.</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 The carrying amounts of these assets approximate their fair value and are classified as Level 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Home Loan Bank stock – The carrying amount of these assets approximates their fair value and are classified as Level 2.</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Accrued interest receivable and payable – The carrying amount of these assets approximates their fair value and are classified as Level 1.</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carrying amounts and fair values of the Company’s financial instruments as of the indicated dates are presented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Fair Value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Carrying</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Carrying</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Estimated</w:t>
            </w:r>
          </w:p>
        </w:tc>
      </w:tr>
      <w:tr>
        <w:trPr>
          <w:trHeight w:val="245"/>
        </w:trPr>
        <w:tc>
          <w:tcPr>
            <w:tcW w:w="4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Hierarchy</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r>
      <w:tr>
        <w:trPr>
          <w:trHeight w:val="189"/>
        </w:trPr>
        <w:tc>
          <w:tcPr>
            <w:tcW w:w="20" w:type="dxa"/>
            <w:vAlign w:val="bottom"/>
            <w:shd w:val="clear" w:color="auto" w:fill="CFF0FC"/>
          </w:tcPr>
          <w:p>
            <w:pPr>
              <w:spacing w:after="0"/>
              <w:rPr>
                <w:sz w:val="16"/>
                <w:szCs w:val="16"/>
                <w:color w:val="auto"/>
              </w:rPr>
            </w:pPr>
          </w:p>
        </w:tc>
        <w:tc>
          <w:tcPr>
            <w:tcW w:w="462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Financial assets:</w:t>
            </w:r>
          </w:p>
        </w:tc>
        <w:tc>
          <w:tcPr>
            <w:tcW w:w="1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3180" w:type="dxa"/>
            <w:vAlign w:val="bottom"/>
            <w:tcBorders>
              <w:top w:val="single" w:sz="8" w:color="CFF0FC"/>
            </w:tcBorders>
            <w:shd w:val="clear" w:color="auto" w:fill="CFF0FC"/>
          </w:tcPr>
          <w:p>
            <w:pPr>
              <w:spacing w:after="0"/>
              <w:rPr>
                <w:sz w:val="2"/>
                <w:szCs w:val="2"/>
                <w:color w:val="auto"/>
              </w:rPr>
            </w:pPr>
          </w:p>
        </w:tc>
        <w:tc>
          <w:tcPr>
            <w:tcW w:w="144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29,223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48,732</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274,514</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274,514</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254,167</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254,167</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2"/>
              </w:rPr>
              <w:t>NAV</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4,343</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 marketable equity</w:t>
            </w:r>
          </w:p>
        </w:tc>
        <w:tc>
          <w:tcPr>
            <w:tcW w:w="144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2"/>
              </w:rPr>
              <w:t>NAV</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3,342</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3,206</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Investment securities - held-to-maturity</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172,648</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162,368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168,034</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7,031</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8,748</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loans</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874,876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819,350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881,232</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823,052</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7,170</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7,286</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derivative cash flow hedge receivable/(payable)</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5"/>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derivative fair value hedges receivable - AFS</w:t>
            </w: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48"/>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3,509</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3,113</w:t>
            </w:r>
          </w:p>
        </w:tc>
      </w:tr>
      <w:tr>
        <w:trPr>
          <w:trHeight w:val="239"/>
        </w:trPr>
        <w:tc>
          <w:tcPr>
            <w:tcW w:w="4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derivative fair value hedges receivable - loans</w:t>
            </w: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3,035</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1,477</w:t>
            </w:r>
          </w:p>
        </w:tc>
      </w:tr>
      <w:tr>
        <w:trPr>
          <w:trHeight w:val="241"/>
        </w:trPr>
        <w:tc>
          <w:tcPr>
            <w:tcW w:w="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189"/>
        </w:trPr>
        <w:tc>
          <w:tcPr>
            <w:tcW w:w="46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Financial liabilities:</w:t>
            </w: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Demand Deposits, Savings, NOW and MMDA</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613,495</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613,495</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607,301</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607,301</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532,618</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536,928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512,766</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517,514</w:t>
            </w:r>
          </w:p>
        </w:tc>
      </w:tr>
      <w:tr>
        <w:trPr>
          <w:trHeight w:val="247"/>
        </w:trPr>
        <w:tc>
          <w:tcPr>
            <w:tcW w:w="46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44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137,446</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136,062</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175,599</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174,071</w:t>
            </w:r>
          </w:p>
        </w:tc>
      </w:tr>
      <w:tr>
        <w:trPr>
          <w:trHeight w:val="239"/>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28,171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28,026</w:t>
            </w:r>
          </w:p>
        </w:tc>
      </w:tr>
      <w:tr>
        <w:trPr>
          <w:trHeight w:val="243"/>
        </w:trPr>
        <w:tc>
          <w:tcPr>
            <w:tcW w:w="4640" w:type="dxa"/>
            <w:vAlign w:val="bottom"/>
            <w:tcBorders>
              <w:bottom w:val="single" w:sz="8" w:color="auto"/>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440" w:type="dxa"/>
            <w:vAlign w:val="bottom"/>
            <w:tcBorders>
              <w:bottom w:val="single" w:sz="8" w:color="auto"/>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2,245</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Interest Rate Derivatives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is exposed to certain risks relate to both its business operations and changes in economic conditions. As part of managing interest rate risk, the Company periodically enters into standardized interest rate derivative contracts (designated as hedging agreements) to modify the repricing characteristics of certain portions of the Company’s earning assets and interest-bearing liabilities portfolios. The Company designates interest rate hedging agreements utilized in the management of interest rate risk as either fair value hedges or cash flow hedges. Interest rate hedging agreements are recorded at fair value as other assets or liabilities. The Company had no material derivative contracts not designated as hedging agreements at March 31, 2024 or December 31,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5" w:name="page36"/>
    <w:bookmarkEnd w:id="35"/>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interest rate fluctuations, fixed-rate interest-earning assets and interest-bearing liabilities will appreciate or depreciate in fair value. When effectively hedged, this fair value appreciation or depreciation will generally be offset by substantially identical changes in the fair value of derivative instruments that are linked to the hedged assets and liabilities. This strategy is referred to as fair value hedging and the derivative instruments employed in this strategy are therefore designated as fair value hedges. In a fair value hedge, the fair value of the derivative (the interest rate hedging agreement) is recorded in the Company’s consolidated balance sheet with the corresponding gain or loss recognized as an adjustment to the carrying balance of the hedged asset or liability. Changes in the correlation between the hedging instrument and the hedged asset or liability that give rise to differences between the changes in the fair value of the interest rate hedging agreements and the hedged items represents hedge ineffectiveness and are recorded as adjustments to the interest income or interest expense of the respective hedged instrument. In the case of pay-fixed or receive-fixed interest rate swap agreements, designated as fair value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cash flow hedging and the derivative instruments employed in these strategies are therefore designated as cash flow hedges. In a cash flow hedge, the effective portion of the derivative’s gain or loss is initially reported as a component of accumulated other comprehensive income and subsequently reclassified into earnings when the forecasted transaction affects earnings. In the case of pay-fixed or receive-fixed interest rate swap agreements, designated as cash flow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 The Company had no interest rate cap or floor contracts in place at March 31, 2024 or December 31,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March 31, 2024 and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Cumulative Amount of</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Cumulative Amount of</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Fair Value Hedging</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Fair Value Hedging</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Adjustment Subtracted</w:t>
            </w:r>
          </w:p>
        </w:tc>
        <w:tc>
          <w:tcPr>
            <w:tcW w:w="300" w:type="dxa"/>
            <w:vAlign w:val="bottom"/>
          </w:tcPr>
          <w:p>
            <w:pPr>
              <w:spacing w:after="0"/>
              <w:rPr>
                <w:sz w:val="18"/>
                <w:szCs w:val="18"/>
                <w:color w:val="auto"/>
              </w:rPr>
            </w:pPr>
          </w:p>
        </w:tc>
        <w:tc>
          <w:tcPr>
            <w:tcW w:w="18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Hedge-Adjusted</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Adjustment Subtracted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from Carrying Amount</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from Carrying Amount</w:t>
            </w:r>
          </w:p>
        </w:tc>
        <w:tc>
          <w:tcPr>
            <w:tcW w:w="0" w:type="dxa"/>
            <w:vAlign w:val="bottom"/>
          </w:tcPr>
          <w:p>
            <w:pPr>
              <w:spacing w:after="0"/>
              <w:rPr>
                <w:sz w:val="1"/>
                <w:szCs w:val="1"/>
                <w:color w:val="auto"/>
              </w:rPr>
            </w:pPr>
          </w:p>
        </w:tc>
      </w:tr>
      <w:tr>
        <w:trPr>
          <w:trHeight w:val="216"/>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18"/>
                <w:szCs w:val="18"/>
                <w:color w:val="auto"/>
              </w:rPr>
            </w:pPr>
          </w:p>
        </w:tc>
        <w:tc>
          <w:tcPr>
            <w:tcW w:w="19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of the Hedged Assets at</w:t>
            </w:r>
          </w:p>
        </w:tc>
        <w:tc>
          <w:tcPr>
            <w:tcW w:w="300" w:type="dxa"/>
            <w:vAlign w:val="bottom"/>
          </w:tcPr>
          <w:p>
            <w:pPr>
              <w:spacing w:after="0"/>
              <w:rPr>
                <w:sz w:val="18"/>
                <w:szCs w:val="18"/>
                <w:color w:val="auto"/>
              </w:rPr>
            </w:pPr>
          </w:p>
        </w:tc>
        <w:tc>
          <w:tcPr>
            <w:tcW w:w="18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of the Hedged Assets at</w:t>
            </w:r>
          </w:p>
        </w:tc>
        <w:tc>
          <w:tcPr>
            <w:tcW w:w="0" w:type="dxa"/>
            <w:vAlign w:val="bottom"/>
          </w:tcPr>
          <w:p>
            <w:pPr>
              <w:spacing w:after="0"/>
              <w:rPr>
                <w:sz w:val="1"/>
                <w:szCs w:val="1"/>
                <w:color w:val="auto"/>
              </w:rPr>
            </w:pPr>
          </w:p>
        </w:tc>
      </w:tr>
      <w:tr>
        <w:trPr>
          <w:trHeight w:val="241"/>
        </w:trPr>
        <w:tc>
          <w:tcPr>
            <w:tcW w:w="25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March 31, 2024</w:t>
            </w: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0" w:type="dxa"/>
            <w:vAlign w:val="bottom"/>
          </w:tcPr>
          <w:p>
            <w:pPr>
              <w:spacing w:after="0"/>
              <w:rPr>
                <w:sz w:val="1"/>
                <w:szCs w:val="1"/>
                <w:color w:val="auto"/>
              </w:rPr>
            </w:pPr>
          </w:p>
        </w:tc>
      </w:tr>
      <w:tr>
        <w:trPr>
          <w:trHeight w:val="21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Line item on the balance sheet in which the hedged item is included:</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Available-for-sale securities </w:t>
            </w:r>
            <w:r>
              <w:rPr>
                <w:rFonts w:ascii="Times New Roman" w:cs="Times New Roman" w:eastAsia="Times New Roman" w:hAnsi="Times New Roman"/>
                <w:sz w:val="24"/>
                <w:szCs w:val="24"/>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88,352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95,887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43"/>
        </w:trPr>
        <w:tc>
          <w:tcPr>
            <w:tcW w:w="25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Loans receivable </w:t>
            </w:r>
            <w:r>
              <w:rPr>
                <w:rFonts w:ascii="Times New Roman" w:cs="Times New Roman" w:eastAsia="Times New Roman" w:hAnsi="Times New Roman"/>
                <w:sz w:val="24"/>
                <w:szCs w:val="24"/>
                <w:color w:val="auto"/>
                <w:vertAlign w:val="superscript"/>
              </w:rPr>
              <w:t>(2)</w:t>
            </w: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149,725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3,035</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156,836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760" w:hanging="374"/>
        <w:spacing w:after="0" w:line="248" w:lineRule="auto"/>
        <w:tabs>
          <w:tab w:leader="none" w:pos="7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$88.4 million carrying amount of hedged assets represents the hedge-adjusted amortized cost basis of specifically-identified municipal and GSE-backed securities designated as the underlying assets for the hedging relationships. The notional amount of the designated hedges were $83.5 million and $89.1 million at March 31, 2024 and December 31, 2023, respectively. The fair value of the derivatives (an unrealized gain, receivable from derivative counterparties) recorded in other assets resulted in a net asset position of $3.5 million and $3.1 million at March 31, 2024 and December 31, 2023, respectively. The Company's participation in fair value hedging transactions increased investment security interest income by $632,000 and $340,000 at March 31, 2024 and March 31, 2023, respectively.</w:t>
      </w:r>
    </w:p>
    <w:p>
      <w:pPr>
        <w:spacing w:after="0" w:line="395" w:lineRule="exact"/>
        <w:rPr>
          <w:rFonts w:ascii="Times New Roman" w:cs="Times New Roman" w:eastAsia="Times New Roman" w:hAnsi="Times New Roman"/>
          <w:sz w:val="22"/>
          <w:szCs w:val="22"/>
          <w:color w:val="auto"/>
          <w:vertAlign w:val="superscript"/>
        </w:rPr>
      </w:pPr>
    </w:p>
    <w:p>
      <w:pPr>
        <w:ind w:left="760" w:right="1660" w:hanging="374"/>
        <w:spacing w:after="0" w:line="226" w:lineRule="auto"/>
        <w:tabs>
          <w:tab w:leader="none" w:pos="7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$149.7 million carrying amount of hedged assets represents the hedge-adjusted amortized cost of a designated pool of residential mortgages and the aggregate hedge-adjusted amortized cost of four specified purchased consumer loan pools. These pools of loans were</w:t>
      </w:r>
    </w:p>
    <w:p>
      <w:pPr>
        <w:spacing w:after="0" w:line="1" w:lineRule="exact"/>
        <w:rPr>
          <w:rFonts w:ascii="Times New Roman" w:cs="Times New Roman" w:eastAsia="Times New Roman" w:hAnsi="Times New Roman"/>
          <w:sz w:val="22"/>
          <w:szCs w:val="22"/>
          <w:color w:val="auto"/>
          <w:vertAlign w:val="superscript"/>
        </w:rPr>
      </w:pPr>
    </w:p>
    <w:p>
      <w:pPr>
        <w:jc w:val="both"/>
        <w:ind w:left="760"/>
        <w:spacing w:after="0" w:line="268"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$137.8 million and $141.0 million at March 31, 2024 and December 31, 2023, respectively. At March 31, 2024, the fair value of the derivatives recorded in other assets (an unrealized gain, receivable from derivative counterparties) resulted in a net asset position of $3.0 million, recorded by the Company in other assets. The Company’s participation in fair value hedging transactions increased interest income by $628,000 and $205,000, for the periods ended March 31, 2024 and March 31, 2023, respectively. Details of the two hedging strategies, in place at March 31, 2024 are presented below:</w:t>
      </w:r>
    </w:p>
    <w:p>
      <w:pPr>
        <w:spacing w:after="0" w:line="190" w:lineRule="exact"/>
        <w:rPr>
          <w:rFonts w:ascii="Times New Roman" w:cs="Times New Roman" w:eastAsia="Times New Roman" w:hAnsi="Times New Roman"/>
          <w:sz w:val="22"/>
          <w:szCs w:val="22"/>
          <w:color w:val="auto"/>
          <w:vertAlign w:val="superscript"/>
        </w:rPr>
      </w:pPr>
    </w:p>
    <w:p>
      <w:pPr>
        <w:ind w:left="1500" w:right="1340" w:hanging="369"/>
        <w:spacing w:after="0" w:line="253"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April 7, 2023 the Bank entered into an amortizing swap transaction with an initial notional amount of $100.0 million whereby the Bank will receive 3-month SOFR monthly based on the notional amount of the swap contract at the beginning of each month</w:t>
      </w:r>
    </w:p>
    <w:p>
      <w:pPr>
        <w:jc w:val="both"/>
        <w:ind w:left="15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until the swap transaction expires in 2035. The notional amount of the swap declines monthly according to a predetermined amortization schedule and was $87.8 million at March 31, 2024. The Bank will pay a fixed rate of 3.208% to the contract's counterparty throughout the life of the contract based on each month's beginning notional balance. The fair value of this swap contract was $2.8 million at March 31, 2024.</w:t>
      </w:r>
    </w:p>
    <w:p>
      <w:pPr>
        <w:spacing w:after="0" w:line="180" w:lineRule="exact"/>
        <w:rPr>
          <w:rFonts w:ascii="Times New Roman" w:cs="Times New Roman" w:eastAsia="Times New Roman" w:hAnsi="Times New Roman"/>
          <w:sz w:val="18"/>
          <w:szCs w:val="18"/>
          <w:color w:val="auto"/>
        </w:rPr>
      </w:pPr>
    </w:p>
    <w:p>
      <w:pPr>
        <w:ind w:left="1500" w:right="1360" w:hanging="369"/>
        <w:spacing w:after="0" w:line="253"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December 7, 2023, the Bank entered into five fixed-pay interest rate swap contracts with a total notional amount of $50.0 million, whereby the Bank will receive 3-month SOFR monthly until the respective maturity dates of the contracts. The contracts</w:t>
      </w:r>
    </w:p>
    <w:p>
      <w:pPr>
        <w:jc w:val="both"/>
        <w:ind w:left="15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expire in annual increments on December 1 of 2025 ($5.0 million, fixed rate of 4.463%), 2026 ($5.0 million, fixed rate of 4.136%), 2027 ($10.0 million, fixed rate of 3.973%), 2028 ($15.0 million, fixed rate of 3.887%), and 2029 ($15.0 million, fixed rate of 3.845%). The fair value of these swap contracts in aggregate were $234,000 at March 31, 2024.</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hedging contracts accounted for as fair value hedges, increased the yield on investment securities and loans by 0.29% and 0.28%, respectively, in the three months ended March 31, 2024. The hedging contracts noted above, accounted for as fair value hedges, increased the yield on investment securities and loans by 0.18% and 0.09%, respectively, in the three months ended March 31, 2023.</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summarize the net effects of the Company's fair value and cash flow hedges for the three months ended March 31, 2024 and March 31, 2023,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6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50"/>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Period Ending Notional</w:t>
            </w:r>
          </w:p>
        </w:tc>
        <w:tc>
          <w:tcPr>
            <w:tcW w:w="20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Cash Received (Paid)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43"/>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83,519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3,509</w:t>
            </w:r>
          </w:p>
        </w:tc>
      </w:tr>
      <w:tr>
        <w:trPr>
          <w:trHeight w:val="239"/>
        </w:trPr>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138,903</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137,850</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3,035</w:t>
            </w:r>
          </w:p>
        </w:tc>
      </w:tr>
      <w:tr>
        <w:trPr>
          <w:trHeight w:val="277"/>
        </w:trPr>
        <w:tc>
          <w:tcPr>
            <w:tcW w:w="18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226,403</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221,369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6,544</w:t>
            </w:r>
          </w:p>
        </w:tc>
      </w:tr>
      <w:tr>
        <w:trPr>
          <w:trHeight w:val="707"/>
        </w:trPr>
        <w:tc>
          <w:tcPr>
            <w:tcW w:w="1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Cash Received (Paid)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43"/>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52,120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5,237</w:t>
            </w:r>
          </w:p>
        </w:tc>
      </w:tr>
      <w:tr>
        <w:trPr>
          <w:trHeight w:val="239"/>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1,178</w:t>
            </w:r>
          </w:p>
        </w:tc>
      </w:tr>
      <w:tr>
        <w:trPr>
          <w:trHeight w:val="277"/>
        </w:trPr>
        <w:tc>
          <w:tcPr>
            <w:tcW w:w="18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77,728</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6,415</w:t>
            </w:r>
          </w:p>
        </w:tc>
      </w:tr>
      <w:tr>
        <w:trPr>
          <w:trHeight w:val="44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18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Cash Received (Paid)</w:t>
            </w:r>
          </w:p>
        </w:tc>
        <w:tc>
          <w:tcPr>
            <w:tcW w:w="260" w:type="dxa"/>
            <w:vAlign w:val="bottom"/>
          </w:tcPr>
          <w:p>
            <w:pPr>
              <w:spacing w:after="0"/>
              <w:rPr>
                <w:sz w:val="18"/>
                <w:szCs w:val="18"/>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Fair Value Receivable at</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Period End</w:t>
            </w:r>
          </w:p>
        </w:tc>
      </w:tr>
      <w:tr>
        <w:trPr>
          <w:trHeight w:val="279"/>
        </w:trPr>
        <w:tc>
          <w:tcPr>
            <w:tcW w:w="1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r>
      <w:tr>
        <w:trPr>
          <w:trHeight w:val="707"/>
        </w:trPr>
        <w:tc>
          <w:tcPr>
            <w:tcW w:w="1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11"/>
        </w:trPr>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Cash Received (Paid)</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 Payable at Period</w:t>
            </w:r>
          </w:p>
        </w:tc>
      </w:tr>
      <w:tr>
        <w:trPr>
          <w:trHeight w:val="241"/>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Category</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Ending Notional Balance</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End</w:t>
            </w:r>
          </w:p>
        </w:tc>
      </w:tr>
      <w:tr>
        <w:trPr>
          <w:trHeight w:val="279"/>
        </w:trPr>
        <w:tc>
          <w:tcPr>
            <w:tcW w:w="18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Borrowed Funds</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pre-tax gains of the Company’s derivatives designated as cash flow hedges in AOCI at March 31, 2024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 2024</w:t>
            </w:r>
          </w:p>
        </w:tc>
        <w:tc>
          <w:tcPr>
            <w:tcW w:w="6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7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00" w:type="dxa"/>
            <w:vAlign w:val="bottom"/>
            <w:shd w:val="clear" w:color="auto" w:fill="CFF0FC"/>
          </w:tcPr>
          <w:p>
            <w:pPr>
              <w:spacing w:after="0"/>
              <w:rPr>
                <w:sz w:val="23"/>
                <w:szCs w:val="23"/>
                <w:color w:val="auto"/>
              </w:rPr>
            </w:pPr>
          </w:p>
        </w:tc>
        <w:tc>
          <w:tcPr>
            <w:tcW w:w="180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900" w:type="dxa"/>
            <w:vAlign w:val="bottom"/>
            <w:shd w:val="clear" w:color="auto" w:fill="CFF0FC"/>
          </w:tcPr>
          <w:p>
            <w:pPr>
              <w:spacing w:after="0"/>
              <w:rPr>
                <w:sz w:val="23"/>
                <w:szCs w:val="23"/>
                <w:color w:val="auto"/>
              </w:rPr>
            </w:pPr>
          </w:p>
        </w:tc>
      </w:tr>
      <w:tr>
        <w:trPr>
          <w:trHeight w:val="264"/>
        </w:trPr>
        <w:tc>
          <w:tcPr>
            <w:tcW w:w="4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Fair market value adjustment interest rate swap</w:t>
            </w:r>
          </w:p>
        </w:tc>
        <w:tc>
          <w:tcPr>
            <w:tcW w:w="2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556</w:t>
            </w: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303"/>
        </w:trPr>
        <w:tc>
          <w:tcPr>
            <w:tcW w:w="49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gain in comprehensive income</w:t>
            </w:r>
          </w:p>
        </w:tc>
        <w:tc>
          <w:tcPr>
            <w:tcW w:w="20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556</w:t>
            </w:r>
          </w:p>
        </w:tc>
        <w:tc>
          <w:tcPr>
            <w:tcW w:w="62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amounts of hedge ineffectiveness, recognized at March 31, 2024 and December 31, 2023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collateral or settlement provisions, the Company believes that the credit risk inherent in these contracts was not material at March 31, 2024.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Accumulated Other Comprehensive (Loss) Income</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Changes in the components of accumulated other comprehensive (loss) income (“AOCI”), net of tax, for the periods indicated are summarized in the tables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For the three months ended March 31, 2024</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Net</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Unrealized</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Gain</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Loss on</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Unrealized Loss on</w:t>
            </w:r>
          </w:p>
        </w:tc>
        <w:tc>
          <w:tcPr>
            <w:tcW w:w="20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on Derivatives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Retirement</w:t>
            </w:r>
          </w:p>
        </w:tc>
        <w:tc>
          <w:tcPr>
            <w:tcW w:w="16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Available-for-Sale</w:t>
            </w:r>
          </w:p>
        </w:tc>
        <w:tc>
          <w:tcPr>
            <w:tcW w:w="20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and Hedging</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Plans</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Activities</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(2,073 )</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(7,564 )</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(9,605 )</w:t>
            </w:r>
          </w:p>
        </w:tc>
        <w:tc>
          <w:tcPr>
            <w:tcW w:w="0" w:type="dxa"/>
            <w:vAlign w:val="bottom"/>
          </w:tcPr>
          <w:p>
            <w:pPr>
              <w:spacing w:after="0"/>
              <w:rPr>
                <w:sz w:val="1"/>
                <w:szCs w:val="1"/>
                <w:color w:val="auto"/>
              </w:rPr>
            </w:pPr>
          </w:p>
        </w:tc>
      </w:tr>
      <w:tr>
        <w:trPr>
          <w:trHeight w:val="239"/>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223</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379</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114</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63"/>
        </w:trPr>
        <w:tc>
          <w:tcPr>
            <w:tcW w:w="6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(2,046 )</w:t>
            </w:r>
          </w:p>
        </w:tc>
        <w:tc>
          <w:tcPr>
            <w:tcW w:w="5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(7,227 )</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411</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(8,862 )</w:t>
            </w:r>
          </w:p>
        </w:tc>
        <w:tc>
          <w:tcPr>
            <w:tcW w:w="0" w:type="dxa"/>
            <w:vAlign w:val="bottom"/>
          </w:tcPr>
          <w:p>
            <w:pPr>
              <w:spacing w:after="0"/>
              <w:rPr>
                <w:sz w:val="1"/>
                <w:szCs w:val="1"/>
                <w:color w:val="auto"/>
              </w:rPr>
            </w:pPr>
          </w:p>
        </w:tc>
      </w:tr>
      <w:tr>
        <w:trPr>
          <w:trHeight w:val="413"/>
        </w:trPr>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For the three months ended March 31, 2023</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Net</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Unrealized</w:t>
            </w: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Gain</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Loss on</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Unrealized Loss on</w:t>
            </w:r>
          </w:p>
        </w:tc>
        <w:tc>
          <w:tcPr>
            <w:tcW w:w="20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on Derivatives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Retirement</w:t>
            </w:r>
          </w:p>
        </w:tc>
        <w:tc>
          <w:tcPr>
            <w:tcW w:w="16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Available-for-Sale</w:t>
            </w:r>
          </w:p>
        </w:tc>
        <w:tc>
          <w:tcPr>
            <w:tcW w:w="20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and Hedging</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Plans</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Activities</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(2,427 )</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(10,127 )</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382</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(12,172 )</w:t>
            </w:r>
          </w:p>
        </w:tc>
        <w:tc>
          <w:tcPr>
            <w:tcW w:w="0" w:type="dxa"/>
            <w:vAlign w:val="bottom"/>
          </w:tcPr>
          <w:p>
            <w:pPr>
              <w:spacing w:after="0"/>
              <w:rPr>
                <w:sz w:val="1"/>
                <w:szCs w:val="1"/>
                <w:color w:val="auto"/>
              </w:rPr>
            </w:pPr>
          </w:p>
        </w:tc>
      </w:tr>
      <w:tr>
        <w:trPr>
          <w:trHeight w:val="239"/>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(376 )</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(455 )</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(831 )</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1,428</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1,469</w:t>
            </w:r>
          </w:p>
        </w:tc>
        <w:tc>
          <w:tcPr>
            <w:tcW w:w="0" w:type="dxa"/>
            <w:vAlign w:val="bottom"/>
          </w:tcPr>
          <w:p>
            <w:pPr>
              <w:spacing w:after="0"/>
              <w:rPr>
                <w:sz w:val="1"/>
                <w:szCs w:val="1"/>
                <w:color w:val="auto"/>
              </w:rPr>
            </w:pPr>
          </w:p>
        </w:tc>
      </w:tr>
      <w:tr>
        <w:trPr>
          <w:trHeight w:val="263"/>
        </w:trPr>
        <w:tc>
          <w:tcPr>
            <w:tcW w:w="60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(2,386 )</w:t>
            </w:r>
          </w:p>
        </w:tc>
        <w:tc>
          <w:tcPr>
            <w:tcW w:w="52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(9,075 )</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(73 )</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(11,534 )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following table presents the amounts reclassified out of each component of AOCI for the indicated period: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Amount Reclassified</w:t>
            </w:r>
          </w:p>
        </w:tc>
      </w:tr>
      <w:tr>
        <w:trPr>
          <w:trHeight w:val="243"/>
        </w:trPr>
        <w:tc>
          <w:tcPr>
            <w:tcW w:w="33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from AOCI (1)</w:t>
            </w:r>
          </w:p>
        </w:tc>
      </w:tr>
      <w:tr>
        <w:trPr>
          <w:trHeight w:val="250"/>
        </w:trPr>
        <w:tc>
          <w:tcPr>
            <w:tcW w:w="33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color w:val="auto"/>
              </w:rPr>
              <w:t>(Unaudited)</w:t>
            </w:r>
          </w:p>
        </w:tc>
      </w:tr>
      <w:tr>
        <w:trPr>
          <w:trHeight w:val="23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For the three months ended</w:t>
            </w:r>
          </w:p>
        </w:tc>
      </w:tr>
      <w:tr>
        <w:trPr>
          <w:trHeight w:val="23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Details about AOCI (1) components</w:t>
            </w:r>
          </w:p>
        </w:tc>
        <w:tc>
          <w:tcPr>
            <w:tcW w:w="48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Affected Line Item in the Statement of Income</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41"/>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plan items</w:t>
            </w:r>
          </w:p>
        </w:tc>
        <w:tc>
          <w:tcPr>
            <w:tcW w:w="48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11"/>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plan net losses</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recognized in plan expenses (2)</w:t>
            </w:r>
          </w:p>
        </w:tc>
        <w:tc>
          <w:tcPr>
            <w:tcW w:w="48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5"/>
        </w:trPr>
        <w:tc>
          <w:tcPr>
            <w:tcW w:w="3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480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338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1"/>
        </w:trPr>
        <w:tc>
          <w:tcPr>
            <w:tcW w:w="3380" w:type="dxa"/>
            <w:vAlign w:val="bottom"/>
          </w:tcPr>
          <w:p>
            <w:pPr>
              <w:spacing w:after="0"/>
              <w:rPr>
                <w:sz w:val="18"/>
                <w:szCs w:val="18"/>
                <w:color w:val="auto"/>
              </w:rPr>
            </w:pPr>
          </w:p>
        </w:tc>
        <w:tc>
          <w:tcPr>
            <w:tcW w:w="48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Net gains on sales and redemptions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 on sale of securities</w:t>
            </w:r>
          </w:p>
        </w:tc>
        <w:tc>
          <w:tcPr>
            <w:tcW w:w="48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investment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(1,933 )</w:t>
            </w:r>
          </w:p>
        </w:tc>
      </w:tr>
      <w:tr>
        <w:trPr>
          <w:trHeight w:val="245"/>
        </w:trPr>
        <w:tc>
          <w:tcPr>
            <w:tcW w:w="3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w:t>
            </w:r>
          </w:p>
        </w:tc>
        <w:tc>
          <w:tcPr>
            <w:tcW w:w="480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r>
      <w:tr>
        <w:trPr>
          <w:trHeight w:val="232"/>
        </w:trPr>
        <w:tc>
          <w:tcPr>
            <w:tcW w:w="3380" w:type="dxa"/>
            <w:vAlign w:val="bottom"/>
          </w:tcPr>
          <w:p>
            <w:pPr>
              <w:spacing w:after="0"/>
              <w:rPr>
                <w:sz w:val="20"/>
                <w:szCs w:val="20"/>
                <w:color w:val="auto"/>
              </w:rPr>
            </w:pPr>
          </w:p>
        </w:tc>
        <w:tc>
          <w:tcPr>
            <w:tcW w:w="48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parentheses indicates debits in net income.</w:t>
      </w:r>
    </w:p>
    <w:p>
      <w:pPr>
        <w:spacing w:after="0" w:line="26" w:lineRule="exact"/>
        <w:rPr>
          <w:rFonts w:ascii="Times New Roman" w:cs="Times New Roman" w:eastAsia="Times New Roman" w:hAnsi="Times New Roman"/>
          <w:sz w:val="16"/>
          <w:szCs w:val="16"/>
          <w:color w:val="auto"/>
        </w:rPr>
      </w:pPr>
    </w:p>
    <w:p>
      <w:pPr>
        <w:ind w:left="380" w:right="7380" w:hanging="372"/>
        <w:spacing w:after="0" w:line="288" w:lineRule="auto"/>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items are included in net periodic pension cost. See Note 5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Note 13: Noninterest Income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included the following table regarding the Company’s noninterest income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300" w:type="dxa"/>
            <w:vAlign w:val="bottom"/>
            <w:tcBorders>
              <w:bottom w:val="single" w:sz="8" w:color="auto"/>
            </w:tcBorders>
          </w:tcPr>
          <w:p>
            <w:pPr>
              <w:spacing w:after="0"/>
              <w:rPr>
                <w:sz w:val="20"/>
                <w:szCs w:val="20"/>
                <w:color w:val="auto"/>
              </w:rPr>
            </w:pPr>
          </w:p>
        </w:tc>
      </w:tr>
      <w:tr>
        <w:trPr>
          <w:trHeight w:val="239"/>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2024</w:t>
            </w: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41"/>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Service charges on deposit accounts</w:t>
            </w: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Insufficient funds fees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47"/>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Deposit related fees</w:t>
            </w:r>
          </w:p>
        </w:tc>
        <w:tc>
          <w:tcPr>
            <w:tcW w:w="5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39"/>
        </w:trPr>
        <w:tc>
          <w:tcPr>
            <w:tcW w:w="6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ATM fees</w:t>
            </w:r>
          </w:p>
        </w:tc>
        <w:tc>
          <w:tcPr>
            <w:tcW w:w="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41"/>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service charges on deposit accounts</w:t>
            </w: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309</w:t>
            </w:r>
          </w:p>
        </w:tc>
        <w:tc>
          <w:tcPr>
            <w:tcW w:w="9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r>
      <w:tr>
        <w:trPr>
          <w:trHeight w:val="24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 Income</w:t>
            </w: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5"/>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Insurance agency revenue</w:t>
            </w:r>
          </w:p>
        </w:tc>
        <w:tc>
          <w:tcPr>
            <w:tcW w:w="5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397</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w:t>
            </w:r>
          </w:p>
        </w:tc>
      </w:tr>
      <w:tr>
        <w:trPr>
          <w:trHeight w:val="23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services revenue</w:t>
            </w:r>
          </w:p>
        </w:tc>
        <w:tc>
          <w:tcPr>
            <w:tcW w:w="50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9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r>
      <w:tr>
        <w:trPr>
          <w:trHeight w:val="247"/>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ATM fees surcharge</w:t>
            </w:r>
          </w:p>
        </w:tc>
        <w:tc>
          <w:tcPr>
            <w:tcW w:w="5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39"/>
        </w:trPr>
        <w:tc>
          <w:tcPr>
            <w:tcW w:w="6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Banking house rents collected</w:t>
            </w:r>
          </w:p>
        </w:tc>
        <w:tc>
          <w:tcPr>
            <w:tcW w:w="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41"/>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fee income</w:t>
            </w: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644</w:t>
            </w:r>
          </w:p>
        </w:tc>
        <w:tc>
          <w:tcPr>
            <w:tcW w:w="9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r>
      <w:tr>
        <w:trPr>
          <w:trHeight w:val="24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Card income</w:t>
            </w: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5"/>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Debit card interchange fees</w:t>
            </w:r>
          </w:p>
        </w:tc>
        <w:tc>
          <w:tcPr>
            <w:tcW w:w="5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r>
      <w:tr>
        <w:trPr>
          <w:trHeight w:val="239"/>
        </w:trPr>
        <w:tc>
          <w:tcPr>
            <w:tcW w:w="6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Merchant card fees</w:t>
            </w:r>
          </w:p>
        </w:tc>
        <w:tc>
          <w:tcPr>
            <w:tcW w:w="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41"/>
        </w:trPr>
        <w:tc>
          <w:tcPr>
            <w:tcW w:w="6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card income</w:t>
            </w:r>
          </w:p>
        </w:tc>
        <w:tc>
          <w:tcPr>
            <w:tcW w:w="50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9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r>
      <w:tr>
        <w:trPr>
          <w:trHeight w:val="20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Mortgage fee income and realized gain on sale of loans</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and foreclosed real estate</w:t>
            </w:r>
          </w:p>
        </w:tc>
        <w:tc>
          <w:tcPr>
            <w:tcW w:w="5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Loan servicing fees</w:t>
            </w:r>
          </w:p>
        </w:tc>
        <w:tc>
          <w:tcPr>
            <w:tcW w:w="5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39"/>
        </w:trPr>
        <w:tc>
          <w:tcPr>
            <w:tcW w:w="6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gains on sales of loans and foreclosed real estate</w:t>
            </w:r>
          </w:p>
        </w:tc>
        <w:tc>
          <w:tcPr>
            <w:tcW w:w="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6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mortgage fee income and realized gain on sale of</w:t>
            </w: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41"/>
        </w:trPr>
        <w:tc>
          <w:tcPr>
            <w:tcW w:w="672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loans and foreclosed real estate</w:t>
            </w:r>
          </w:p>
        </w:tc>
        <w:tc>
          <w:tcPr>
            <w:tcW w:w="5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9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41"/>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1,190</w:t>
            </w:r>
          </w:p>
        </w:tc>
        <w:tc>
          <w:tcPr>
            <w:tcW w:w="9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1,347</w:t>
            </w:r>
          </w:p>
        </w:tc>
      </w:tr>
      <w:tr>
        <w:trPr>
          <w:trHeight w:val="245"/>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Earnings and gains on bank owned life insurance</w:t>
            </w:r>
          </w:p>
        </w:tc>
        <w:tc>
          <w:tcPr>
            <w:tcW w:w="5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11"/>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(losses) gains on sale and redemption of available-for-sale</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held-to-maturity securities</w:t>
            </w:r>
          </w:p>
        </w:tc>
        <w:tc>
          <w:tcPr>
            <w:tcW w:w="50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(148 )</w:t>
            </w:r>
          </w:p>
        </w:tc>
        <w:tc>
          <w:tcPr>
            <w:tcW w:w="9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50"/>
        </w:trPr>
        <w:tc>
          <w:tcPr>
            <w:tcW w:w="6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realized gains on marketable equity securities</w:t>
            </w:r>
          </w:p>
        </w:tc>
        <w:tc>
          <w:tcPr>
            <w:tcW w:w="50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9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Non-recurring gain on lease renegotiations</w:t>
            </w:r>
          </w:p>
        </w:tc>
        <w:tc>
          <w:tcPr>
            <w:tcW w:w="50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9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5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9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9"/>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1,737</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1,592</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discussion of key revenues within the scope of ASC 606 guidance:</w:t>
      </w:r>
    </w:p>
    <w:p>
      <w:pPr>
        <w:spacing w:after="0" w:line="22" w:lineRule="exact"/>
        <w:rPr>
          <w:sz w:val="20"/>
          <w:szCs w:val="20"/>
          <w:color w:val="auto"/>
        </w:rPr>
      </w:pPr>
    </w:p>
    <w:p>
      <w:pPr>
        <w:jc w:val="both"/>
        <w:ind w:left="760" w:hanging="378"/>
        <w:spacing w:after="0" w:line="23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 charges on deposit accounts – </w:t>
      </w:r>
      <w:r>
        <w:rPr>
          <w:rFonts w:ascii="Times New Roman" w:cs="Times New Roman" w:eastAsia="Times New Roman" w:hAnsi="Times New Roman"/>
          <w:sz w:val="20"/>
          <w:szCs w:val="20"/>
          <w:color w:val="auto"/>
        </w:rPr>
        <w:t>Revenue is earned through insufficient funds fees, customer initiated activities or passage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52" w:lineRule="auto"/>
        <w:tabs>
          <w:tab w:leader="none" w:pos="76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Fee income – </w:t>
      </w:r>
      <w:r>
        <w:rPr>
          <w:rFonts w:ascii="Times New Roman" w:cs="Times New Roman" w:eastAsia="Times New Roman" w:hAnsi="Times New Roman"/>
          <w:sz w:val="19"/>
          <w:szCs w:val="19"/>
          <w:color w:val="auto"/>
        </w:rPr>
        <w:t>Revenue is earned through commissions on insurance and securities sales, ATM surcharge fees, and banking house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jc w:val="both"/>
        <w:ind w:left="760" w:hanging="378"/>
        <w:spacing w:after="0" w:line="23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Card income – </w:t>
      </w:r>
      <w:r>
        <w:rPr>
          <w:rFonts w:ascii="Times New Roman" w:cs="Times New Roman" w:eastAsia="Times New Roman" w:hAnsi="Times New Roman"/>
          <w:sz w:val="20"/>
          <w:szCs w:val="20"/>
          <w:color w:val="auto"/>
        </w:rPr>
        <w:t>Card income consists of interchange fees from consumer debit card networks and other related services. Interchange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rates are set by the card networks. Interchange fees are based on purchase volumes and other factors and are recognized as transactions occur.</w:t>
      </w:r>
    </w:p>
    <w:p>
      <w:pPr>
        <w:spacing w:after="0" w:line="1" w:lineRule="exact"/>
        <w:rPr>
          <w:rFonts w:ascii="Times New Roman" w:cs="Times New Roman" w:eastAsia="Times New Roman" w:hAnsi="Times New Roman"/>
          <w:sz w:val="20"/>
          <w:szCs w:val="20"/>
          <w:color w:val="auto"/>
        </w:rPr>
      </w:pPr>
    </w:p>
    <w:p>
      <w:pPr>
        <w:jc w:val="both"/>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Mortgage fee income and realized gain on sale of loans and foreclosed real estate </w:t>
      </w:r>
      <w:r>
        <w:rPr>
          <w:rFonts w:ascii="Times New Roman" w:cs="Times New Roman" w:eastAsia="Times New Roman" w:hAnsi="Times New Roman"/>
          <w:sz w:val="20"/>
          <w:szCs w:val="20"/>
          <w:color w:val="auto"/>
        </w:rPr>
        <w:t>– Revenue from mortgage fee income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realized gain on sale of loans and foreclosed real estate is earned through the origination of residential and commercial mortgage loans, sales of one-to-four family residential mortgage loans, sales of government</w:t>
      </w:r>
    </w:p>
    <w:p>
      <w:pPr>
        <w:spacing w:after="0" w:line="1"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40" w:name="page41"/>
    <w:bookmarkEnd w:id="40"/>
    <w:p>
      <w:pPr>
        <w:ind w:left="760" w:right="60"/>
        <w:spacing w:after="0" w:line="269" w:lineRule="auto"/>
        <w:rPr>
          <w:sz w:val="20"/>
          <w:szCs w:val="20"/>
          <w:color w:val="auto"/>
        </w:rPr>
      </w:pPr>
      <w:r>
        <w:rPr>
          <w:rFonts w:ascii="Times New Roman" w:cs="Times New Roman" w:eastAsia="Times New Roman" w:hAnsi="Times New Roman"/>
          <w:sz w:val="20"/>
          <w:szCs w:val="20"/>
          <w:color w:val="auto"/>
        </w:rPr>
        <w:t>guarantees portions of Small Business Administration loans (“SBA loans”), and sales of foreclosed real estate, and is earned as the transaction occurs.</w:t>
      </w:r>
    </w:p>
    <w:p>
      <w:pPr>
        <w:spacing w:after="0" w:line="173"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In addition to the revenue items discussed above, the Company recognized a non-recurring gain of $245,000 related to refunds received from cumulative lessor related pass-through operating expense charges for a single leased branch location.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Leases</w:t>
      </w:r>
    </w:p>
    <w:p>
      <w:pPr>
        <w:spacing w:after="0" w:line="233"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9"/>
          <w:szCs w:val="19"/>
          <w:color w:val="auto"/>
        </w:rPr>
        <w:t>The Company has operating and finance leases for certain banking offices and land under noncancelable agreements. Our leases have remaining lease terms that vary from 2 years up to 29 years, some of which include options to extend the leases for various renewal periods. All options to renew are included in the current lease term when we believe it is reasonably certain that the renewal options will be exercised.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expense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239"/>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2024</w:t>
            </w: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41"/>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39"/>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6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40" w:type="dxa"/>
            <w:vAlign w:val="bottom"/>
            <w:gridSpan w:val="4"/>
          </w:tcPr>
          <w:p>
            <w:pPr>
              <w:jc w:val="right"/>
              <w:ind w:right="128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239"/>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March 31, 2024</w:t>
            </w:r>
          </w:p>
        </w:tc>
        <w:tc>
          <w:tcPr>
            <w:tcW w:w="40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2023</w:t>
            </w:r>
          </w:p>
        </w:tc>
        <w:tc>
          <w:tcPr>
            <w:tcW w:w="60" w:type="dxa"/>
            <w:vAlign w:val="bottom"/>
          </w:tcPr>
          <w:p>
            <w:pPr>
              <w:spacing w:after="0"/>
              <w:rPr>
                <w:sz w:val="20"/>
                <w:szCs w:val="20"/>
                <w:color w:val="auto"/>
              </w:rPr>
            </w:pPr>
          </w:p>
        </w:tc>
      </w:tr>
      <w:tr>
        <w:trPr>
          <w:trHeight w:val="241"/>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 included in the measurement of lease liabilities:</w:t>
            </w:r>
          </w:p>
        </w:tc>
        <w:tc>
          <w:tcPr>
            <w:tcW w:w="4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0"/>
                <w:szCs w:val="20"/>
                <w:color w:val="auto"/>
              </w:rPr>
            </w:pPr>
          </w:p>
        </w:tc>
      </w:tr>
      <w:tr>
        <w:trPr>
          <w:trHeight w:val="247"/>
        </w:trPr>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4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1"/>
                <w:szCs w:val="21"/>
                <w:color w:val="auto"/>
              </w:rPr>
            </w:pPr>
          </w:p>
        </w:tc>
      </w:tr>
      <w:tr>
        <w:trPr>
          <w:trHeight w:val="239"/>
        </w:trPr>
        <w:tc>
          <w:tcPr>
            <w:tcW w:w="6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r>
      <w:tr>
        <w:trPr>
          <w:trHeight w:val="692"/>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0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lease term and discount rate)</w:t>
            </w:r>
          </w:p>
        </w:tc>
        <w:tc>
          <w:tcPr>
            <w:tcW w:w="420" w:type="dxa"/>
            <w:vAlign w:val="bottom"/>
          </w:tcPr>
          <w:p>
            <w:pPr>
              <w:spacing w:after="0"/>
              <w:rPr>
                <w:sz w:val="24"/>
                <w:szCs w:val="24"/>
                <w:color w:val="auto"/>
              </w:rPr>
            </w:pP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March 31, 2024</w:t>
            </w:r>
          </w:p>
        </w:tc>
        <w:tc>
          <w:tcPr>
            <w:tcW w:w="400" w:type="dxa"/>
            <w:vAlign w:val="bottom"/>
          </w:tcPr>
          <w:p>
            <w:pPr>
              <w:spacing w:after="0"/>
              <w:rPr>
                <w:sz w:val="24"/>
                <w:szCs w:val="24"/>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69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20" w:type="dxa"/>
            <w:vAlign w:val="bottom"/>
            <w:tcBorders>
              <w:top w:val="single" w:sz="8" w:color="auto"/>
            </w:tcBorders>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700" w:type="dxa"/>
            <w:vAlign w:val="bottom"/>
            <w:tcBorders>
              <w:top w:val="single" w:sz="8" w:color="auto"/>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1,493</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1,526</w:t>
            </w:r>
          </w:p>
        </w:tc>
        <w:tc>
          <w:tcPr>
            <w:tcW w:w="60" w:type="dxa"/>
            <w:vAlign w:val="bottom"/>
          </w:tcPr>
          <w:p>
            <w:pPr>
              <w:spacing w:after="0"/>
              <w:rPr>
                <w:sz w:val="20"/>
                <w:szCs w:val="20"/>
                <w:color w:val="auto"/>
              </w:rPr>
            </w:pPr>
          </w:p>
        </w:tc>
      </w:tr>
      <w:tr>
        <w:trPr>
          <w:trHeight w:val="247"/>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1,682</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1,711</w:t>
            </w:r>
          </w:p>
        </w:tc>
        <w:tc>
          <w:tcPr>
            <w:tcW w:w="60" w:type="dxa"/>
            <w:vAlign w:val="bottom"/>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4,038</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4,073</w:t>
            </w:r>
          </w:p>
        </w:tc>
        <w:tc>
          <w:tcPr>
            <w:tcW w:w="60" w:type="dxa"/>
            <w:vAlign w:val="bottom"/>
          </w:tcPr>
          <w:p>
            <w:pPr>
              <w:spacing w:after="0"/>
              <w:rPr>
                <w:sz w:val="20"/>
                <w:szCs w:val="20"/>
                <w:color w:val="auto"/>
              </w:rPr>
            </w:pPr>
          </w:p>
        </w:tc>
      </w:tr>
      <w:tr>
        <w:trPr>
          <w:trHeight w:val="247"/>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liability</w:t>
            </w:r>
          </w:p>
        </w:tc>
        <w:tc>
          <w:tcPr>
            <w:tcW w:w="4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4,370</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4,381</w:t>
            </w:r>
          </w:p>
        </w:tc>
        <w:tc>
          <w:tcPr>
            <w:tcW w:w="60" w:type="dxa"/>
            <w:vAlign w:val="bottom"/>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4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spacing w:after="0"/>
              <w:rPr>
                <w:sz w:val="20"/>
                <w:szCs w:val="20"/>
                <w:color w:val="auto"/>
              </w:rPr>
            </w:pPr>
          </w:p>
        </w:tc>
        <w:tc>
          <w:tcPr>
            <w:tcW w:w="1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17.17 years</w:t>
            </w:r>
          </w:p>
        </w:tc>
        <w:tc>
          <w:tcPr>
            <w:tcW w:w="4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17.22 years</w:t>
            </w:r>
          </w:p>
        </w:tc>
        <w:tc>
          <w:tcPr>
            <w:tcW w:w="60" w:type="dxa"/>
            <w:vAlign w:val="bottom"/>
          </w:tcPr>
          <w:p>
            <w:pPr>
              <w:spacing w:after="0"/>
              <w:rPr>
                <w:sz w:val="20"/>
                <w:szCs w:val="20"/>
                <w:color w:val="auto"/>
              </w:rPr>
            </w:pPr>
          </w:p>
        </w:tc>
      </w:tr>
      <w:tr>
        <w:trPr>
          <w:trHeight w:val="252"/>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27.09 years</w:t>
            </w: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27.35 years</w:t>
            </w:r>
          </w:p>
        </w:tc>
        <w:tc>
          <w:tcPr>
            <w:tcW w:w="60" w:type="dxa"/>
            <w:vAlign w:val="bottom"/>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4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3.89 %</w:t>
            </w:r>
          </w:p>
        </w:tc>
        <w:tc>
          <w:tcPr>
            <w:tcW w:w="4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45"/>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9.40 %</w:t>
            </w:r>
          </w:p>
        </w:tc>
        <w:tc>
          <w:tcPr>
            <w:tcW w:w="40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432"/>
        </w:trPr>
        <w:tc>
          <w:tcPr>
            <w:tcW w:w="6940" w:type="dxa"/>
            <w:vAlign w:val="bottom"/>
            <w:tcBorders>
              <w:top w:val="single" w:sz="8" w:color="auto"/>
            </w:tcBorders>
          </w:tcPr>
          <w:p>
            <w:pPr>
              <w:ind w:left="5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8"/>
                <w:szCs w:val="18"/>
                <w:color w:val="auto"/>
              </w:rPr>
              <w:t xml:space="preserve"> -</w:t>
            </w:r>
          </w:p>
        </w:tc>
        <w:tc>
          <w:tcPr>
            <w:tcW w:w="4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6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16"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Twelve Months Ending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492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4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5,258</w:t>
            </w:r>
          </w:p>
        </w:tc>
      </w:tr>
      <w:tr>
        <w:trPr>
          <w:trHeight w:val="237"/>
        </w:trPr>
        <w:tc>
          <w:tcPr>
            <w:tcW w:w="4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6,052</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owns certain properties that it leases to unaffiliated third parties at market rates. Lease rental income was $55,000 and $48,000 for the three months ended March 31, 2024 and 2023, respectively. The lease agreements in which the Company is the lessor are a mix of operating and finance leases.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Related Party Transactions: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March 31, 2024 or December 31, 2023.</w:t>
      </w:r>
    </w:p>
    <w:p>
      <w:pPr>
        <w:spacing w:after="0" w:line="66"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The following represents the activity associated with loans to related parties during the three months ended March 31, 2024 and the year ended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58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32,742</w:t>
            </w:r>
          </w:p>
        </w:tc>
        <w:tc>
          <w:tcPr>
            <w:tcW w:w="4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32,531</w:t>
            </w:r>
          </w:p>
        </w:tc>
      </w:tr>
      <w:tr>
        <w:trPr>
          <w:trHeight w:val="239"/>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Originations and related party additions</w:t>
            </w:r>
          </w:p>
        </w:tc>
        <w:tc>
          <w:tcPr>
            <w:tcW w:w="258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4,360</w:t>
            </w:r>
          </w:p>
        </w:tc>
      </w:tr>
      <w:tr>
        <w:trPr>
          <w:trHeight w:val="243"/>
        </w:trPr>
        <w:tc>
          <w:tcPr>
            <w:tcW w:w="56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Principal payments and related party removals</w:t>
            </w:r>
          </w:p>
        </w:tc>
        <w:tc>
          <w:tcPr>
            <w:tcW w:w="25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(1,598 )</w:t>
            </w: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(4,149 )</w:t>
            </w:r>
          </w:p>
        </w:tc>
      </w:tr>
      <w:tr>
        <w:trPr>
          <w:trHeight w:val="236"/>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31,744</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32,742</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right="1940"/>
        <w:spacing w:after="0" w:line="445" w:lineRule="auto"/>
        <w:rPr>
          <w:sz w:val="20"/>
          <w:szCs w:val="20"/>
          <w:color w:val="auto"/>
        </w:rPr>
      </w:pPr>
      <w:r>
        <w:rPr>
          <w:rFonts w:ascii="Times New Roman" w:cs="Times New Roman" w:eastAsia="Times New Roman" w:hAnsi="Times New Roman"/>
          <w:sz w:val="20"/>
          <w:szCs w:val="20"/>
          <w:b w:val="1"/>
          <w:bCs w:val="1"/>
          <w:color w:val="auto"/>
        </w:rPr>
        <w:t>Item 2 - Management's Discussion and Analysis of Financial Condition and Results of Operations (Unaudited) General</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owns, through its subsidiary PRMC, 51% of the membership interest in FitzGibbons Agency, LLC (“FitzGibbons” or “Agency”), the Company is required to consolidate 100% of FitzGibbons within the consolidated financial statements. The 49% of which the Company does not own, is accounted for separately as a noncontrolling interest within the consolidated financial statements. At March 31, 2024, the Company and subsidiaries had total consolidated assets of $1.45 billion, total consolidated liabilities of $1.33 billion and shareholders' equity of $121.8 million, plus noncontrolling interest of $814,000, which represents the 49% of FitzGibbons not owned by the Company.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discussion reviews the Company's financial condition at March 31, 2024 and the results of operations for the three month periods ended March 31, 2024 and 2023. Operating results for the three months ended March 31, 2024 are not necessarily indicative of the results that may be expected for the year ending December 31, 2024 or any other period.</w:t>
      </w:r>
    </w:p>
    <w:p>
      <w:pPr>
        <w:spacing w:after="0" w:line="1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20"/>
          <w:szCs w:val="20"/>
          <w:color w:val="auto"/>
        </w:rPr>
        <w:t>of Financial Condition and Results of Operations included in the 2023 Annual Report on Form 10-K filed with the Securities and Exchange Commission on March 31, 2023 (“the consolidated annual financial statements”) as of December 31, 2023 and 2022 and for the two years then ended. Therefore, only material changes in financial condition and results of operations are discussed in the remainder of Item 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Regarding Forward-Looking Statements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report includes forward-looking statements within the meaning of Sections 27A of the Securities Act of 1933, as amended, and 21E of the Securities Exchange Act of 1934, as amended, that involve inherent risks and uncertainties. These forward-looking statements concern the financial condition, results of operations, plans, objectives, future performance and business of Pathfinder Bancorp, Inc. and its subsidiary, including statements preceded by, followed by or that include words or phrases such as “believes,” “expects,” “anticipates,” “plans,” “trend,” “objective,” “continue,” “remain,” “pattern” or similar expressions or future or conditional verbs such as “will,” “would,” “should,” “could,” “might,” “can,” “may” or similar expressions. There are a number of important factors that could cause future results to differ materially from historical performance and these forward-looking statements. Factors that might cause such a difference include, but are not limited to: (1) general economic conditions may be less favorable than expected; (2) competitive pressures among depository institutions may increase significantly; (3) changes in the interest rate environment may reduce interest margins; (4) loan origination and sale volumes, charge-offs and credit loss provisions may vary substantially from period to period; (5) the impact of a pandemic or other health crises and the government's response to such pandemic or crises on our operations as well as those of our customers and on the economy generally and in our market area specifically; (6) political developments, wars or other hostilities may disrupt or increase volatility in securities markets or other economic conditions; (7) legislative or regulatory changes or actions may adversely affect the businesses in which Pathfinder Bancorp, Inc. is engaged; (8) changes and trends in the securities markets may adversely impact Pathfinder Bancorp, Inc.; (9) a delayed or incomplete resolution of regulatory issues could adversely impact our planning; (10) difficulties in integrating any businesses that we may acquire, including our proposed acquisition of the East Syracuse branch of Berkshire Bank, which may increase our expenses and delay the achievement of any benefits that we may expect from such acquisitions; (11) the impact of reputation risk created by the developments discussed above on such matters as business generation and retention, funding and liquidity could be significant; (12) our ability to prevent or mitigate fraudulent activity and cybersecurity threats; and (13) the outcome of any future regulatory and legal investigations and proceedings may not be anticipated.</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these and other uncertainties, our actual future results may be materially different from the results indicated by these forward-looking statements. Except as required by law, we disclaim any obligation to revise or update any forward-looking statements contained in this Quarterly Report on Form 10-Q to reflect future events or developments.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Critical Accounting Estimates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ACL represents management's estimate of lifetime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individually evaluated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$300,000 identified as being individually evaluated which are on nonaccrual and have been risk rated under the Company’s risk rating system as substandard, doubtful, or loss. In addition, an accruing substandard loan could be identified as being individually evaluated.</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measurement of individually evaluated loans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lifetime incurred loss for each risk-rating category. 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At March 31, 2024, the Bank’s position in individually evaluated loans consisted of 72 loans totaling $23.2 million. Of these loans, 17 loans, totaling $1.6 million, were valued using the present value of future cash flows method; and 55 loans, totaling $21.6 million, were valued based on a collateral analysis. For all other loans, the Company uses the general allocation methodology that establishes an allowance to estimate the lifetime incurred loss for each risk-rating category.</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estimating the ACL on loans, management considers the sensitivity of the model and significant judgments and assumptions that could result in an amount that is materially different from management’s estimate. At March 31, 2024, the Bank held $438.6 million in commercial real estate and commercial &amp; industrial loans (collectively, commercial loans) representing 56.0% of the Bank’s entire loan portfolio. The Bank allocated $7.8 million to the ACL for these loans, including $4.0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$1.0 million,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March 31, 2024 in the final recorded estimation of the ACL on loans recognized on the Statements of Financial Condition.</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4" w:name="page45"/>
    <w:bookmarkEnd w:id="44"/>
    <w:p>
      <w:pPr>
        <w:jc w:val="both"/>
        <w:spacing w:after="0" w:line="245" w:lineRule="auto"/>
        <w:rPr>
          <w:sz w:val="20"/>
          <w:szCs w:val="20"/>
          <w:color w:val="auto"/>
        </w:rPr>
      </w:pPr>
      <w:r>
        <w:rPr>
          <w:rFonts w:ascii="Times New Roman" w:cs="Times New Roman" w:eastAsia="Times New Roman" w:hAnsi="Times New Roman"/>
          <w:sz w:val="20"/>
          <w:szCs w:val="20"/>
          <w:color w:val="auto"/>
        </w:rPr>
        <w:t>We maintain a noncontributory defined benefit pension plan covering most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 security categorized as available-for-sale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credit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individually evaluated loans are typically determined based on evaluations by third parties, less estimated costs to sell. When necessary, appraisals are updated to reflect changes in market conditions.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Management performs an annual evaluation of our goodwill for possible impairment at each of our reporting units. Based on the results of the December 31, 2023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the pandemic or recent banking crisis, or the future economic consequences thereof, require a significant and sustained change in the operations of the Bank, re-evaluations of the Bank’s goodwill valuation will be conducted on a more frequent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4, 2024, the Bank entered into a purchase and assumption agreement (the “Purchase Agreement”) with Berkshire Bank, the banking subsidiary of Berkshire Hills Bancorp, Inc. Under the Purchase Agreement, the Bank will acquire approximately $32 million in loans and one branch location (along with associated personal property and fixtures) and will</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5" w:name="page46"/>
    <w:bookmarkEnd w:id="45"/>
    <w:p>
      <w:pPr>
        <w:jc w:val="both"/>
        <w:spacing w:after="0" w:line="243" w:lineRule="auto"/>
        <w:rPr>
          <w:sz w:val="20"/>
          <w:szCs w:val="20"/>
          <w:color w:val="auto"/>
        </w:rPr>
      </w:pPr>
      <w:r>
        <w:rPr>
          <w:rFonts w:ascii="Times New Roman" w:cs="Times New Roman" w:eastAsia="Times New Roman" w:hAnsi="Times New Roman"/>
          <w:sz w:val="20"/>
          <w:szCs w:val="20"/>
          <w:color w:val="auto"/>
        </w:rPr>
        <w:t>assume approximately $198 million in deposits. With respect to loans, the Bank will pay an amount equal to the sum of 95% of the aggregate unpaid principal balances, measured as of the closing date, plus any accrued interest through closing on the loans. The Bank will pay a 5.8% premium on the aggregate amount of non-time deposits associated with the branch, measured as of the closing date (the “Core Deposits”), and will assume all non-Core Deposits associated with the branch, measured as of the closing date, at par value. The total deposit premium to be paid by the Bank equates to approximately 4.0% when applied to the aggregated Core Deposits and non-Core Deposits. The Bank will assume Berkshire Bank’s existing commercial lease for the real property associated with the branch (including anticipated annual lease payment costs of approximately $946,000). The transaction is expected to close by the end of the third quarter of 2024 and is subject to receipt of regulatory approvals and certain other customary closing conditions.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April 1, 2024, the Company announced that its Board of Directors declared a cash dividend of $0.10 per share on the Company's voting common and non-voting common stock, and a cash dividend of $0.10 per notional share for the issued warrant relating to the fiscal quarter ended March 31, 2024. The dividends were payable to all shareholders of record on April 19, 2024 and were paid on May 10,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Results of Operations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represents the significant highlights of the Company’s operating results between the first quarter of 2024 and the first quarter of 2023.</w:t>
      </w:r>
    </w:p>
    <w:p>
      <w:pPr>
        <w:spacing w:after="0" w:line="17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attributable to Pathfinder Bancorp, Inc. decreased $479,000, or 18.4%, to $2.1 million.</w:t>
      </w:r>
    </w:p>
    <w:p>
      <w:pPr>
        <w:spacing w:after="0" w:line="21" w:lineRule="exact"/>
        <w:rPr>
          <w:rFonts w:ascii="Times New Roman" w:cs="Times New Roman" w:eastAsia="Times New Roman" w:hAnsi="Times New Roman"/>
          <w:sz w:val="20"/>
          <w:szCs w:val="20"/>
          <w:color w:val="auto"/>
        </w:rPr>
      </w:pPr>
    </w:p>
    <w:p>
      <w:pPr>
        <w:ind w:left="102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and diluted earnings per voting common share were both $0.34 per share and decreased $0.09 per share from $0.43 per share.</w:t>
      </w:r>
    </w:p>
    <w:p>
      <w:pPr>
        <w:ind w:left="1020" w:hanging="503"/>
        <w:spacing w:after="0"/>
        <w:tabs>
          <w:tab w:leader="none" w:pos="10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Return on average assets decreased 16 basis points to 0.59% due to a decrease in income and increase in average asset balances.</w:t>
      </w:r>
    </w:p>
    <w:p>
      <w:pPr>
        <w:spacing w:after="0" w:line="11" w:lineRule="exact"/>
        <w:rPr>
          <w:rFonts w:ascii="Times New Roman" w:cs="Times New Roman" w:eastAsia="Times New Roman" w:hAnsi="Times New Roman"/>
          <w:sz w:val="19"/>
          <w:szCs w:val="19"/>
          <w:color w:val="auto"/>
        </w:rPr>
      </w:pPr>
    </w:p>
    <w:p>
      <w:pPr>
        <w:jc w:val="both"/>
        <w:ind w:left="102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interest income, after provision for credit losses, decreased $602,000, or 6.5% to $8.7 million. Excluding the provision, net interest income decreased $568,000, or 5.7%, to $9.4 million. The decrease in net interest income, before provision for credit losses, was primarily due to an increase in the average balance of interest-bearing liabilities of $50.4 million, combined with a 138 basis points increase in the average rates paid on interest-bearing liabilities. These increases in interest expense were partially offset by the increase in the average balance of interest-earning assets of $51.2 million, coupled with an increase in the average yield earned on those assets of 88 basis points, from 4.56% for the three months ended March 31, 2023 to 5.44% for the three months ended March 31, 2024.</w:t>
      </w:r>
    </w:p>
    <w:p>
      <w:pPr>
        <w:spacing w:after="0" w:line="3" w:lineRule="exact"/>
        <w:rPr>
          <w:rFonts w:ascii="Times New Roman" w:cs="Times New Roman" w:eastAsia="Times New Roman" w:hAnsi="Times New Roman"/>
          <w:sz w:val="20"/>
          <w:szCs w:val="20"/>
          <w:color w:val="auto"/>
        </w:rPr>
      </w:pPr>
    </w:p>
    <w:p>
      <w:pPr>
        <w:jc w:val="both"/>
        <w:ind w:left="1020" w:hanging="503"/>
        <w:spacing w:after="0" w:line="239" w:lineRule="auto"/>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interest margin for the first quarter of 2024 was 2.75%, a 27 basis points decrease compared to 3.02% for the same quarter in 2023. This reflects a 138 basis points increase in the average cost paid on interest-bearing liabilities, partially offset by an 88 basis points increase in the average yield earned on interest-earning assets.</w:t>
      </w:r>
    </w:p>
    <w:p>
      <w:pPr>
        <w:spacing w:after="0" w:line="1" w:lineRule="exact"/>
        <w:rPr>
          <w:rFonts w:ascii="Times New Roman" w:cs="Times New Roman" w:eastAsia="Times New Roman" w:hAnsi="Times New Roman"/>
          <w:sz w:val="20"/>
          <w:szCs w:val="20"/>
          <w:color w:val="auto"/>
        </w:rPr>
      </w:pPr>
    </w:p>
    <w:p>
      <w:pPr>
        <w:jc w:val="both"/>
        <w:ind w:left="1020" w:hanging="503"/>
        <w:spacing w:after="0" w:line="242" w:lineRule="auto"/>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income tax rate decreased 0.3% to 19.7% for the three months ended March 31, 2024 as compared to 20.0% for the same three month period in 2023. The decrease in the tax rate in the first quarter of 2024, as compared to the same quarter in 2023, was primarily related to fluctuations in permanent tax differences.</w:t>
      </w:r>
    </w:p>
    <w:p>
      <w:pPr>
        <w:spacing w:after="0" w:line="1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reflects the significant changes in financial condition between March 31, 2024 and December 31, 2023. In addition, the following reflects significant changes in asset quality metrics between March 31, 2024 and March 31, 2023.</w:t>
      </w:r>
    </w:p>
    <w:p>
      <w:pPr>
        <w:spacing w:after="0" w:line="173" w:lineRule="exact"/>
        <w:rPr>
          <w:sz w:val="20"/>
          <w:szCs w:val="20"/>
          <w:color w:val="auto"/>
        </w:rPr>
      </w:pPr>
    </w:p>
    <w:p>
      <w:pPr>
        <w:ind w:left="1020" w:hanging="503"/>
        <w:spacing w:after="0" w:line="250"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assets decreased $12.1 million, or 0.8% to $1.45 billion at March 31, 2024 as compared to December 31, 2023, primarily driven by lower interest-earning deposits balances and loans.</w:t>
      </w:r>
    </w:p>
    <w:p>
      <w:pPr>
        <w:spacing w:after="0" w:line="1" w:lineRule="exact"/>
        <w:rPr>
          <w:rFonts w:ascii="Times New Roman" w:cs="Times New Roman" w:eastAsia="Times New Roman" w:hAnsi="Times New Roman"/>
          <w:sz w:val="20"/>
          <w:szCs w:val="20"/>
          <w:color w:val="auto"/>
        </w:rPr>
      </w:pPr>
    </w:p>
    <w:p>
      <w:pPr>
        <w:jc w:val="both"/>
        <w:ind w:left="1020" w:hanging="503"/>
        <w:spacing w:after="0" w:line="239"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quality metrics, as measured by net loan charge-offs, decreased in the first quarter of 2024 in comparison to the fourth quarter of 2023. The annualized net loan charge-offs to average loans ratio was 0.01% at March 31, 2024, compared to 0.47% at December 31, 2023, and 0.01% at March 31, 2023.</w:t>
      </w:r>
    </w:p>
    <w:p>
      <w:pPr>
        <w:spacing w:after="0" w:line="1" w:lineRule="exact"/>
        <w:rPr>
          <w:rFonts w:ascii="Times New Roman" w:cs="Times New Roman" w:eastAsia="Times New Roman" w:hAnsi="Times New Roman"/>
          <w:sz w:val="20"/>
          <w:szCs w:val="20"/>
          <w:color w:val="auto"/>
        </w:rPr>
      </w:pPr>
    </w:p>
    <w:p>
      <w:pPr>
        <w:jc w:val="both"/>
        <w:ind w:left="1020" w:hanging="503"/>
        <w:spacing w:after="0" w:line="242"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Nonperforming loans to total loans were 2.2% at March 31, 2024, compared to 1.9% at December 31, 2023 and 2.1% at March 31, 2023. Correspondingly, the ratio of the allowance for credit losses to nonperforming loans was 84.8% at March 31, 2024, as compared to 92.7% at December 31, 2023, and 93.6% at March 31, 2023.</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Company recorded net income of $2.1 million for the three months ended March 31, 2024 compared to net income of $2.6 million for the three months ended March 31, 2023. The $479,000 decrease in net income was due primarily to a $4.1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20"/>
          <w:szCs w:val="20"/>
          <w:color w:val="auto"/>
        </w:rPr>
        <w:t>million increase in total interest expense, a $182,000 increase in noninterest expense, and a $34,000 increase in provision for credit losses. These quarter-over-quarter changes were partially offset by a $3.6 million increase in interest and dividend income, a $145,000 increase in total noninterest income, and a $137,000 decrease in provision for income taxes.</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decreased $568,000, or 5.7%, to $9.4 million for the three months ended March 31, 2024, as compared to $10.0 million for the same three month period in 2023. The decrease in net interest income was due to a 138 basis points increase in the average cost of total interest-bearing liabilities in the first quarter of 2024, as compared to the same quarter in 2023, combined with a $50.4 million increase in the average balance of total interest-bearing liabilities. The increase in the average rates paid on interest-bearing liabilities in the first quarter of 2024, as compared to the same quarter in 2023, reflects the generally increased rates of interest for all financial instruments that has occurred due to the rising interest rate environment and increased competition for deposits.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These decreases in net interest income were partially offset by the result of increases in the average yields of loans and taxable and tax-exempt investment securities portfolios. These increases resulted in an 88 basis points increase to 5.44% in total average interest-earning asset yield for the three months ended March 31, 2024 as compared to 4.56% for the same three month period of the previous year. The increase in the average yield received on interest-earning assets in the first quarter of 2024, as compared to the same quarter in 2023, reflects generally increased rates of interest for newly funded loans and investment securities, as compared to the average yields within these portfolios, as well as increases in rates for certain adjustable-rate loans and securities in the rising interest rate environment that has occurred in 2023 and 2024.</w:t>
      </w:r>
    </w:p>
    <w:p>
      <w:pPr>
        <w:spacing w:after="0" w:line="19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noninterest income for the first quarter of 2024 amounted to $1.7 million, reflecting an increase of $145,000, compared to the same quarter of 2023. This increase was primarily attributable to a $20,000, or 1.3% net increase in recurring noninterest income, supplemented by a $125,000 aggregate increase in all other categories of noninterest income. Within the category of recurring noninterest income, quarter-over-quarter revenues increased $222,000, or 18.9%, excluding debit interchange fees. This increase was partially offset by a decrease in net debit card interchange fees of $202,000, or 62.9%. Debit card interchange income declined in the first quarter of 2024, as compared to the same quarter in 2023, as a result of reduced gross interchange revenues related to declining levels of consumer activity and increased rewards program expenses in the higher interest rate environment. Other charges, commissions and fees increased by $188,000, or 73.4%, in the quarter ended March 31, 2024, as compared to the same three month period in 2023, primarily as a result of New York State cumulative mortgage recording tax refunds in the amount of $141,000 and other miscellaneous fees.</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$125,000, or 127.6%, quarter-over-quarter increase in all other (nonrecurring) categories of noninterest income was primarily due to the recognition of a $245,000 refund received from cumulative lessor related pass-through operating expense charges for a leased branch location. This nonrecurring gain was partially offset by a $221,000 decline in gains recognized on the sale or early redemption of investment securities, which were a loss of $148,000 in the first quarter of 2024 as compared to a gain of $73,000 in the same quarter of the previous year. This reduction in the gains recorded related to the sale or early redemption of investment securities was partially offset by a $108,000 quarter-over-quarter increase in realized gains on marketable equity securities.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Total noninterest expense for the first quarter of 2024 was $7.7 million, an increase of $182,000, or 2.4%, compared to the same three month period in 2023. The increase was primarily a result of an increase of $146,000, or 3.5%, in salaries and employee benefits. The adjustments to salary structures and commissions, particularly tied to insurance and investment services, reflect the Bank's strategic efforts to enhance its competitive edge in the market and address the demands of an inflationary environment with respect to attracting and retaining employees. The remainder of the increase in noninterest expenses during the first quarter of 2024, as compared to the first quarter of 2023, totaling $36,000, or 1.0%, was distributed across various categories, reflecting the Bank's ongoing investments in operational efficiency and technology enhancements. These investments are critical to sustaining the Bank's agility and responsiveness to market conditions and customer needs.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Management extensively reviews recent trends in changes in the size and composition of the loan portfolio, historical loss experience, qualitative factors, and specific reserve requirements on loans individually evaluated, in its determination of the adequacy of the ACL. For the three months ended March 31, 2024, $726,000 was recorded in PCL as compared to $692,000 in the same prior year three month period. The provision in the quarter ended March 31, 2024 was reflective of the qualitative factors used in determining the adequacy of the ACL and changes in the levels of delinquent and nonaccrual loans. The first quarter PCL reflects an addition to reserves considering loan growth and asset quality metrics.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7" w:name="page48"/>
    <w:bookmarkEnd w:id="47"/>
    <w:p>
      <w:pPr>
        <w:jc w:val="both"/>
        <w:spacing w:after="0" w:line="269" w:lineRule="auto"/>
        <w:rPr>
          <w:sz w:val="20"/>
          <w:szCs w:val="20"/>
          <w:color w:val="auto"/>
        </w:rPr>
      </w:pPr>
      <w:r>
        <w:rPr>
          <w:rFonts w:ascii="Times New Roman" w:cs="Times New Roman" w:eastAsia="Times New Roman" w:hAnsi="Times New Roman"/>
          <w:sz w:val="20"/>
          <w:szCs w:val="20"/>
          <w:color w:val="auto"/>
        </w:rPr>
        <w:t>credit-sensitive portfolios continue to be carefully monitored, and the Bank will consistently apply its loan classification and reserve building methodologies to the analysis of these portfolios.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total PCL for the three months ended March 31, 2024 was $726,000, of which $710,000 related to the Company's loan portfolio for the same three month period. In addition, during the first quarter of 2024, the Company recorded modest provisions of $15,000 and $1,000 for reserves related to held-to-maturity securities and unfunded commitments, respectively. The ACL related to loans was therefore $16.7 million at March 31, 2024.</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comparing the year-over-year first quarter periods, the Company’s return on average assets decreased 16 basis points to 0.59% due to the combined effects of the decrease in net income (the numerator in the ratio), and an increase in average assets (the denominator in the ratio). Average assets increased mostly due to an increase of $62.7 million in the average balances of taxable investment securities in the first quarter of 2024, as compared to the same quarter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8" w:name="page49"/>
    <w:bookmarkEnd w:id="48"/>
    <w:p>
      <w:pPr>
        <w:jc w:val="both"/>
        <w:ind w:right="40"/>
        <w:spacing w:after="0" w:line="247" w:lineRule="auto"/>
        <w:rPr>
          <w:sz w:val="20"/>
          <w:szCs w:val="20"/>
          <w:color w:val="auto"/>
        </w:rPr>
      </w:pPr>
      <w:r>
        <w:rPr>
          <w:rFonts w:ascii="Times New Roman" w:cs="Times New Roman" w:eastAsia="Times New Roman" w:hAnsi="Times New Roman"/>
          <w:sz w:val="20"/>
          <w:szCs w:val="20"/>
          <w:color w:val="auto"/>
        </w:rPr>
        <w:t>The following table sets forth information concerning average interest-earning assets and interest-bearing liabilities and the average yields and rates thereon for the periods indicated. Interest income and resultant yield information in the tables have not been adjusted for tax equivalency. Averages are computed on the daily average balance for each month in the period divided by the number of days in the period. Nonaccrual loans have been included in interest-earning assets for purposes of these calculations.</w:t>
      </w: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Average</w:t>
            </w:r>
          </w:p>
        </w:tc>
        <w:tc>
          <w:tcPr>
            <w:tcW w:w="40" w:type="dxa"/>
            <w:vAlign w:val="bottom"/>
          </w:tcPr>
          <w:p>
            <w:pPr>
              <w:spacing w:after="0"/>
              <w:rPr>
                <w:sz w:val="18"/>
                <w:szCs w:val="18"/>
                <w:color w:val="auto"/>
              </w:rPr>
            </w:pPr>
          </w:p>
        </w:tc>
      </w:tr>
      <w:tr>
        <w:trPr>
          <w:trHeight w:val="229"/>
        </w:trPr>
        <w:tc>
          <w:tcPr>
            <w:tcW w:w="38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Average</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Yield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Average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Yield /</w:t>
            </w:r>
          </w:p>
        </w:tc>
      </w:tr>
      <w:tr>
        <w:trPr>
          <w:trHeight w:val="24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Balance</w:t>
            </w:r>
          </w:p>
        </w:tc>
        <w:tc>
          <w:tcPr>
            <w:tcW w:w="300" w:type="dxa"/>
            <w:vAlign w:val="bottom"/>
          </w:tcPr>
          <w:p>
            <w:pPr>
              <w:spacing w:after="0"/>
              <w:rPr>
                <w:sz w:val="21"/>
                <w:szCs w:val="21"/>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Interest</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Cost</w:t>
            </w:r>
          </w:p>
        </w:tc>
        <w:tc>
          <w:tcPr>
            <w:tcW w:w="22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Balance</w:t>
            </w:r>
          </w:p>
        </w:tc>
        <w:tc>
          <w:tcPr>
            <w:tcW w:w="240" w:type="dxa"/>
            <w:vAlign w:val="bottom"/>
          </w:tcPr>
          <w:p>
            <w:pPr>
              <w:spacing w:after="0"/>
              <w:rPr>
                <w:sz w:val="21"/>
                <w:szCs w:val="21"/>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Cost</w:t>
            </w:r>
          </w:p>
        </w:tc>
      </w:tr>
      <w:tr>
        <w:trPr>
          <w:trHeight w:val="230"/>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895,335</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12,268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899,258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10,658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431,114</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5,736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368,437</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3,825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29,171</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36,480</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4.99 %</w:t>
            </w:r>
          </w:p>
        </w:tc>
      </w:tr>
      <w:tr>
        <w:trPr>
          <w:trHeight w:val="23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Fed funds sold and interest-earning deposits</w:t>
            </w:r>
          </w:p>
        </w:tc>
        <w:tc>
          <w:tcPr>
            <w:tcW w:w="32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13,873</w:t>
            </w:r>
          </w:p>
        </w:tc>
        <w:tc>
          <w:tcPr>
            <w:tcW w:w="3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2.83 %</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14,163</w:t>
            </w:r>
          </w:p>
        </w:tc>
        <w:tc>
          <w:tcPr>
            <w:tcW w:w="24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1,369,493</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18,610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1,318,338</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15,043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4.56 %</w:t>
            </w:r>
          </w:p>
        </w:tc>
      </w:tr>
      <w:tr>
        <w:trPr>
          <w:trHeight w:val="229"/>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Noninterest-earning assets: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94,677</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101,194</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(16,081 )</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(17,061 )</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unrealized losses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3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on available-for-sale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(11,187 )</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(12,529 )</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38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1,436,902</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1,389,942</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199"/>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NOW accounts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99,688</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97,796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0.37 %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11,653</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15,300</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MMDA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213,897</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1,933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261,594</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112,719</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133,532</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0.19 %</w:t>
            </w: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 deposits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524,368</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5,139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454,980</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2.29 %</w:t>
            </w: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Subordinated debt</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29,930</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491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29,748</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6.35 %</w:t>
            </w:r>
          </w:p>
        </w:tc>
      </w:tr>
      <w:tr>
        <w:trPr>
          <w:trHeight w:val="239"/>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Borrowings</w:t>
            </w:r>
          </w:p>
        </w:tc>
        <w:tc>
          <w:tcPr>
            <w:tcW w:w="32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137,882</w:t>
            </w:r>
          </w:p>
        </w:tc>
        <w:tc>
          <w:tcPr>
            <w:tcW w:w="30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1,308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3.79 %</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86,761</w:t>
            </w:r>
          </w:p>
        </w:tc>
        <w:tc>
          <w:tcPr>
            <w:tcW w:w="24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3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1,130,137</w:t>
            </w:r>
          </w:p>
        </w:tc>
        <w:tc>
          <w:tcPr>
            <w:tcW w:w="30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9,210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1,079,711</w:t>
            </w:r>
          </w:p>
        </w:tc>
        <w:tc>
          <w:tcPr>
            <w:tcW w:w="24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29"/>
        </w:trPr>
        <w:tc>
          <w:tcPr>
            <w:tcW w:w="38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Demand deposits</w:t>
            </w:r>
          </w:p>
        </w:tc>
        <w:tc>
          <w:tcPr>
            <w:tcW w:w="320" w:type="dxa"/>
            <w:vAlign w:val="bottom"/>
          </w:tcPr>
          <w:p>
            <w:pPr>
              <w:spacing w:after="0"/>
              <w:rPr>
                <w:sz w:val="19"/>
                <w:szCs w:val="19"/>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169,748</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180,845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15,986</w:t>
            </w: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16,403</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1,315,871</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1,276,959</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121,031</w:t>
            </w: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112,983</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Total liabilities &amp; shareholders'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1,436,902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1,389,942</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9,400</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9,968</w:t>
            </w:r>
          </w:p>
        </w:tc>
        <w:tc>
          <w:tcPr>
            <w:tcW w:w="9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rate spread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2.68 %</w:t>
            </w:r>
          </w:p>
        </w:tc>
      </w:tr>
      <w:tr>
        <w:trPr>
          <w:trHeight w:val="242"/>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margin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3.02 %</w:t>
            </w:r>
          </w:p>
        </w:tc>
      </w:tr>
      <w:tr>
        <w:trPr>
          <w:trHeight w:val="202"/>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Ratio of average interest-earning assets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average interest-bearing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121.18 %</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122.10 %</w:t>
            </w:r>
          </w:p>
        </w:tc>
      </w:tr>
      <w:tr>
        <w:trPr>
          <w:trHeight w:val="23"/>
        </w:trPr>
        <w:tc>
          <w:tcPr>
            <w:tcW w:w="3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-4474210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0"/>
          <w:szCs w:val="20"/>
          <w:color w:val="auto"/>
        </w:rPr>
        <w:t>In the first quarter of 2024, net interest income, before provision for credit losses, for the Company decreased by $568,000 or 5.7%, to $9.4 million compared to $10.0 million for the same quarter in 2023. This decrease was due principally to a 138 basis points increase on the average cost of interest-bearing liabilities, partially offset by an increase of 88 basis points in the average yield of interest-earning assets. Net interest income was positively impacted by an increase in the average balance of interest-earning assets of $51.2 million, or 3.9%. The positive effect of this increase on the average balance of interest-earning assets was offset by an increase of $50.4 million, or 4.7%, in average interest-bearing liabilities. In total, net interest margin decreased 27 basis points to 2.75% for the three months ended March 31, 2024 as compared to the same prior year period.</w:t>
      </w:r>
    </w:p>
    <w:p>
      <w:pPr>
        <w:spacing w:after="0" w:line="199"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20"/>
          <w:szCs w:val="20"/>
          <w:color w:val="auto"/>
        </w:rPr>
        <w:t>Interest and dividend income increased by $3.6 million, or 23.7%, to $18.6 million for the three months ended March 31, 2024 compared to $15.0 million for the same three month period in 2023. The increase in interest and dividend income between comparable quarters was a result of a $1.6 million increase in loan interest income, and a $1.9 million increase in interest income derived from investment securities. The positive effect on interest income was the result of a 74 basis points increase in the average loan yield, and a 120 basis points increase in the average yield on investment securities, and a $55.4 million increase in the average outstanding balance of investment securities, partially offset by a $3.9 million decrease in the average outstanding balance of loans. The increase in the average yield received on interest-earning assets in the first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10" w:right="29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20"/>
          <w:szCs w:val="20"/>
          <w:color w:val="auto"/>
        </w:rPr>
        <w:t>quarter of 2024, as compared to the same quarter in 2023, reflects generally increased rates of interest for newly funded loans and investment securities, as compared to the average yields within these portfolios, as well as increases in rates for certain adjustable-rate loans and securities in the rising interest rate environment that has occurred in 2023 and 2024.</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Interest expense for the three months ended March 31, 2024 increased by $4.1 million to $9.2 million when compared to the same prior year period due primarily to an increase in interest expense on time deposits and the Company's borrowings. Interest expense increased due to a 138 basis points increase in the average rates paid on interest-bearing liabilities between the two periods, accompanied by an increase in the average outstanding balance of those liabilities of $50.4 million. The increase in the quarterly interest expense was primarily a result of the increase in the average cost of deposits resulting from the rapidly rising interest rate environment and increased competition. The deposit mix continued to shift towards higher rate deposits resulting in a $69.4 million increase in average time deposit balances, partially offset by a decrease of $877,000 in the average balance of all other types of interest-bearing deposits. In addition, the Company increased its average borrowings by $50.4 million to increase balance sheet liquidity to fund loans and the purchase of investment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Rate/Volume Analysis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4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60" w:type="dxa"/>
            <w:vAlign w:val="bottom"/>
          </w:tcPr>
          <w:p>
            <w:pPr>
              <w:spacing w:after="0"/>
              <w:rPr>
                <w:sz w:val="20"/>
                <w:szCs w:val="20"/>
                <w:color w:val="auto"/>
              </w:rPr>
            </w:pPr>
          </w:p>
        </w:tc>
      </w:tr>
      <w:tr>
        <w:trPr>
          <w:trHeight w:val="243"/>
        </w:trPr>
        <w:tc>
          <w:tcPr>
            <w:tcW w:w="39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0"/>
        </w:trPr>
        <w:tc>
          <w:tcPr>
            <w:tcW w:w="39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Increase/(Decrease) Due to</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34"/>
        </w:trPr>
        <w:tc>
          <w:tcPr>
            <w:tcW w:w="3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5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9"/>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2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1,928</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1,610</w:t>
            </w:r>
          </w:p>
        </w:tc>
      </w:tr>
      <w:tr>
        <w:trPr>
          <w:trHeight w:val="247"/>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1,191</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1,911</w:t>
            </w:r>
          </w:p>
        </w:tc>
      </w:tr>
      <w:tr>
        <w:trPr>
          <w:trHeight w:val="239"/>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(467 )</w:t>
            </w:r>
          </w:p>
        </w:tc>
        <w:tc>
          <w:tcPr>
            <w:tcW w:w="28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39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Interest-earning deposits</w:t>
            </w:r>
          </w:p>
        </w:tc>
        <w:tc>
          <w:tcPr>
            <w:tcW w:w="21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7"/>
        </w:trPr>
        <w:tc>
          <w:tcPr>
            <w:tcW w:w="3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interest income</w:t>
            </w:r>
          </w:p>
        </w:tc>
        <w:tc>
          <w:tcPr>
            <w:tcW w:w="2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(67 )</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3,634</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3,567</w:t>
            </w:r>
          </w:p>
        </w:tc>
      </w:tr>
      <w:tr>
        <w:trPr>
          <w:trHeight w:val="241"/>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r>
      <w:tr>
        <w:trPr>
          <w:trHeight w:val="247"/>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9"/>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MMDA accounts</w:t>
            </w: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(1,417 )</w:t>
            </w:r>
          </w:p>
        </w:tc>
        <w:tc>
          <w:tcPr>
            <w:tcW w:w="28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2,075</w:t>
            </w: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r>
      <w:tr>
        <w:trPr>
          <w:trHeight w:val="247"/>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Savings and club accounts</w:t>
            </w:r>
          </w:p>
        </w:tc>
        <w:tc>
          <w:tcPr>
            <w:tcW w:w="2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(53 )</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39"/>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2,089</w:t>
            </w: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w:t>
            </w:r>
          </w:p>
        </w:tc>
      </w:tr>
      <w:tr>
        <w:trPr>
          <w:trHeight w:val="247"/>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Subordinated debt</w:t>
            </w:r>
          </w:p>
        </w:tc>
        <w:tc>
          <w:tcPr>
            <w:tcW w:w="2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3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Borrowings</w:t>
            </w:r>
          </w:p>
        </w:tc>
        <w:tc>
          <w:tcPr>
            <w:tcW w:w="2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323</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742</w:t>
            </w:r>
          </w:p>
        </w:tc>
      </w:tr>
      <w:tr>
        <w:trPr>
          <w:trHeight w:val="236"/>
        </w:trPr>
        <w:tc>
          <w:tcPr>
            <w:tcW w:w="39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218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(600 )</w:t>
            </w:r>
          </w:p>
        </w:tc>
        <w:tc>
          <w:tcPr>
            <w:tcW w:w="2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4,735</w:t>
            </w:r>
          </w:p>
        </w:tc>
        <w:tc>
          <w:tcPr>
            <w:tcW w:w="3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4,135</w:t>
            </w:r>
          </w:p>
        </w:tc>
      </w:tr>
      <w:tr>
        <w:trPr>
          <w:trHeight w:val="237"/>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change in net interest income</w:t>
            </w:r>
          </w:p>
        </w:tc>
        <w:tc>
          <w:tcPr>
            <w:tcW w:w="26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(1,101 )</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(568 )</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7"/>
        </w:trPr>
        <w:tc>
          <w:tcPr>
            <w:tcW w:w="3980" w:type="dxa"/>
            <w:vAlign w:val="bottom"/>
          </w:tcPr>
          <w:p>
            <w:pPr>
              <w:spacing w:after="0"/>
              <w:rPr>
                <w:sz w:val="24"/>
                <w:szCs w:val="24"/>
                <w:color w:val="auto"/>
              </w:rPr>
            </w:pPr>
          </w:p>
        </w:tc>
        <w:tc>
          <w:tcPr>
            <w:tcW w:w="2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49</w:t>
            </w:r>
            <w:r>
              <w:rPr>
                <w:rFonts w:ascii="Times New Roman" w:cs="Times New Roman" w:eastAsia="Times New Roman" w:hAnsi="Times New Roman"/>
                <w:sz w:val="18"/>
                <w:szCs w:val="18"/>
                <w:color w:val="auto"/>
              </w:rPr>
              <w:t xml:space="preserve"> -</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deposit base is drawn from eleven full-service offices in its market area. The deposit base consists of demand deposits, money management and money market deposit accounts, savings, and time deposits. Total deposits increased by $20.7 million, or 1.8% from December 31, 2023. The increase in consumer and business deposits during the quarter ended March 31, 2024, reflected the Bank’s increased market penetration among both non-business and business customers. For the quarter ended March 31, 2024, 57.0% of the Company's deposit base of $1.1 billion consisted of core deposits. Core deposits, which exclude time deposits, are considered to be more stable and generally provide the Company with a lower cost of funds than time deposits.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deposits by category at March 31, 2024 and December 31, 2023 is as follows:</w:t>
            </w: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44"/>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4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111,465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134,880</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7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179,279</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314,109</w:t>
            </w: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accounts in excess of $250,000</w:t>
            </w:r>
          </w:p>
        </w:tc>
        <w:tc>
          <w:tcPr>
            <w:tcW w:w="7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313,338</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71,696</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7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11,676</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16,107</w:t>
            </w: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MMDA accounts</w:t>
            </w:r>
          </w:p>
        </w:tc>
        <w:tc>
          <w:tcPr>
            <w:tcW w:w="7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215,101</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270,326</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deposit interest-bearing</w:t>
            </w:r>
          </w:p>
        </w:tc>
        <w:tc>
          <w:tcPr>
            <w:tcW w:w="7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134,196</w:t>
            </w:r>
          </w:p>
        </w:tc>
        <w:tc>
          <w:tcPr>
            <w:tcW w:w="2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127,395</w:t>
            </w:r>
          </w:p>
        </w:tc>
      </w:tr>
      <w:tr>
        <w:trPr>
          <w:trHeight w:val="24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Demand deposit noninterest-bearing</w:t>
            </w:r>
          </w:p>
        </w:tc>
        <w:tc>
          <w:tcPr>
            <w:tcW w:w="7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176,434</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183,711</w:t>
            </w:r>
          </w:p>
        </w:tc>
      </w:tr>
      <w:tr>
        <w:trPr>
          <w:trHeight w:val="239"/>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Mortgage escrow funds</w:t>
            </w: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4,624</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7,206</w:t>
            </w:r>
          </w:p>
        </w:tc>
      </w:tr>
      <w:tr>
        <w:trPr>
          <w:trHeight w:val="277"/>
        </w:trPr>
        <w:tc>
          <w:tcPr>
            <w:tcW w:w="7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Deposits</w:t>
            </w:r>
          </w:p>
        </w:tc>
        <w:tc>
          <w:tcPr>
            <w:tcW w:w="7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1,146,113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1,125,430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deposits obtained from its business operations within its target market areas, the Bank also obtains brokered deposits through various programs administered by IntraFi Network and through other unaffiliated third-party financial institutions.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nonbrokered and brokered deposit activities in the periods indicated: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March 31, 2024</w:t>
            </w:r>
          </w:p>
        </w:tc>
        <w:tc>
          <w:tcPr>
            <w:tcW w:w="4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December 31, 2023</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Nonbrokered</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Brokered</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Brokered</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r>
      <w:tr>
        <w:trPr>
          <w:trHeight w:val="230"/>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111,465</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111,465</w:t>
            </w:r>
          </w:p>
        </w:tc>
        <w:tc>
          <w:tcPr>
            <w:tcW w:w="4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113,543</w:t>
            </w:r>
          </w:p>
        </w:tc>
        <w:tc>
          <w:tcPr>
            <w:tcW w:w="5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113,543</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Time accounts</w:t>
            </w:r>
          </w:p>
        </w:tc>
        <w:tc>
          <w:tcPr>
            <w:tcW w:w="3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179,279</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179,279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174,864</w:t>
            </w:r>
          </w:p>
        </w:tc>
        <w:tc>
          <w:tcPr>
            <w:tcW w:w="5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202,706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377,570</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Time accounts of $250,000 or more</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114,514</w:t>
            </w: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198,824</w:t>
            </w: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313,338</w:t>
            </w:r>
          </w:p>
        </w:tc>
        <w:tc>
          <w:tcPr>
            <w:tcW w:w="4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95,272</w:t>
            </w: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95,272</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3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11,676</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11,676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5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12,364</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MMDA accounts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215,101</w:t>
            </w: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215,101</w:t>
            </w:r>
          </w:p>
        </w:tc>
        <w:tc>
          <w:tcPr>
            <w:tcW w:w="4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224,707</w:t>
            </w: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224,707</w:t>
            </w: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3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94,196</w:t>
            </w:r>
          </w:p>
        </w:tc>
        <w:tc>
          <w:tcPr>
            <w:tcW w:w="4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40,000</w:t>
            </w:r>
          </w:p>
        </w:tc>
        <w:tc>
          <w:tcPr>
            <w:tcW w:w="4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134,196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79,321</w:t>
            </w:r>
          </w:p>
        </w:tc>
        <w:tc>
          <w:tcPr>
            <w:tcW w:w="5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119,321</w:t>
            </w:r>
          </w:p>
        </w:tc>
      </w:tr>
      <w:tr>
        <w:trPr>
          <w:trHeight w:val="239"/>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176,434</w:t>
            </w: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176,434</w:t>
            </w:r>
          </w:p>
        </w:tc>
        <w:tc>
          <w:tcPr>
            <w:tcW w:w="4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170,169</w:t>
            </w: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170,169</w:t>
            </w: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Mortgage escrow funds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4,624</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4,624</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7,121</w:t>
            </w:r>
          </w:p>
        </w:tc>
      </w:tr>
      <w:tr>
        <w:trPr>
          <w:trHeight w:val="263"/>
        </w:trPr>
        <w:tc>
          <w:tcPr>
            <w:tcW w:w="27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907,289</w:t>
            </w:r>
          </w:p>
        </w:tc>
        <w:tc>
          <w:tcPr>
            <w:tcW w:w="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238,824</w:t>
            </w:r>
          </w:p>
        </w:tc>
        <w:tc>
          <w:tcPr>
            <w:tcW w:w="40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1,146,113</w:t>
            </w:r>
          </w:p>
        </w:tc>
        <w:tc>
          <w:tcPr>
            <w:tcW w:w="4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877,361</w:t>
            </w:r>
          </w:p>
        </w:tc>
        <w:tc>
          <w:tcPr>
            <w:tcW w:w="5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242,706</w:t>
            </w:r>
          </w:p>
        </w:tc>
        <w:tc>
          <w:tcPr>
            <w:tcW w:w="3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1,120,067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establish a provision for credit losses, which is charged to operations, at a level management believes is appropriate to absorb lifetime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recorded $726,000 in provision for credit losses for the three month period ended March 31, 2024, as compared to $692,000 for the three month period ended March 31, 2023. The provisioning in the first quarter of 2024 and 2023 reflects management’s determination of the appropriate level of additions to reserves, the composition of the loan portfolio, changes in quantifiable econometric data statistically correlated to historical charge-off rates, subjective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51" w:name="page52"/>
    <w:bookmarkEnd w:id="51"/>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qualitative assessments of changes in a broad array of factors including changes to underwriting criteria, loan staffing and local market conditions. This represents a $34,000 increase in provision for credit losses in the first quarter of 2024, as compared to the same period in 2023.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198"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The Company measures delinquency based on the amount of past due loans as a percentage of total loans. The ratio of delinquent loans to total loans increased to 5.5% at March 31, 2024 as compared to 3.7% at December 31, 2023. Delinquent loans (numerator) increased $15.3 million while total loan balances (denominator) decreased $5.7 million at March 31, 2024, as compared to December 31, 2023. The increase in past due loans was driven by a $13.9 million increase in loans delinquent 30-59 days and over past due, and an increase of $2.4 million in loans delinquent 90 days and over at March 31, 2024, offset by a decrease of $890,000 in loans delinquent 60-89 days, as compared to December 31, 2023. The increase of $2.7 million primarily consisted of increases in commercial real estate, commercial lines of credit and commercial loans.</w:t>
      </w:r>
    </w:p>
    <w:p>
      <w:pPr>
        <w:spacing w:after="0" w:line="199"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At March 31, 2023, there were $25.9 million in loans past due including $4.5 million in loans 30-59 days past due, $2.5 million in loans 60-89 days past due and $18.9 million in loans 90 or more days past due. At December 31, 2023, there were $34.3 million in loans past due including $13.6 million in loans 30-59 days past due, $3.2 million in loans 60-89 days past due and $17.2 million in loans 90 or more days past due.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Noninterest Income</w:t>
      </w:r>
    </w:p>
    <w:p>
      <w:pPr>
        <w:spacing w:after="0" w:line="193"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The Company's noninterest income is primarily comprised of fees on deposit account balances and transactions, loan servicing, commissions, including insurance agency commissions, and net gains on sales of securities, loans, and foreclosed real estate.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income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31, 2024</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March 31, 2023</w:t>
            </w:r>
          </w:p>
        </w:tc>
        <w:tc>
          <w:tcPr>
            <w:tcW w:w="10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267</w:t>
            </w:r>
          </w:p>
        </w:tc>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and gain on bank owned life insurance</w:t>
            </w:r>
          </w:p>
        </w:tc>
        <w:tc>
          <w:tcPr>
            <w:tcW w:w="18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108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fees</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tcPr>
          <w:p>
            <w:pPr>
              <w:spacing w:after="0"/>
              <w:rPr>
                <w:sz w:val="21"/>
                <w:szCs w:val="21"/>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Debit card interchange fees</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1080" w:type="dxa"/>
            <w:vAlign w:val="bottom"/>
          </w:tcPr>
          <w:p>
            <w:pPr>
              <w:spacing w:after="0"/>
              <w:rPr>
                <w:sz w:val="21"/>
                <w:szCs w:val="21"/>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agency revenue</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420</w:t>
            </w:r>
          </w:p>
        </w:tc>
        <w:tc>
          <w:tcPr>
            <w:tcW w:w="1080" w:type="dxa"/>
            <w:vAlign w:val="bottom"/>
          </w:tcPr>
          <w:p>
            <w:pPr>
              <w:spacing w:after="0"/>
              <w:rPr>
                <w:sz w:val="21"/>
                <w:szCs w:val="21"/>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commissions and fees</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080" w:type="dxa"/>
            <w:vAlign w:val="bottom"/>
          </w:tcPr>
          <w:p>
            <w:pPr>
              <w:spacing w:after="0"/>
              <w:rPr>
                <w:sz w:val="21"/>
                <w:szCs w:val="21"/>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73.4 %</w:t>
            </w:r>
          </w:p>
        </w:tc>
      </w:tr>
      <w:tr>
        <w:trPr>
          <w:trHeight w:val="20"/>
        </w:trPr>
        <w:tc>
          <w:tcPr>
            <w:tcW w:w="4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 before gains</w:t>
            </w:r>
          </w:p>
        </w:tc>
        <w:tc>
          <w:tcPr>
            <w:tcW w:w="18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1,514</w:t>
            </w:r>
          </w:p>
        </w:tc>
        <w:tc>
          <w:tcPr>
            <w:tcW w:w="2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1,494</w:t>
            </w:r>
          </w:p>
        </w:tc>
        <w:tc>
          <w:tcPr>
            <w:tcW w:w="1080" w:type="dxa"/>
            <w:vAlign w:val="bottom"/>
          </w:tcPr>
          <w:p>
            <w:pPr>
              <w:spacing w:after="0"/>
              <w:rPr>
                <w:sz w:val="20"/>
                <w:szCs w:val="20"/>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gains on sales and redemptions of investment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(148 )</w:t>
            </w:r>
          </w:p>
        </w:tc>
        <w:tc>
          <w:tcPr>
            <w:tcW w:w="2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08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(221 )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-302.7 %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 and foreclosed real estate</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tcPr>
          <w:p>
            <w:pPr>
              <w:spacing w:after="0"/>
              <w:rPr>
                <w:sz w:val="21"/>
                <w:szCs w:val="21"/>
                <w:color w:val="auto"/>
              </w:rPr>
            </w:pPr>
          </w:p>
        </w:tc>
        <w:tc>
          <w:tcPr>
            <w:tcW w:w="12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gain on lease renegotiations</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marketable equity securities</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1,737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1,592</w:t>
            </w:r>
          </w:p>
        </w:tc>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0"/>
        </w:trPr>
        <w:tc>
          <w:tcPr>
            <w:tcW w:w="4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-1876425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-1259840</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quarter noninterest income was $1.7 million, an increase of $145,000, or 9.1% compared to the same three month period in 2023.</w:t>
      </w:r>
    </w:p>
    <w:p>
      <w:pPr>
        <w:spacing w:after="0" w:line="189"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20"/>
          <w:szCs w:val="20"/>
          <w:color w:val="auto"/>
        </w:rPr>
        <w:t>This modest increase for the first quarter of 2024 was the result of a $20,000, or 1.3%, net increase in recurring noninterest income, supplemented by a $125,000 aggregate increase in all other categories of noninterest income. Within the category of recurring noninterest income, quarter-over-quarter revenues increased $222,000, or 18.9%, excluding debit interchange fees. This increase was partially offset by a decrease in net debit card interchange fees of $202,000, or 62.9%. Debit card interchange income declined in the first quarter of 2024, as compared to the same quarter in 2023, as a result of reduced gross interchange revenues related to declining levels of consumer activity and increased rewards program expenses in the higher interest rate environment.</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16" w:right="279" w:bottom="1440" w:gutter="0" w:footer="0" w:header="0"/>
        </w:sectPr>
      </w:pPr>
    </w:p>
    <w:bookmarkStart w:id="52" w:name="page53"/>
    <w:bookmarkEnd w:id="52"/>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Other charges, commissions and fees increased by $188,000, or 73.4%, in the quarter ended March 31, 2024, as compared to the same three month period in 2023, primarily as a result of New York State cumulative mortgage recording tax refunds in the amount of $141,000 and other miscellaneous fees.</w:t>
      </w:r>
    </w:p>
    <w:p>
      <w:pPr>
        <w:spacing w:after="0" w:line="147"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The $125,000, or 127.6%, quarter-over-quarter increase in all other (nonrecurring) categories of noninterest income was primarily due to the recognition of a $245,000 refund received from cumulative lessor related pass-through operating expense charges for a leased branch location. This nonrecurring gain was partially offset by a $221,000 decline in gains recognized on the sale or early redemption of investment securities, which were a loss of $148,000 in the first quarter of 2024 as compared to a gain of $73,000 in the same quarter of the previous year. This reduction in the gains recorded related to the sale or early redemption of investment securities was partially offset by a $108,000 quarter-over-quarter increase in realized gains on marketable equity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Noninterest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expense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 2024</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March 31, 2023</w:t>
            </w:r>
          </w:p>
        </w:tc>
        <w:tc>
          <w:tcPr>
            <w:tcW w:w="10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4,329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4,183</w:t>
            </w:r>
          </w:p>
        </w:tc>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occupancy</w:t>
            </w:r>
          </w:p>
        </w:tc>
        <w:tc>
          <w:tcPr>
            <w:tcW w:w="18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816</w:t>
            </w:r>
          </w:p>
        </w:tc>
        <w:tc>
          <w:tcPr>
            <w:tcW w:w="3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852</w:t>
            </w:r>
          </w:p>
        </w:tc>
        <w:tc>
          <w:tcPr>
            <w:tcW w:w="1080" w:type="dxa"/>
            <w:vAlign w:val="bottom"/>
          </w:tcPr>
          <w:p>
            <w:pPr>
              <w:spacing w:after="0"/>
              <w:rPr>
                <w:sz w:val="20"/>
                <w:szCs w:val="20"/>
                <w:color w:val="auto"/>
              </w:rPr>
            </w:pPr>
          </w:p>
        </w:tc>
        <w:tc>
          <w:tcPr>
            <w:tcW w:w="13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(36 )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528</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553</w:t>
            </w:r>
          </w:p>
        </w:tc>
        <w:tc>
          <w:tcPr>
            <w:tcW w:w="1080" w:type="dxa"/>
            <w:vAlign w:val="bottom"/>
          </w:tcPr>
          <w:p>
            <w:pPr>
              <w:spacing w:after="0"/>
              <w:rPr>
                <w:sz w:val="21"/>
                <w:szCs w:val="21"/>
                <w:color w:val="auto"/>
              </w:rPr>
            </w:pPr>
          </w:p>
        </w:tc>
        <w:tc>
          <w:tcPr>
            <w:tcW w:w="13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(25 )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other services</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536</w:t>
            </w:r>
          </w:p>
        </w:tc>
        <w:tc>
          <w:tcPr>
            <w:tcW w:w="1080" w:type="dxa"/>
            <w:vAlign w:val="bottom"/>
          </w:tcPr>
          <w:p>
            <w:pPr>
              <w:spacing w:after="0"/>
              <w:rPr>
                <w:sz w:val="21"/>
                <w:szCs w:val="21"/>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c>
          <w:tcPr>
            <w:tcW w:w="1080" w:type="dxa"/>
            <w:vAlign w:val="bottom"/>
          </w:tcPr>
          <w:p>
            <w:pPr>
              <w:spacing w:after="0"/>
              <w:rPr>
                <w:sz w:val="21"/>
                <w:szCs w:val="21"/>
                <w:color w:val="auto"/>
              </w:rPr>
            </w:pPr>
          </w:p>
        </w:tc>
        <w:tc>
          <w:tcPr>
            <w:tcW w:w="13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(101 )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 assessments</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c>
          <w:tcPr>
            <w:tcW w:w="1080" w:type="dxa"/>
            <w:vAlign w:val="bottom"/>
          </w:tcPr>
          <w:p>
            <w:pPr>
              <w:spacing w:after="0"/>
              <w:rPr>
                <w:sz w:val="21"/>
                <w:szCs w:val="21"/>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Audits and exams</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1080" w:type="dxa"/>
            <w:vAlign w:val="bottom"/>
          </w:tcPr>
          <w:p>
            <w:pPr>
              <w:spacing w:after="0"/>
              <w:rPr>
                <w:sz w:val="21"/>
                <w:szCs w:val="21"/>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agency expense</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w:t>
            </w:r>
          </w:p>
        </w:tc>
        <w:tc>
          <w:tcPr>
            <w:tcW w:w="1080" w:type="dxa"/>
            <w:vAlign w:val="bottom"/>
          </w:tcPr>
          <w:p>
            <w:pPr>
              <w:spacing w:after="0"/>
              <w:rPr>
                <w:sz w:val="21"/>
                <w:szCs w:val="21"/>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Community service activities</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Pr>
          <w:p>
            <w:pPr>
              <w:spacing w:after="0"/>
              <w:rPr>
                <w:sz w:val="21"/>
                <w:szCs w:val="21"/>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Foreclosed real estate expenses</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tcPr>
          <w:p>
            <w:pPr>
              <w:spacing w:after="0"/>
              <w:rPr>
                <w:sz w:val="21"/>
                <w:szCs w:val="21"/>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78.6 %</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605</w:t>
            </w:r>
          </w:p>
        </w:tc>
        <w:tc>
          <w:tcPr>
            <w:tcW w:w="32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w:t>
            </w:r>
          </w:p>
        </w:tc>
        <w:tc>
          <w:tcPr>
            <w:tcW w:w="1080" w:type="dxa"/>
            <w:vAlign w:val="bottom"/>
          </w:tcPr>
          <w:p>
            <w:pPr>
              <w:spacing w:after="0"/>
              <w:rPr>
                <w:sz w:val="21"/>
                <w:szCs w:val="21"/>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0"/>
        </w:trPr>
        <w:tc>
          <w:tcPr>
            <w:tcW w:w="4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7,706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7,524</w:t>
            </w:r>
          </w:p>
        </w:tc>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4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9"/>
          <w:szCs w:val="19"/>
          <w:color w:val="auto"/>
        </w:rPr>
        <w:t>Total noninterest expense for the first quarter of 2024 was $7.7 million, an increase of $182,000, or 2.4%, compared to the same three month period in 2023. This rise was driven primarily by a $146,000, or 3.5%, increase in salaries and employee benefits. The adjustments to salary structures and commissions, particularly tied to insurance and investment services, reflect the Bank's strategic efforts to enhance its competitive edge in the market and address the demands of an inflationary environment with respect to attracting and retaining employees.</w:t>
      </w:r>
    </w:p>
    <w:p>
      <w:pPr>
        <w:spacing w:after="0" w:line="138"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The remainder of the increase in noninterest expenses during the first quarter of 2024, as compared to the first quarter of 2023, totaling $36,000, or 1.0%, was distributed across various categories, reflecting the Bank's ongoing investments in operational efficiency and technology enhancements. These investments are critical to sustaining the Bank's agility and responsiveness to market conditions and customer needs.</w:t>
      </w:r>
    </w:p>
    <w:p>
      <w:pPr>
        <w:spacing w:after="0" w:line="166"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We anticipate further increases in personnel expenses as we continue to fill vacancies and make targeted compensation adjustments. These planned investments in our workforce are key to retaining top talent and ensuring the Bank's personnel are well-equipped to deliver exceptional service. Such strategic staffing enhancements are integral to maintaining our competitive position and achieving long-term success in the dynamic banking landscape.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Income tax expense decreased $137,000 to $532,000, with an effective tax rate of 19.7%, for the quarter ended March 31, 2024, as compared to $669,000 with an effective tax rate of 20.0% for the same three month period in 2023. The decrease in income tax expense for the quarter ended March 31, 2024, as compared to the same quarter in 2023, was primarily driven by a decrease of $479,000 in income before taxes. The effective income tax rate decreased .03% to 19.7% for the three months ended March 31, 2024 as compared to 20.0% for the same three month period in 2023. The decrease in the tax rate</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0" w:right="2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in the first quarter of 2024, as compared to the same quarter in 2023, was primarily related to fluctuations in permanent tax differences.</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tax liability is a function of the 21% statutory federal tax rate, the level of pretax income, the varying effects of New York State income taxes, and is partially reduced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Basic and diluted earnings per Voting and Series A Non-Voting share were $0.34 per share for the first quarter of 2024, as compared to $0.43 per basic and diluted Voting and Series A Non-Voting share for the same quarter of 2023. The decrease in earnings per share between these two periods was due to the decrease in net income between these two time periods. Further information on earnings per share can be found in Note 3 of the unaudited consolidated financial statements of this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assets decreased $12.1 million, or 0.83%, to $1.45 billion at March 31, 2024 as compared to December 31, 2023. This decrease was due primarily to decreases in loans and total cash and cash equivalents.</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Loans totaled $891.5 million at March 31, 2024, a decrease of $5.7 million, or 0.63%, compared to $897.2 million at December 31, 2023. This was primarily due to decreases of $5.3 million in total residential mortgage loans and $1.8 million in total consumer loans, partially offset by increases of $1.4 million in commercial loans. Total cash and cash equivalents totaled $29.2 million at March 31, 2024, a decrease of $19.5 million, or 40.0%, compared to $48.7 million at December 31, 2023. This was due to decreases of $20.7 million in interest-earning deposits, slightly offset by increases in cash and due from banks of $1.2 million.</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Total decreases in assets were partially offset by an increase in investment securities, including investment in FHLB-NY stock, of $12.1 million, or 2.7%, to $462.0 million at March 31, 2024, as compared to December 31, 2023. This was due to increases of $20.3 million in available-for-sale securities and $136,000 in marketable equity securities, partially offset by decreases of $6.6 million in held-to-maturity securities and $1.7 million in FHLB-NY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liabilities decreased $14.5 million, or 1.1%, to $1.33 billion at March 31, 2024 as compared to December 31, 2023. This decrease was due primarily to a decrease in borrowed funds balances from the FHLB-NY of $34.1 million, or 27.1%, to $91.6 million at March 31, 2024, from $125.7 million at December 31, 2023.</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decreases in liabilities were slightly offset by a $26.0 million, or 2.3% increase in total deposits to $1.15 billion at March 31, 2024, as compared to December 31, 2023. This increase in deposits includes an increase of $19.8 million in interest-bearing deposits, and $6.3 million in noninterest-bearing deposits.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Shareholders' equity increased by $2.3 million, or 1.9%, from $119.5 million at December 31, 2023, to $121.8 million on March 31, 2024. This increase was primarily due to the Company’s recorded net income of $2.1 million and a decrease in accumulated other comprehensive loss of $743,000, partially reduced by declared dividends to shareholders of $622,000.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Capital</w:t>
      </w:r>
    </w:p>
    <w:p>
      <w:pPr>
        <w:spacing w:after="0" w:line="22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March 31, 2024,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7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risk-weighted assets ratios: (1) Core Capital, (2) Total Capital and (3) Common Equity. At March 31, 2024, the Bank exceeded all regulatory required minimum capital ratios, including the capital buffer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Pathfinder Bank’s capital amounts and ratios as of the indicated dates are presented in the following table:</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Minimum For</w:t>
            </w:r>
          </w:p>
        </w:tc>
        <w:tc>
          <w:tcPr>
            <w:tcW w:w="100" w:type="dxa"/>
            <w:vAlign w:val="bottom"/>
          </w:tcPr>
          <w:p>
            <w:pPr>
              <w:spacing w:after="0"/>
              <w:rPr>
                <w:sz w:val="13"/>
                <w:szCs w:val="13"/>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w w:val="99"/>
              </w:rPr>
              <w:t>Minimum To Be</w:t>
            </w:r>
          </w:p>
        </w:tc>
        <w:tc>
          <w:tcPr>
            <w:tcW w:w="100" w:type="dxa"/>
            <w:vAlign w:val="bottom"/>
          </w:tcPr>
          <w:p>
            <w:pPr>
              <w:spacing w:after="0"/>
              <w:rPr>
                <w:sz w:val="13"/>
                <w:szCs w:val="13"/>
                <w:color w:val="auto"/>
              </w:rPr>
            </w:pPr>
          </w:p>
        </w:tc>
        <w:tc>
          <w:tcPr>
            <w:tcW w:w="14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Minimum For</w:t>
            </w: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"Well-Capitalized"</w:t>
            </w: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Actual</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100" w:type="dxa"/>
            <w:vAlign w:val="bottom"/>
          </w:tcPr>
          <w:p>
            <w:pPr>
              <w:spacing w:after="0"/>
              <w:rPr>
                <w:sz w:val="12"/>
                <w:szCs w:val="12"/>
                <w:color w:val="auto"/>
              </w:rPr>
            </w:pPr>
          </w:p>
        </w:tc>
        <w:tc>
          <w:tcPr>
            <w:tcW w:w="16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Under Prompt</w:t>
            </w:r>
          </w:p>
        </w:tc>
        <w:tc>
          <w:tcPr>
            <w:tcW w:w="1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0" w:type="dxa"/>
            <w:vAlign w:val="bottom"/>
          </w:tcPr>
          <w:p>
            <w:pPr>
              <w:spacing w:after="0"/>
              <w:rPr>
                <w:sz w:val="1"/>
                <w:szCs w:val="1"/>
                <w:color w:val="auto"/>
              </w:rPr>
            </w:pPr>
          </w:p>
        </w:tc>
      </w:tr>
      <w:tr>
        <w:trPr>
          <w:trHeight w:val="185"/>
        </w:trPr>
        <w:tc>
          <w:tcPr>
            <w:tcW w:w="4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Purposes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Corrective Provisions</w:t>
            </w:r>
          </w:p>
        </w:tc>
        <w:tc>
          <w:tcPr>
            <w:tcW w:w="100" w:type="dxa"/>
            <w:vAlign w:val="bottom"/>
          </w:tcPr>
          <w:p>
            <w:pPr>
              <w:spacing w:after="0"/>
              <w:rPr>
                <w:sz w:val="16"/>
                <w:szCs w:val="16"/>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with Buffer</w:t>
            </w:r>
          </w:p>
        </w:tc>
        <w:tc>
          <w:tcPr>
            <w:tcW w:w="0" w:type="dxa"/>
            <w:vAlign w:val="bottom"/>
          </w:tcPr>
          <w:p>
            <w:pPr>
              <w:spacing w:after="0"/>
              <w:rPr>
                <w:sz w:val="1"/>
                <w:szCs w:val="1"/>
                <w:color w:val="auto"/>
              </w:rPr>
            </w:pPr>
          </w:p>
        </w:tc>
      </w:tr>
      <w:tr>
        <w:trPr>
          <w:trHeight w:val="169"/>
        </w:trPr>
        <w:tc>
          <w:tcPr>
            <w:tcW w:w="4080" w:type="dxa"/>
            <w:vAlign w:val="bottom"/>
            <w:tcBorders>
              <w:bottom w:val="single" w:sz="8" w:color="auto"/>
            </w:tcBorders>
            <w:gridSpan w:val="4"/>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Amount</w:t>
            </w:r>
          </w:p>
        </w:tc>
        <w:tc>
          <w:tcPr>
            <w:tcW w:w="7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Ratio</w:t>
            </w:r>
          </w:p>
        </w:tc>
        <w:tc>
          <w:tcPr>
            <w:tcW w:w="14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Amount</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Ratio</w:t>
            </w:r>
          </w:p>
        </w:tc>
        <w:tc>
          <w:tcPr>
            <w:tcW w:w="120" w:type="dxa"/>
            <w:vAlign w:val="bottom"/>
            <w:tcBorders>
              <w:bottom w:val="single" w:sz="8" w:color="auto"/>
            </w:tcBorders>
          </w:tcPr>
          <w:p>
            <w:pPr>
              <w:spacing w:after="0"/>
              <w:rPr>
                <w:sz w:val="14"/>
                <w:szCs w:val="14"/>
                <w:color w:val="auto"/>
              </w:rPr>
            </w:pPr>
          </w:p>
        </w:tc>
        <w:tc>
          <w:tcPr>
            <w:tcW w:w="800" w:type="dxa"/>
            <w:vAlign w:val="bottom"/>
            <w:tcBorders>
              <w:top w:val="single" w:sz="8" w:color="auto"/>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7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Ratio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Borders>
              <w:left w:val="single" w:sz="8" w:color="CFF0FC"/>
            </w:tcBorders>
            <w:gridSpan w:val="4"/>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As of March 31, 2024:</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80" w:type="dxa"/>
            <w:vAlign w:val="bottom"/>
            <w:tcBorders>
              <w:left w:val="single" w:sz="8" w:color="CFF0FC"/>
            </w:tcBorders>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5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158,149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15.65 %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80,856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101,070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106,123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Borders>
              <w:left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145,454</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14.39 %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60,642</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80,856</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85,909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Tier 1 Common Equity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145,454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14.39 %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45,481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65,695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70,749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CFF0FC"/>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Capital (to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145,454</w:t>
            </w:r>
          </w:p>
        </w:tc>
        <w:tc>
          <w:tcPr>
            <w:tcW w:w="8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10.13 %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57,460</w:t>
            </w:r>
          </w:p>
        </w:tc>
        <w:tc>
          <w:tcPr>
            <w:tcW w:w="7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71,824</w:t>
            </w:r>
          </w:p>
        </w:tc>
        <w:tc>
          <w:tcPr>
            <w:tcW w:w="8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71,824</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4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As of December 31, 2023</w:t>
            </w: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80" w:type="dxa"/>
            <w:vAlign w:val="bottom"/>
            <w:tcBorders>
              <w:left w:val="single" w:sz="8" w:color="CFF0FC"/>
            </w:tcBorders>
            <w:gridSpan w:val="4"/>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Core Capital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155,922</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82,860</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103,575</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108,753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Capital (to 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62,145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82,860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88,038</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Equity (to Risk-Weighted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13.80 %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46,609</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67,324</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72,502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Tier 1</w:t>
            </w:r>
          </w:p>
        </w:tc>
        <w:tc>
          <w:tcPr>
            <w:tcW w:w="3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Capital (to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142,927</w:t>
            </w: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10.11 %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56,548</w:t>
            </w: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70,685</w:t>
            </w: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70,685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0"/>
          <w:szCs w:val="20"/>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2"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March 31,</w:t>
            </w:r>
          </w:p>
        </w:tc>
        <w:tc>
          <w:tcPr>
            <w:tcW w:w="4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December 31,</w:t>
            </w:r>
          </w:p>
        </w:tc>
        <w:tc>
          <w:tcPr>
            <w:tcW w:w="260" w:type="dxa"/>
            <w:vAlign w:val="bottom"/>
          </w:tcPr>
          <w:p>
            <w:pPr>
              <w:spacing w:after="0"/>
              <w:rPr>
                <w:sz w:val="18"/>
                <w:szCs w:val="18"/>
                <w:color w:val="auto"/>
              </w:rPr>
            </w:pPr>
          </w:p>
        </w:tc>
      </w:tr>
      <w:tr>
        <w:trPr>
          <w:trHeight w:val="242"/>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Borders>
              <w:bottom w:val="single" w:sz="8" w:color="auto"/>
            </w:tcBorders>
          </w:tcPr>
          <w:p>
            <w:pPr>
              <w:spacing w:after="0"/>
              <w:rPr>
                <w:sz w:val="21"/>
                <w:szCs w:val="21"/>
                <w:color w:val="auto"/>
              </w:rPr>
            </w:pPr>
          </w:p>
        </w:tc>
      </w:tr>
      <w:tr>
        <w:trPr>
          <w:trHeight w:val="23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Regulatory Capital Ratios (Bank only)</w:t>
            </w:r>
          </w:p>
        </w:tc>
        <w:tc>
          <w:tcPr>
            <w:tcW w:w="2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capital (to risk-weighted assets)</w:t>
            </w:r>
          </w:p>
        </w:tc>
        <w:tc>
          <w:tcPr>
            <w:tcW w:w="2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8"/>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equity (GAAP)</w:t>
            </w:r>
          </w:p>
        </w:tc>
        <w:tc>
          <w:tcPr>
            <w:tcW w:w="2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141,208</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137,943</w:t>
            </w:r>
          </w:p>
        </w:tc>
        <w:tc>
          <w:tcPr>
            <w:tcW w:w="260" w:type="dxa"/>
            <w:vAlign w:val="bottom"/>
            <w:shd w:val="clear" w:color="auto" w:fill="CFF0FC"/>
          </w:tcPr>
          <w:p>
            <w:pPr>
              <w:spacing w:after="0"/>
              <w:rPr>
                <w:sz w:val="20"/>
                <w:szCs w:val="20"/>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2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260" w:type="dxa"/>
            <w:vAlign w:val="bottom"/>
          </w:tcPr>
          <w:p>
            <w:pPr>
              <w:spacing w:after="0"/>
              <w:rPr>
                <w:sz w:val="19"/>
                <w:szCs w:val="19"/>
                <w:color w:val="auto"/>
              </w:rPr>
            </w:pPr>
          </w:p>
        </w:tc>
      </w:tr>
      <w:tr>
        <w:trPr>
          <w:trHeight w:val="23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Intangible assets</w:t>
            </w:r>
          </w:p>
        </w:tc>
        <w:tc>
          <w:tcPr>
            <w:tcW w:w="2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60" w:type="dxa"/>
            <w:vAlign w:val="bottom"/>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Addback: Accumulated other comprehensive income</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8,862</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9,605</w:t>
            </w:r>
          </w:p>
        </w:tc>
        <w:tc>
          <w:tcPr>
            <w:tcW w:w="260" w:type="dxa"/>
            <w:vAlign w:val="bottom"/>
            <w:tcBorders>
              <w:bottom w:val="single" w:sz="8" w:color="auto"/>
            </w:tcBorders>
          </w:tcPr>
          <w:p>
            <w:pPr>
              <w:spacing w:after="0"/>
              <w:rPr>
                <w:sz w:val="19"/>
                <w:szCs w:val="19"/>
                <w:color w:val="auto"/>
              </w:rPr>
            </w:pPr>
          </w:p>
        </w:tc>
      </w:tr>
      <w:tr>
        <w:trPr>
          <w:trHeight w:val="229"/>
        </w:trPr>
        <w:tc>
          <w:tcPr>
            <w:tcW w:w="5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1 Capital</w:t>
            </w:r>
          </w:p>
        </w:tc>
        <w:tc>
          <w:tcPr>
            <w:tcW w:w="2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145,454</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Allowance for credit losses (subject to regulatory limits)</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12,695</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12,995</w:t>
            </w:r>
          </w:p>
        </w:tc>
        <w:tc>
          <w:tcPr>
            <w:tcW w:w="260" w:type="dxa"/>
            <w:vAlign w:val="bottom"/>
            <w:tcBorders>
              <w:bottom w:val="single" w:sz="8" w:color="auto"/>
            </w:tcBorders>
          </w:tcPr>
          <w:p>
            <w:pPr>
              <w:spacing w:after="0"/>
              <w:rPr>
                <w:sz w:val="19"/>
                <w:szCs w:val="19"/>
                <w:color w:val="auto"/>
              </w:rPr>
            </w:pPr>
          </w:p>
        </w:tc>
      </w:tr>
      <w:tr>
        <w:trPr>
          <w:trHeight w:val="223"/>
        </w:trPr>
        <w:tc>
          <w:tcPr>
            <w:tcW w:w="584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2 Capital</w:t>
            </w:r>
          </w:p>
        </w:tc>
        <w:tc>
          <w:tcPr>
            <w:tcW w:w="24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12,695</w:t>
            </w:r>
          </w:p>
        </w:tc>
        <w:tc>
          <w:tcPr>
            <w:tcW w:w="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12,995</w:t>
            </w:r>
          </w:p>
        </w:tc>
        <w:tc>
          <w:tcPr>
            <w:tcW w:w="260" w:type="dxa"/>
            <w:vAlign w:val="bottom"/>
            <w:tcBorders>
              <w:bottom w:val="single" w:sz="8" w:color="auto"/>
            </w:tcBorders>
            <w:shd w:val="clear" w:color="auto" w:fill="CFF0FC"/>
          </w:tcPr>
          <w:p>
            <w:pPr>
              <w:spacing w:after="0"/>
              <w:rPr>
                <w:sz w:val="19"/>
                <w:szCs w:val="19"/>
                <w:color w:val="auto"/>
              </w:rPr>
            </w:pPr>
          </w:p>
        </w:tc>
      </w:tr>
      <w:tr>
        <w:trPr>
          <w:trHeight w:val="220"/>
        </w:trPr>
        <w:tc>
          <w:tcPr>
            <w:tcW w:w="5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Tier 1 plus Tier 2 Capital (numerator)</w:t>
            </w:r>
          </w:p>
        </w:tc>
        <w:tc>
          <w:tcPr>
            <w:tcW w:w="2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158,149</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155,922</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1,010,695</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core capital to risk-weighted assets</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15.65</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17"/>
        </w:trPr>
        <w:tc>
          <w:tcPr>
            <w:tcW w:w="58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21"/>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Tier 1 capital (to risk-weighted assets)</w:t>
            </w:r>
          </w:p>
        </w:tc>
        <w:tc>
          <w:tcPr>
            <w:tcW w:w="2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8"/>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145,454</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1,010,695</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tcPr>
          <w:p>
            <w:pPr>
              <w:spacing w:after="0"/>
              <w:rPr>
                <w:sz w:val="19"/>
                <w:szCs w:val="19"/>
                <w:color w:val="auto"/>
              </w:rPr>
            </w:pPr>
          </w:p>
        </w:tc>
      </w:tr>
      <w:tr>
        <w:trPr>
          <w:trHeight w:val="263"/>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4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14.39</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Tier 1 capital (to adjusted assets)</w:t>
            </w:r>
          </w:p>
        </w:tc>
        <w:tc>
          <w:tcPr>
            <w:tcW w:w="2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145,454</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tcPr>
          <w:p>
            <w:pPr>
              <w:spacing w:after="0"/>
              <w:rPr>
                <w:sz w:val="19"/>
                <w:szCs w:val="19"/>
                <w:color w:val="auto"/>
              </w:rPr>
            </w:pPr>
          </w:p>
        </w:tc>
      </w:tr>
      <w:tr>
        <w:trPr>
          <w:trHeight w:val="239"/>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Total average assets</w:t>
            </w:r>
          </w:p>
        </w:tc>
        <w:tc>
          <w:tcPr>
            <w:tcW w:w="24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1,441,105</w:t>
            </w: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1,418,313</w:t>
            </w:r>
          </w:p>
        </w:tc>
        <w:tc>
          <w:tcPr>
            <w:tcW w:w="260" w:type="dxa"/>
            <w:vAlign w:val="bottom"/>
            <w:shd w:val="clear" w:color="auto" w:fill="CFF0FC"/>
          </w:tcPr>
          <w:p>
            <w:pPr>
              <w:spacing w:after="0"/>
              <w:rPr>
                <w:sz w:val="20"/>
                <w:szCs w:val="20"/>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2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(4,536 )</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Intangible assets</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Adjusted assets (denominator)</w:t>
            </w:r>
          </w:p>
        </w:tc>
        <w:tc>
          <w:tcPr>
            <w:tcW w:w="24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1,436,489</w:t>
            </w: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1,413,692</w:t>
            </w:r>
          </w:p>
        </w:tc>
        <w:tc>
          <w:tcPr>
            <w:tcW w:w="260" w:type="dxa"/>
            <w:vAlign w:val="bottom"/>
            <w:tcBorders>
              <w:bottom w:val="single" w:sz="8" w:color="auto"/>
            </w:tcBorders>
          </w:tcPr>
          <w:p>
            <w:pPr>
              <w:spacing w:after="0"/>
              <w:rPr>
                <w:sz w:val="19"/>
                <w:szCs w:val="19"/>
                <w:color w:val="auto"/>
              </w:rPr>
            </w:pPr>
          </w:p>
        </w:tc>
      </w:tr>
      <w:tr>
        <w:trPr>
          <w:trHeight w:val="263"/>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adjusted assets</w:t>
            </w:r>
          </w:p>
        </w:tc>
        <w:tc>
          <w:tcPr>
            <w:tcW w:w="24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10.13</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Tier 1 Common Equity (to risk-weighted assets)</w:t>
            </w:r>
          </w:p>
        </w:tc>
        <w:tc>
          <w:tcPr>
            <w:tcW w:w="2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20"/>
        </w:trPr>
        <w:tc>
          <w:tcPr>
            <w:tcW w:w="5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145,454</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142,927</w:t>
            </w:r>
          </w:p>
        </w:tc>
        <w:tc>
          <w:tcPr>
            <w:tcW w:w="260" w:type="dxa"/>
            <w:vAlign w:val="bottom"/>
          </w:tcPr>
          <w:p>
            <w:pPr>
              <w:spacing w:after="0"/>
              <w:rPr>
                <w:sz w:val="19"/>
                <w:szCs w:val="19"/>
                <w:color w:val="auto"/>
              </w:rPr>
            </w:pPr>
          </w:p>
        </w:tc>
      </w:tr>
      <w:tr>
        <w:trPr>
          <w:trHeight w:val="233"/>
        </w:trPr>
        <w:tc>
          <w:tcPr>
            <w:tcW w:w="5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1,010,695</w:t>
            </w:r>
          </w:p>
        </w:tc>
        <w:tc>
          <w:tcPr>
            <w:tcW w:w="4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1,035,747</w:t>
            </w:r>
          </w:p>
        </w:tc>
        <w:tc>
          <w:tcPr>
            <w:tcW w:w="260" w:type="dxa"/>
            <w:vAlign w:val="bottom"/>
            <w:tcBorders>
              <w:bottom w:val="single" w:sz="8" w:color="auto"/>
            </w:tcBorders>
            <w:shd w:val="clear" w:color="auto" w:fill="CFF0FC"/>
          </w:tcPr>
          <w:p>
            <w:pPr>
              <w:spacing w:after="0"/>
              <w:rPr>
                <w:sz w:val="20"/>
                <w:szCs w:val="20"/>
                <w:color w:val="auto"/>
              </w:rPr>
            </w:pPr>
          </w:p>
        </w:tc>
      </w:tr>
      <w:tr>
        <w:trPr>
          <w:trHeight w:val="223"/>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Tier 1 Common Equity to risk-weighted assets</w:t>
            </w:r>
          </w:p>
        </w:tc>
        <w:tc>
          <w:tcPr>
            <w:tcW w:w="2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14.39</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13.80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Loan and Asset Quality and Allowance for Credit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concerning the aggregate amount of non-accrual loans at the indicated dates: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31,</w:t>
            </w:r>
          </w:p>
        </w:tc>
        <w:tc>
          <w:tcPr>
            <w:tcW w:w="26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March 31,</w:t>
            </w:r>
          </w:p>
        </w:tc>
      </w:tr>
      <w:tr>
        <w:trPr>
          <w:trHeight w:val="25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1"/>
                <w:szCs w:val="21"/>
                <w:color w:val="auto"/>
              </w:rPr>
            </w:pPr>
          </w:p>
        </w:tc>
      </w:tr>
      <w:tr>
        <w:trPr>
          <w:trHeight w:val="24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9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commercial real estate loans</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12,317</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15,701</w:t>
            </w:r>
          </w:p>
        </w:tc>
        <w:tc>
          <w:tcPr>
            <w:tcW w:w="60" w:type="dxa"/>
            <w:vAlign w:val="bottom"/>
          </w:tcPr>
          <w:p>
            <w:pPr>
              <w:spacing w:after="0"/>
              <w:rPr>
                <w:sz w:val="20"/>
                <w:szCs w:val="20"/>
                <w:color w:val="auto"/>
              </w:rPr>
            </w:pPr>
          </w:p>
        </w:tc>
      </w:tr>
      <w:tr>
        <w:trPr>
          <w:trHeight w:val="247"/>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19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3,572</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3,140</w:t>
            </w:r>
          </w:p>
        </w:tc>
        <w:tc>
          <w:tcPr>
            <w:tcW w:w="4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tcPr>
          <w:p>
            <w:pPr>
              <w:spacing w:after="0"/>
              <w:rPr>
                <w:sz w:val="21"/>
                <w:szCs w:val="21"/>
                <w:color w:val="auto"/>
              </w:rPr>
            </w:pPr>
          </w:p>
        </w:tc>
      </w:tr>
      <w:tr>
        <w:trPr>
          <w:trHeight w:val="239"/>
        </w:trPr>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1,775</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1,770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60" w:type="dxa"/>
            <w:vAlign w:val="bottom"/>
          </w:tcPr>
          <w:p>
            <w:pPr>
              <w:spacing w:after="0"/>
              <w:rPr>
                <w:sz w:val="20"/>
                <w:szCs w:val="20"/>
                <w:color w:val="auto"/>
              </w:rPr>
            </w:pPr>
          </w:p>
        </w:tc>
      </w:tr>
      <w:tr>
        <w:trPr>
          <w:trHeight w:val="237"/>
        </w:trPr>
        <w:tc>
          <w:tcPr>
            <w:tcW w:w="5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19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19,652</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17,227</w:t>
            </w:r>
          </w:p>
        </w:tc>
        <w:tc>
          <w:tcPr>
            <w:tcW w:w="4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19,102</w:t>
            </w:r>
          </w:p>
        </w:tc>
        <w:tc>
          <w:tcPr>
            <w:tcW w:w="60" w:type="dxa"/>
            <w:vAlign w:val="bottom"/>
          </w:tcPr>
          <w:p>
            <w:pPr>
              <w:spacing w:after="0"/>
              <w:rPr>
                <w:sz w:val="20"/>
                <w:szCs w:val="20"/>
                <w:color w:val="auto"/>
              </w:rPr>
            </w:pPr>
          </w:p>
        </w:tc>
      </w:tr>
      <w:tr>
        <w:trPr>
          <w:trHeight w:val="236"/>
        </w:trPr>
        <w:tc>
          <w:tcPr>
            <w:tcW w:w="5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19,652</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17,227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19,102</w:t>
            </w:r>
          </w:p>
        </w:tc>
        <w:tc>
          <w:tcPr>
            <w:tcW w:w="60" w:type="dxa"/>
            <w:vAlign w:val="bottom"/>
          </w:tcPr>
          <w:p>
            <w:pPr>
              <w:spacing w:after="0"/>
              <w:rPr>
                <w:sz w:val="20"/>
                <w:szCs w:val="20"/>
                <w:color w:val="auto"/>
              </w:rPr>
            </w:pPr>
          </w:p>
        </w:tc>
      </w:tr>
      <w:tr>
        <w:trPr>
          <w:trHeight w:val="237"/>
        </w:trPr>
        <w:tc>
          <w:tcPr>
            <w:tcW w:w="50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Foreclosed real estate</w:t>
            </w:r>
          </w:p>
        </w:tc>
        <w:tc>
          <w:tcPr>
            <w:tcW w:w="19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4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20"/>
                <w:szCs w:val="20"/>
                <w:color w:val="auto"/>
              </w:rPr>
            </w:pPr>
          </w:p>
        </w:tc>
      </w:tr>
      <w:tr>
        <w:trPr>
          <w:trHeight w:val="236"/>
        </w:trPr>
        <w:tc>
          <w:tcPr>
            <w:tcW w:w="5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19,734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17,378</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19,323</w:t>
            </w:r>
          </w:p>
        </w:tc>
        <w:tc>
          <w:tcPr>
            <w:tcW w:w="60" w:type="dxa"/>
            <w:vAlign w:val="bottom"/>
          </w:tcPr>
          <w:p>
            <w:pPr>
              <w:spacing w:after="0"/>
              <w:rPr>
                <w:sz w:val="20"/>
                <w:szCs w:val="20"/>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50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9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2.20 %</w:t>
            </w:r>
          </w:p>
        </w:tc>
        <w:tc>
          <w:tcPr>
            <w:tcW w:w="2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1.92 %</w:t>
            </w:r>
          </w:p>
        </w:tc>
        <w:tc>
          <w:tcPr>
            <w:tcW w:w="4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9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1.19 %</w:t>
            </w:r>
          </w:p>
        </w:tc>
        <w:tc>
          <w:tcPr>
            <w:tcW w:w="4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0"/>
        </w:trPr>
        <w:tc>
          <w:tcPr>
            <w:tcW w:w="50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Nonperforming assets include nonaccrual loans, and foreclosed real estate (‘‘FRE”).</w:t>
      </w:r>
    </w:p>
    <w:p>
      <w:pPr>
        <w:spacing w:after="0" w:line="229"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As indicated in the table above, nonperforming assets at March 31, 2024 were $19.7 million, and were $2.4 million higher than the $17.4 million reported at December 31, 2023 and $411,000 higher than the $19.3 million reported at March 31, 2023. The increase in the nonperforming loans on March 31, 2024, as compared to December 31, 2023, was primarily the result of the downgrade of one commercial real estate loan with a balance of $1.4 million, $900,000 in commercial and consumer loan relationships, and $200,000 in other loans in the aggregate.</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38" w:right="279" w:bottom="1075" w:gutter="0" w:footer="0" w:header="0"/>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20"/>
          <w:szCs w:val="20"/>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of underlying collateral or discounted cash flow analysis. Subsequent to foreclosure, valuations are updated periodically and assets are marked to current fair value, not to exceed the initial cost basis for the FRE property.</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allowance for credit losses on loans represents management’s estimate of the lifetime losses inherent in the loan portfolio as of the date of the statement of condition. The allowance for credit losses was $16.7 million and $16.0 million at March 31, 2024 and December 31, 2023, respectively. The ratio of the allowance for credit losses to total loans was 1.87% as of March 31, 2024, as compared to 1.78% at December 31, 2023 and 1.96% at March 31, 2023. Management performs a quarterly evaluation of the allowance for credit losses based on quantitative and qualitative factors and has determined that the current level of the allowance for credit losses is adequate to absorb the losses in the loan portfolio as of March 31, 2024.</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Loans purchased outside of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especially in the most recent deeply recessionary period,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 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March 31, 2024 and December 31, 2023, the Company had $23.2 million and $22.6 million in loans, respectively, which were individually analyzed, having established specific reserves of $3.8 million and $3.7 million, respectively, on these loans. The $100,000 increase in specifically-identified loans between these two dates was the result of a small number of general loans placed into nonaccrual status.</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Appraisals are obtained at the time a real estate secured loan is originated. For commercial real estate held as collateral, the property is inspected every two years.</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totaled $42.7 million at March 31, 2024, a decrease of $400,000, as compared to $43.1 million at December 31, 2023. These loans have been internally classified as special mention, substandard, or doubtful, yet are not currently considered specifically-identified.</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20"/>
          <w:szCs w:val="20"/>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liquidity has been enhanced by its ability to borrow from the Federal Home Loan Bank of New York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the sale of securitized loans, or the sale of whole loans. Such actions could result in higher interest expense and/or losses on the sale of securities or loans.</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Through the first three months of 2024, as indicated in the consolidated statement of cash flows, the Company reported net cash flow from operating activities of $504,000 and net cash outflow of $7.4 million related to investing activities. The net cash outflow from investing activities was generated principally by a $13.0 million increase in net investment activity, a $230,000 increase in premises and equipment and a decrease of $5.7 million in net loan activity. The Company reported net cash outflows from financing activities of $12.6 million, primarily due to a $38.2 million decrease in net borrowings, a $26.0 million decrease in deposits, and an aggregate decrease of $502,000 in net cash from all other financing sources, including dividends paid to common voting and non-voting shareholders and warrants of $560,000.</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Bank’s management monitors liquidity on a continuous basis through a broad range of internal programs and considers effective liquidity management to be one of its primary objectives. At March 31, 2024 the Bank had deposits of $1.15 billion, of which a portion were nominally uninsured, as they were above the insurance limits established by the Federal Deposit Insurance Corporation (“FDIC”) on that date. Of the nominally uninsured deposits at March 31, 2024, $72.7 million were insured through a long-standing reciprocal deposit program managed by a third-party entity. In addition, $140.5 million in municipal deposits are fully protected against principal loss by a collateral program whereby the Bank places high-quality securities with an independent custodian as collateral. The Bank had $126.9 million in deposits, representing 11.1% of all deposits, that were considered to be uninsured at March 31, 2024.</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a number of existing credit facilities available to it. At March 31, 2024, total credit available under the existing lines of credit was approximately $225.5 million at FHLBNY, the Federal Reserve Bank, and two other correspondent banks. At March 31, 2024, the Company had $137.4 million of the available lines of credit utilized on its existing lines of credit with the remainder of $88.1 million available.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Asset Liability Management Committee of the Company is responsible for implementing the policies and guidelines for the maintenance of prudent levels of liquidity. As of March 31, 2024, management reported to the Board of Directors that the Company is in compliance with its liquidity policy guidelines.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March 31, 2024, the Company had $215.0 million in outstanding commitments to extend credit and standby letters of credit.</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March 31, 2024 was $600,000 and is included in other liabilities on the Company's consolidated Statements of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Quantitative and Qualitative Disclosures About Market Risk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Controls and Procedures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March 31, 2024.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evaluation of our disclosure controls and procedures as of March 31, 2024, our CEO and CFO concluded that our disclosure controls and procedures were effective as of that date.</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did not make any changes in internal control over financial reporting during the quarter ended March 31, 2024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Legal Proceedings</w:t>
      </w:r>
    </w:p>
    <w:p>
      <w:pPr>
        <w:spacing w:after="0" w:line="233"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At March 31, 2024, the Company is not currently a named party in a legal proceeding, the outcome of which would have a material and adverse effect on the financial condition or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 Risk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 Unregistered Sales of Equity Securities, and Use of Proceeds, and Issuer Purchases of Equity Securities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Maximum Number</w:t>
            </w:r>
          </w:p>
        </w:tc>
      </w:tr>
      <w:tr>
        <w:trPr>
          <w:trHeight w:val="216"/>
        </w:trPr>
        <w:tc>
          <w:tcPr>
            <w:tcW w:w="3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Purchased as</w:t>
            </w: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of Shares That May</w:t>
            </w:r>
          </w:p>
        </w:tc>
      </w:tr>
      <w:tr>
        <w:trPr>
          <w:trHeight w:val="216"/>
        </w:trPr>
        <w:tc>
          <w:tcPr>
            <w:tcW w:w="38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Average Price</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Yet Be Purchased</w:t>
            </w:r>
          </w:p>
        </w:tc>
      </w:tr>
      <w:tr>
        <w:trPr>
          <w:trHeight w:val="196"/>
        </w:trPr>
        <w:tc>
          <w:tcPr>
            <w:tcW w:w="382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Paid</w:t>
            </w:r>
          </w:p>
        </w:tc>
        <w:tc>
          <w:tcPr>
            <w:tcW w:w="10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Announced Plans or</w:t>
            </w:r>
          </w:p>
        </w:tc>
        <w:tc>
          <w:tcPr>
            <w:tcW w:w="100" w:type="dxa"/>
            <w:vAlign w:val="bottom"/>
          </w:tcPr>
          <w:p>
            <w:pPr>
              <w:spacing w:after="0"/>
              <w:rPr>
                <w:sz w:val="17"/>
                <w:szCs w:val="17"/>
                <w:color w:val="auto"/>
              </w:rPr>
            </w:pPr>
          </w:p>
        </w:tc>
        <w:tc>
          <w:tcPr>
            <w:tcW w:w="17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Under the Plans or</w:t>
            </w:r>
          </w:p>
        </w:tc>
      </w:tr>
      <w:tr>
        <w:trPr>
          <w:trHeight w:val="268"/>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840" w:type="dxa"/>
            <w:vAlign w:val="bottom"/>
            <w:tcBorders>
              <w:bottom w:val="single" w:sz="8" w:color="auto"/>
            </w:tcBorders>
          </w:tcPr>
          <w:p>
            <w:pPr>
              <w:jc w:val="right"/>
              <w:spacing w:after="0" w:line="267" w:lineRule="exact"/>
              <w:rPr>
                <w:sz w:val="20"/>
                <w:szCs w:val="20"/>
                <w:color w:val="auto"/>
              </w:rPr>
            </w:pPr>
            <w:r>
              <w:rPr>
                <w:rFonts w:ascii="Times New Roman" w:cs="Times New Roman" w:eastAsia="Times New Roman" w:hAnsi="Times New Roman"/>
                <w:sz w:val="18"/>
                <w:szCs w:val="18"/>
                <w:color w:val="auto"/>
              </w:rPr>
              <w:t xml:space="preserve">Purchased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Programs</w:t>
            </w:r>
          </w:p>
        </w:tc>
        <w:tc>
          <w:tcPr>
            <w:tcW w:w="100" w:type="dxa"/>
            <w:vAlign w:val="bottom"/>
          </w:tcPr>
          <w:p>
            <w:pPr>
              <w:spacing w:after="0"/>
              <w:rPr>
                <w:sz w:val="23"/>
                <w:szCs w:val="23"/>
                <w:color w:val="auto"/>
              </w:rPr>
            </w:pPr>
          </w:p>
        </w:tc>
      </w:tr>
      <w:tr>
        <w:trPr>
          <w:trHeight w:val="23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0"/>
                <w:szCs w:val="20"/>
                <w:color w:val="auto"/>
              </w:rPr>
            </w:pPr>
          </w:p>
        </w:tc>
      </w:tr>
      <w:tr>
        <w:trPr>
          <w:trHeight w:val="243"/>
        </w:trPr>
        <w:tc>
          <w:tcPr>
            <w:tcW w:w="3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1"/>
                <w:szCs w:val="21"/>
                <w:color w:val="auto"/>
              </w:rPr>
            </w:pPr>
          </w:p>
        </w:tc>
      </w:tr>
      <w:tr>
        <w:trPr>
          <w:trHeight w:val="243"/>
        </w:trPr>
        <w:tc>
          <w:tcPr>
            <w:tcW w:w="3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2024 through March 30, 2024</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74,292</w:t>
            </w:r>
          </w:p>
        </w:tc>
        <w:tc>
          <w:tcPr>
            <w:tcW w:w="100" w:type="dxa"/>
            <w:vAlign w:val="bottom"/>
            <w:shd w:val="clear" w:color="auto" w:fill="CFF0FC"/>
          </w:tcPr>
          <w:p>
            <w:pPr>
              <w:spacing w:after="0"/>
              <w:rPr>
                <w:sz w:val="21"/>
                <w:szCs w:val="21"/>
                <w:color w:val="auto"/>
              </w:rPr>
            </w:pPr>
          </w:p>
        </w:tc>
      </w:tr>
    </w:tbl>
    <w:p>
      <w:pPr>
        <w:spacing w:after="0" w:line="319" w:lineRule="exact"/>
        <w:rPr>
          <w:sz w:val="20"/>
          <w:szCs w:val="20"/>
          <w:color w:val="auto"/>
        </w:rPr>
      </w:pPr>
    </w:p>
    <w:p>
      <w:pPr>
        <w:ind w:left="5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2016, our Board of Directors authorized the repurchase of up to 217,692 shares of our common stock, or 5% of the Company’s shares outstanding as of that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Defaults Upon Senior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 Other Information</w:t>
      </w:r>
    </w:p>
    <w:p>
      <w:pPr>
        <w:spacing w:after="0" w:line="233"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During the first quarter of 2024,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Item 6 –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1"/>
        </w:trPr>
        <w:tc>
          <w:tcPr>
            <w:tcW w:w="10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31.1</w:t>
            </w:r>
          </w:p>
        </w:tc>
        <w:tc>
          <w:tcPr>
            <w:tcW w:w="620" w:type="dxa"/>
            <w:vAlign w:val="bottom"/>
          </w:tcPr>
          <w:p>
            <w:pPr>
              <w:spacing w:after="0"/>
              <w:rPr>
                <w:sz w:val="17"/>
                <w:szCs w:val="17"/>
                <w:color w:val="auto"/>
              </w:rPr>
            </w:pPr>
          </w:p>
        </w:tc>
        <w:tc>
          <w:tcPr>
            <w:tcW w:w="942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Rule 13a-14(a)/15d-14(a) Certification of the Chief Executive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31.2</w:t>
            </w:r>
          </w:p>
        </w:tc>
        <w:tc>
          <w:tcPr>
            <w:tcW w:w="620" w:type="dxa"/>
            <w:vAlign w:val="bottom"/>
          </w:tcPr>
          <w:p>
            <w:pPr>
              <w:spacing w:after="0"/>
              <w:rPr>
                <w:sz w:val="17"/>
                <w:szCs w:val="17"/>
                <w:color w:val="auto"/>
              </w:rPr>
            </w:pPr>
          </w:p>
        </w:tc>
        <w:tc>
          <w:tcPr>
            <w:tcW w:w="942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Rule 13a-14(a)/15d-14(a) Certification of the Chief Financial Officer</w:t>
            </w:r>
          </w:p>
        </w:tc>
      </w:tr>
      <w:tr>
        <w:trPr>
          <w:trHeight w:val="34"/>
        </w:trPr>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top w:val="single" w:sz="8" w:color="0000FF"/>
              <w:bottom w:val="single" w:sz="8" w:color="auto"/>
            </w:tcBorders>
          </w:tcPr>
          <w:p>
            <w:pPr>
              <w:spacing w:after="0"/>
              <w:rPr>
                <w:sz w:val="2"/>
                <w:szCs w:val="2"/>
                <w:color w:val="auto"/>
              </w:rPr>
            </w:pPr>
          </w:p>
        </w:tc>
        <w:tc>
          <w:tcPr>
            <w:tcW w:w="458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9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0"/>
                <w:szCs w:val="20"/>
                <w:color w:val="auto"/>
              </w:rPr>
              <w:t>32</w:t>
            </w:r>
          </w:p>
        </w:tc>
        <w:tc>
          <w:tcPr>
            <w:tcW w:w="620" w:type="dxa"/>
            <w:vAlign w:val="bottom"/>
          </w:tcPr>
          <w:p>
            <w:pPr>
              <w:spacing w:after="0"/>
              <w:rPr>
                <w:sz w:val="17"/>
                <w:szCs w:val="17"/>
                <w:color w:val="auto"/>
              </w:rPr>
            </w:pPr>
          </w:p>
        </w:tc>
        <w:tc>
          <w:tcPr>
            <w:tcW w:w="67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0"/>
                <w:szCs w:val="20"/>
                <w:color w:val="0000FF"/>
                <w:w w:val="98"/>
              </w:rPr>
              <w:t>Section 1350 Certification of the Chief Executive Officer and Chief Financial Officer</w:t>
            </w:r>
          </w:p>
        </w:tc>
        <w:tc>
          <w:tcPr>
            <w:tcW w:w="26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6986270" cy="1448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6270" cy="1448435"/>
                    </a:xfrm>
                    <a:prstGeom prst="rect">
                      <a:avLst/>
                    </a:prstGeom>
                    <a:noFill/>
                  </pic:spPr>
                </pic:pic>
              </a:graphicData>
            </a:graphic>
          </wp:anchor>
        </w:drawing>
      </w:r>
    </w:p>
    <w:p>
      <w:pPr>
        <w:spacing w:after="0" w:line="25" w:lineRule="exact"/>
        <w:rPr>
          <w:sz w:val="20"/>
          <w:szCs w:val="20"/>
          <w:color w:val="auto"/>
        </w:rPr>
      </w:pPr>
    </w:p>
    <w:p>
      <w:pPr>
        <w:ind w:left="1600" w:right="320" w:hanging="1481"/>
        <w:spacing w:after="0" w:line="246" w:lineRule="auto"/>
        <w:tabs>
          <w:tab w:leader="none" w:pos="1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8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3"/>
              </w:rPr>
              <w:t>104</w:t>
            </w:r>
          </w:p>
        </w:tc>
        <w:tc>
          <w:tcPr>
            <w:tcW w:w="700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b w:val="1"/>
          <w:bCs w:val="1"/>
          <w:u w:val="single" w:color="auto"/>
          <w:color w:val="auto"/>
        </w:rPr>
        <w:t>PATHFINDER BANCORP, INC.</w:t>
      </w:r>
    </w:p>
    <w:p>
      <w:pPr>
        <w:spacing w:after="0" w:line="2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(registrant)</w:t>
      </w:r>
    </w:p>
    <w:p>
      <w:pPr>
        <w:spacing w:after="0" w:line="221" w:lineRule="exact"/>
        <w:rPr>
          <w:sz w:val="20"/>
          <w:szCs w:val="20"/>
          <w:color w:val="auto"/>
        </w:rPr>
      </w:pPr>
    </w:p>
    <w:p>
      <w:pPr>
        <w:ind w:left="1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May 15, 2024</w:t>
      </w:r>
      <w:r>
        <w:rPr>
          <w:sz w:val="20"/>
          <w:szCs w:val="20"/>
          <w:color w:val="auto"/>
        </w:rPr>
        <w:tab/>
      </w:r>
      <w:r>
        <w:rPr>
          <w:rFonts w:ascii="Times New Roman" w:cs="Times New Roman" w:eastAsia="Times New Roman" w:hAnsi="Times New Roman"/>
          <w:sz w:val="19"/>
          <w:szCs w:val="19"/>
          <w:u w:val="single" w:color="auto"/>
          <w:color w:val="auto"/>
        </w:rPr>
        <w:t>/s/ James A. Dowd</w:t>
      </w:r>
    </w:p>
    <w:p>
      <w:pPr>
        <w:spacing w:after="0" w:line="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James A. Dowd</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81" w:lineRule="exact"/>
        <w:rPr>
          <w:sz w:val="20"/>
          <w:szCs w:val="20"/>
          <w:color w:val="auto"/>
        </w:rPr>
      </w:pPr>
    </w:p>
    <w:p>
      <w:pPr>
        <w:ind w:left="100"/>
        <w:spacing w:after="0"/>
        <w:tabs>
          <w:tab w:leader="none" w:pos="2720" w:val="left"/>
        </w:tabs>
        <w:rPr>
          <w:sz w:val="20"/>
          <w:szCs w:val="20"/>
          <w:color w:val="auto"/>
        </w:rPr>
      </w:pPr>
      <w:r>
        <w:rPr>
          <w:rFonts w:ascii="Times New Roman" w:cs="Times New Roman" w:eastAsia="Times New Roman" w:hAnsi="Times New Roman"/>
          <w:sz w:val="20"/>
          <w:szCs w:val="20"/>
          <w:u w:val="single" w:color="auto"/>
          <w:color w:val="auto"/>
        </w:rPr>
        <w:t>May 15, 2024</w:t>
      </w:r>
      <w:r>
        <w:rPr>
          <w:sz w:val="20"/>
          <w:szCs w:val="20"/>
          <w:color w:val="auto"/>
        </w:rPr>
        <w:tab/>
      </w:r>
      <w:r>
        <w:rPr>
          <w:rFonts w:ascii="Times New Roman" w:cs="Times New Roman" w:eastAsia="Times New Roman" w:hAnsi="Times New Roman"/>
          <w:sz w:val="19"/>
          <w:szCs w:val="19"/>
          <w:color w:val="auto"/>
        </w:rPr>
        <w:t>/s/ Walter F. Rusnak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-10795</wp:posOffset>
            </wp:positionV>
            <wp:extent cx="1043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Walter F. Rusnak</w:t>
      </w:r>
    </w:p>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Senior Vice President, Chief Financial Officer</w:t>
      </w: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12" w:right="5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EXHIBIT 31.1: Rule 13a-14(a) / 15d-14(a)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Dowd, certify that:</w:t>
      </w:r>
    </w:p>
    <w:p>
      <w:pPr>
        <w:spacing w:after="0" w:line="225" w:lineRule="exact"/>
        <w:rPr>
          <w:sz w:val="20"/>
          <w:szCs w:val="20"/>
          <w:color w:val="auto"/>
        </w:rPr>
      </w:pPr>
    </w:p>
    <w:p>
      <w:pPr>
        <w:ind w:left="560" w:hanging="365"/>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60" w:hanging="365"/>
        <w:spacing w:after="0" w:line="282"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5"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60" w:hanging="929"/>
        <w:spacing w:after="0" w:line="260"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tabs>
          <w:tab w:leader="none" w:pos="5700" w:val="left"/>
        </w:tabs>
        <w:rPr>
          <w:sz w:val="20"/>
          <w:szCs w:val="20"/>
          <w:color w:val="auto"/>
        </w:rPr>
      </w:pPr>
      <w:r>
        <w:rPr>
          <w:rFonts w:ascii="Times New Roman" w:cs="Times New Roman" w:eastAsia="Times New Roman" w:hAnsi="Times New Roman"/>
          <w:sz w:val="20"/>
          <w:szCs w:val="20"/>
          <w:u w:val="single" w:color="auto"/>
          <w:color w:val="auto"/>
        </w:rPr>
        <w:t>May 15, 2024</w:t>
      </w:r>
      <w:r>
        <w:rPr>
          <w:sz w:val="20"/>
          <w:szCs w:val="20"/>
          <w:color w:val="auto"/>
        </w:rPr>
        <w:tab/>
      </w:r>
      <w:r>
        <w:rPr>
          <w:rFonts w:ascii="Times New Roman" w:cs="Times New Roman" w:eastAsia="Times New Roman" w:hAnsi="Times New Roman"/>
          <w:sz w:val="17"/>
          <w:szCs w:val="17"/>
          <w:u w:val="single" w:color="auto"/>
          <w:color w:val="auto"/>
        </w:rPr>
        <w:t>/s/ James A. Dowd</w:t>
      </w:r>
    </w:p>
    <w:p>
      <w:pPr>
        <w:spacing w:after="0" w:line="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James A. Dowd</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EXHIBIT 31.2: Rule 13a-14(a) / 15d-14(a)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Walter F. Rusnak, certify that:</w:t>
      </w:r>
    </w:p>
    <w:p>
      <w:pPr>
        <w:spacing w:after="0" w:line="225"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sz w:val="20"/>
          <w:szCs w:val="20"/>
          <w:color w:val="auto"/>
        </w:rPr>
      </w:pPr>
    </w:p>
    <w:p>
      <w:pPr>
        <w:jc w:val="both"/>
        <w:ind w:left="760" w:hanging="37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2.</w:t>
        <w:tab/>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57"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hanging="369"/>
        <w:spacing w:after="0" w:line="255"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500" w:hanging="369"/>
        <w:spacing w:after="0" w:line="261"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hanging="369"/>
        <w:spacing w:after="0" w:line="260"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5540" w:val="left"/>
        </w:tabs>
        <w:rPr>
          <w:sz w:val="20"/>
          <w:szCs w:val="20"/>
          <w:color w:val="auto"/>
        </w:rPr>
      </w:pPr>
      <w:r>
        <w:rPr>
          <w:rFonts w:ascii="Times New Roman" w:cs="Times New Roman" w:eastAsia="Times New Roman" w:hAnsi="Times New Roman"/>
          <w:sz w:val="20"/>
          <w:szCs w:val="20"/>
          <w:u w:val="single" w:color="auto"/>
          <w:color w:val="auto"/>
        </w:rPr>
        <w:t>May 15, 2024</w:t>
      </w:r>
      <w:r>
        <w:rPr>
          <w:sz w:val="20"/>
          <w:szCs w:val="20"/>
          <w:color w:val="auto"/>
        </w:rPr>
        <w:tab/>
      </w:r>
      <w:r>
        <w:rPr>
          <w:rFonts w:ascii="Times New Roman" w:cs="Times New Roman" w:eastAsia="Times New Roman" w:hAnsi="Times New Roman"/>
          <w:sz w:val="17"/>
          <w:szCs w:val="17"/>
          <w:u w:val="single" w:color="auto"/>
          <w:color w:val="auto"/>
        </w:rPr>
        <w:t>/s/ Walter F. Rusnak</w:t>
      </w:r>
    </w:p>
    <w:p>
      <w:pPr>
        <w:spacing w:after="0" w:line="1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Walter F. Rusnak</w:t>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EXHIBIT 32 Section 1350 Certification of the Chief Executive Officer and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18 U.S.C. §1350, as adopted pursuant to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Pathfinder Bancorp, Inc. (the “Company”) on Form 10-Q for the period ended March 31, 2024 as filed with the Securities and Exchange Commission (the “Report”), the undersigned hereby certify, pursuant to 18 U.S.C. §1350, as adopted pursuant to §906 of the Sarbanes-Oxley Act of 2002, that:</w:t>
      </w:r>
    </w:p>
    <w:p>
      <w:pPr>
        <w:spacing w:after="0" w:line="176" w:lineRule="exact"/>
        <w:rPr>
          <w:sz w:val="20"/>
          <w:szCs w:val="20"/>
          <w:color w:val="auto"/>
        </w:rPr>
      </w:pPr>
    </w:p>
    <w:p>
      <w:pPr>
        <w:ind w:left="940" w:hanging="745"/>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right="20" w:hanging="745"/>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statement is solely to comply with Title 18, Chapter 63, Section 1350 of the United States Code, as amended by Section 906 of the Sarbanes-Oxley Act of 2002.</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15, 2024</w:t>
            </w:r>
          </w:p>
        </w:tc>
        <w:tc>
          <w:tcPr>
            <w:tcW w:w="2060" w:type="dxa"/>
            <w:vAlign w:val="bottom"/>
          </w:tcPr>
          <w:p>
            <w:pPr>
              <w:spacing w:after="0"/>
              <w:rPr>
                <w:sz w:val="17"/>
                <w:szCs w:val="17"/>
                <w:color w:val="auto"/>
              </w:rPr>
            </w:pPr>
          </w:p>
        </w:tc>
        <w:tc>
          <w:tcPr>
            <w:tcW w:w="77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0"/>
        </w:trPr>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7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8"/>
        </w:trPr>
        <w:tc>
          <w:tcPr>
            <w:tcW w:w="4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15, 2024</w:t>
            </w:r>
          </w:p>
        </w:tc>
        <w:tc>
          <w:tcPr>
            <w:tcW w:w="2060" w:type="dxa"/>
            <w:vAlign w:val="bottom"/>
          </w:tcPr>
          <w:p>
            <w:pPr>
              <w:spacing w:after="0"/>
              <w:rPr>
                <w:sz w:val="24"/>
                <w:szCs w:val="24"/>
                <w:color w:val="auto"/>
              </w:rPr>
            </w:pPr>
          </w:p>
        </w:tc>
        <w:tc>
          <w:tcPr>
            <w:tcW w:w="77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/s/ Walter F. Rusnak</w:t>
            </w:r>
          </w:p>
        </w:tc>
      </w:tr>
      <w:tr>
        <w:trPr>
          <w:trHeight w:val="20"/>
        </w:trPr>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7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Walter F. Rusnak</w:t>
            </w:r>
          </w:p>
        </w:tc>
      </w:tr>
      <w:tr>
        <w:trPr>
          <w:trHeight w:val="234"/>
        </w:trPr>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740" w:type="dxa"/>
            <w:vAlign w:val="bottom"/>
            <w:gridSpan w:val="4"/>
          </w:tcPr>
          <w:p>
            <w:pPr>
              <w:ind w:left="20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1856"/>
        </w:trPr>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lvl w:ilvl="1">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2."/>
      <w:numFmt w:val="lowerLetter"/>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lvl w:ilvl="1">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3"/>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2024-05-15T09:30:24Z</dcterms:created>
  <dcterms:modified xsi:type="dcterms:W3CDTF">2024-05-15T09:30:24Z</dcterms:modified>
</cp:coreProperties>
</file>