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887730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39" w:lineRule="exact"/>
        <w:rPr>
          <w:sz w:val="24"/>
          <w:szCs w:val="24"/>
          <w:color w:val="auto"/>
        </w:rPr>
      </w:pPr>
    </w:p>
    <w:p>
      <w:pPr>
        <w:ind w:left="2180" w:hanging="962"/>
        <w:spacing w:after="0"/>
        <w:tabs>
          <w:tab w:leader="none" w:pos="2180" w:val="left"/>
        </w:tabs>
        <w:numPr>
          <w:ilvl w:val="0"/>
          <w:numId w:val="1"/>
        </w:numPr>
        <w:rPr>
          <w:rFonts w:ascii="MS PGothic" w:cs="MS PGothic" w:eastAsia="MS PGothic" w:hAnsi="MS PGothic"/>
          <w:sz w:val="26"/>
          <w:szCs w:val="26"/>
          <w:color w:val="auto"/>
          <w:vertAlign w:val="superscript"/>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46" w:lineRule="exact"/>
        <w:rPr>
          <w:rFonts w:ascii="MS PGothic" w:cs="MS PGothic" w:eastAsia="MS PGothic" w:hAnsi="MS PGothic"/>
          <w:sz w:val="26"/>
          <w:szCs w:val="26"/>
          <w:color w:val="auto"/>
          <w:vertAlign w:val="superscript"/>
        </w:rPr>
      </w:pPr>
    </w:p>
    <w:p>
      <w:pPr>
        <w:ind w:left="4100"/>
        <w:spacing w:after="0"/>
        <w:rPr>
          <w:rFonts w:ascii="MS PGothic" w:cs="MS PGothic" w:eastAsia="MS PGothic" w:hAnsi="MS PGothic"/>
          <w:sz w:val="26"/>
          <w:szCs w:val="26"/>
          <w:color w:val="auto"/>
          <w:vertAlign w:val="superscript"/>
        </w:rPr>
      </w:pPr>
      <w:r>
        <w:rPr>
          <w:rFonts w:ascii="Times New Roman" w:cs="Times New Roman" w:eastAsia="Times New Roman" w:hAnsi="Times New Roman"/>
          <w:sz w:val="13"/>
          <w:szCs w:val="13"/>
          <w:b w:val="1"/>
          <w:bCs w:val="1"/>
          <w:color w:val="auto"/>
        </w:rPr>
        <w:t>For the Fiscal Year Ended December 31, 2024</w:t>
      </w:r>
    </w:p>
    <w:p>
      <w:pPr>
        <w:spacing w:after="0" w:line="86" w:lineRule="exact"/>
        <w:rPr>
          <w:rFonts w:ascii="MS PGothic" w:cs="MS PGothic" w:eastAsia="MS PGothic" w:hAnsi="MS PGothic"/>
          <w:sz w:val="26"/>
          <w:szCs w:val="26"/>
          <w:color w:val="auto"/>
          <w:vertAlign w:val="superscript"/>
        </w:rPr>
      </w:pPr>
    </w:p>
    <w:p>
      <w:pPr>
        <w:ind w:left="5200"/>
        <w:spacing w:after="0"/>
        <w:rPr>
          <w:rFonts w:ascii="MS PGothic" w:cs="MS PGothic" w:eastAsia="MS PGothic" w:hAnsi="MS PGothic"/>
          <w:sz w:val="26"/>
          <w:szCs w:val="26"/>
          <w:color w:val="auto"/>
          <w:vertAlign w:val="superscript"/>
        </w:rPr>
      </w:pPr>
      <w:r>
        <w:rPr>
          <w:rFonts w:ascii="Times New Roman" w:cs="Times New Roman" w:eastAsia="Times New Roman" w:hAnsi="Times New Roman"/>
          <w:sz w:val="13"/>
          <w:szCs w:val="13"/>
          <w:b w:val="1"/>
          <w:bCs w:val="1"/>
          <w:color w:val="auto"/>
        </w:rPr>
        <w:t>OR</w:t>
      </w:r>
    </w:p>
    <w:p>
      <w:pPr>
        <w:spacing w:after="0" w:line="127" w:lineRule="exact"/>
        <w:rPr>
          <w:sz w:val="24"/>
          <w:szCs w:val="24"/>
          <w:color w:val="auto"/>
        </w:rPr>
      </w:pPr>
    </w:p>
    <w:p>
      <w:pPr>
        <w:ind w:left="2040" w:hanging="822"/>
        <w:spacing w:after="0"/>
        <w:tabs>
          <w:tab w:leader="none" w:pos="20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4" w:lineRule="exact"/>
        <w:rPr>
          <w:rFonts w:ascii="MS PGothic" w:cs="MS PGothic" w:eastAsia="MS PGothic" w:hAnsi="MS PGothic"/>
          <w:sz w:val="13"/>
          <w:szCs w:val="13"/>
          <w:color w:val="auto"/>
        </w:rPr>
      </w:pPr>
    </w:p>
    <w:p>
      <w:pPr>
        <w:ind w:left="398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For the transition period from _______ to _______</w:t>
      </w:r>
    </w:p>
    <w:p>
      <w:pPr>
        <w:spacing w:after="0" w:line="2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Commission File No. 001-36695</w:t>
      </w:r>
    </w:p>
    <w:p>
      <w:pPr>
        <w:spacing w:after="0" w:line="1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PATHFINDER BANCORP, INC.</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111" w:lineRule="exact"/>
        <w:rPr>
          <w:sz w:val="24"/>
          <w:szCs w:val="24"/>
          <w:color w:val="auto"/>
        </w:rPr>
      </w:pPr>
    </w:p>
    <w:p>
      <w:pPr>
        <w:ind w:left="2320"/>
        <w:spacing w:after="0"/>
        <w:tabs>
          <w:tab w:leader="none" w:pos="7640" w:val="left"/>
        </w:tabs>
        <w:rPr>
          <w:sz w:val="20"/>
          <w:szCs w:val="20"/>
          <w:color w:val="auto"/>
        </w:rPr>
      </w:pPr>
      <w:r>
        <w:rPr>
          <w:rFonts w:ascii="Times New Roman" w:cs="Times New Roman" w:eastAsia="Times New Roman" w:hAnsi="Times New Roman"/>
          <w:sz w:val="13"/>
          <w:szCs w:val="13"/>
          <w:b w:val="1"/>
          <w:bCs w:val="1"/>
          <w:color w:val="auto"/>
        </w:rPr>
        <w:t>Maryland</w:t>
      </w:r>
      <w:r>
        <w:rPr>
          <w:sz w:val="20"/>
          <w:szCs w:val="20"/>
          <w:color w:val="auto"/>
        </w:rPr>
        <w:tab/>
      </w:r>
      <w:r>
        <w:rPr>
          <w:rFonts w:ascii="Times New Roman" w:cs="Times New Roman" w:eastAsia="Times New Roman" w:hAnsi="Times New Roman"/>
          <w:sz w:val="13"/>
          <w:szCs w:val="13"/>
          <w:b w:val="1"/>
          <w:bCs w:val="1"/>
          <w:color w:val="auto"/>
        </w:rPr>
        <w:t>38-3941859</w:t>
      </w:r>
    </w:p>
    <w:p>
      <w:pPr>
        <w:spacing w:after="0" w:line="23" w:lineRule="exact"/>
        <w:rPr>
          <w:sz w:val="24"/>
          <w:szCs w:val="24"/>
          <w:color w:val="auto"/>
        </w:rPr>
      </w:pPr>
    </w:p>
    <w:p>
      <w:pPr>
        <w:ind w:left="1000"/>
        <w:spacing w:after="0"/>
        <w:tabs>
          <w:tab w:leader="none" w:pos="7020" w:val="left"/>
        </w:tabs>
        <w:rPr>
          <w:sz w:val="20"/>
          <w:szCs w:val="20"/>
          <w:color w:val="auto"/>
        </w:rPr>
      </w:pPr>
      <w:r>
        <w:rPr>
          <w:rFonts w:ascii="Times New Roman" w:cs="Times New Roman" w:eastAsia="Times New Roman" w:hAnsi="Times New Roman"/>
          <w:sz w:val="13"/>
          <w:szCs w:val="13"/>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i w:val="1"/>
          <w:iCs w:val="1"/>
          <w:color w:val="auto"/>
        </w:rPr>
        <w:t>(I.R.S. Employer Identification No.)</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214 West First Street</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Oswego, NY 13126</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(315) 343-0057</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i w:val="1"/>
          <w:iCs w:val="1"/>
          <w:color w:val="auto"/>
        </w:rPr>
        <w:t>(Address, including zip code, and telephone number, including area code, of registrant’s principal executive offices)</w:t>
      </w:r>
    </w:p>
    <w:p>
      <w:pPr>
        <w:spacing w:after="0" w:line="1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87" w:lineRule="exact"/>
        <w:rPr>
          <w:sz w:val="24"/>
          <w:szCs w:val="24"/>
          <w:color w:val="auto"/>
        </w:rPr>
      </w:pPr>
    </w:p>
    <w:p>
      <w:pPr>
        <w:ind w:left="1360"/>
        <w:spacing w:after="0"/>
        <w:tabs>
          <w:tab w:leader="none" w:pos="4740" w:val="left"/>
          <w:tab w:leader="none" w:pos="7480" w:val="left"/>
        </w:tabs>
        <w:rPr>
          <w:sz w:val="20"/>
          <w:szCs w:val="20"/>
          <w:color w:val="auto"/>
        </w:rPr>
      </w:pPr>
      <w:r>
        <w:rPr>
          <w:rFonts w:ascii="Times New Roman" w:cs="Times New Roman" w:eastAsia="Times New Roman" w:hAnsi="Times New Roman"/>
          <w:sz w:val="13"/>
          <w:szCs w:val="13"/>
          <w:b w:val="1"/>
          <w:bCs w:val="1"/>
          <w:color w:val="auto"/>
        </w:rPr>
        <w:t>Title of each class</w:t>
      </w:r>
      <w:r>
        <w:rPr>
          <w:sz w:val="20"/>
          <w:szCs w:val="20"/>
          <w:color w:val="auto"/>
        </w:rPr>
        <w:tab/>
      </w:r>
      <w:r>
        <w:rPr>
          <w:rFonts w:ascii="Times New Roman" w:cs="Times New Roman" w:eastAsia="Times New Roman" w:hAnsi="Times New Roman"/>
          <w:sz w:val="13"/>
          <w:szCs w:val="13"/>
          <w:b w:val="1"/>
          <w:bCs w:val="1"/>
          <w:color w:val="auto"/>
        </w:rPr>
        <w:t>Trading 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23" w:lineRule="exact"/>
        <w:rPr>
          <w:sz w:val="24"/>
          <w:szCs w:val="24"/>
          <w:color w:val="auto"/>
        </w:rPr>
      </w:pPr>
    </w:p>
    <w:p>
      <w:pPr>
        <w:ind w:left="960"/>
        <w:spacing w:after="0"/>
        <w:tabs>
          <w:tab w:leader="none" w:pos="5080" w:val="left"/>
          <w:tab w:leader="none" w:pos="7740" w:val="left"/>
        </w:tabs>
        <w:rPr>
          <w:sz w:val="20"/>
          <w:szCs w:val="20"/>
          <w:color w:val="auto"/>
        </w:rPr>
      </w:pPr>
      <w:r>
        <w:rPr>
          <w:rFonts w:ascii="Times New Roman" w:cs="Times New Roman" w:eastAsia="Times New Roman" w:hAnsi="Times New Roman"/>
          <w:sz w:val="13"/>
          <w:szCs w:val="13"/>
          <w:b w:val="1"/>
          <w:bCs w:val="1"/>
          <w:color w:val="auto"/>
        </w:rPr>
        <w:t>Common Stock, $0.01 par value</w:t>
      </w:r>
      <w:r>
        <w:rPr>
          <w:sz w:val="20"/>
          <w:szCs w:val="20"/>
          <w:color w:val="auto"/>
        </w:rPr>
        <w:tab/>
      </w:r>
      <w:r>
        <w:rPr>
          <w:rFonts w:ascii="Times New Roman" w:cs="Times New Roman" w:eastAsia="Times New Roman" w:hAnsi="Times New Roman"/>
          <w:sz w:val="13"/>
          <w:szCs w:val="13"/>
          <w:b w:val="1"/>
          <w:bCs w:val="1"/>
          <w:color w:val="auto"/>
        </w:rPr>
        <w:t>PBHC</w:t>
      </w:r>
      <w:r>
        <w:rPr>
          <w:sz w:val="20"/>
          <w:szCs w:val="20"/>
          <w:color w:val="auto"/>
        </w:rPr>
        <w:tab/>
      </w:r>
      <w:r>
        <w:rPr>
          <w:rFonts w:ascii="Times New Roman" w:cs="Times New Roman" w:eastAsia="Times New Roman" w:hAnsi="Times New Roman"/>
          <w:sz w:val="13"/>
          <w:szCs w:val="13"/>
          <w:b w:val="1"/>
          <w:bCs w:val="1"/>
          <w:color w:val="auto"/>
        </w:rPr>
        <w:t>The NASDAQ Stock Market LLC</w:t>
      </w:r>
    </w:p>
    <w:p>
      <w:pPr>
        <w:spacing w:after="0" w:line="87" w:lineRule="exact"/>
        <w:rPr>
          <w:sz w:val="24"/>
          <w:szCs w:val="24"/>
          <w:color w:val="auto"/>
        </w:rPr>
      </w:pPr>
    </w:p>
    <w:p>
      <w:pPr>
        <w:ind w:right="3420" w:firstLine="3505"/>
        <w:spacing w:after="0" w:line="233" w:lineRule="exact"/>
        <w:rPr>
          <w:sz w:val="20"/>
          <w:szCs w:val="20"/>
          <w:color w:val="auto"/>
        </w:rPr>
      </w:pPr>
      <w:r>
        <w:rPr>
          <w:rFonts w:ascii="Times New Roman" w:cs="Times New Roman" w:eastAsia="Times New Roman" w:hAnsi="Times New Roman"/>
          <w:sz w:val="13"/>
          <w:szCs w:val="13"/>
          <w:b w:val="1"/>
          <w:bCs w:val="1"/>
          <w:color w:val="auto"/>
        </w:rPr>
        <w:t xml:space="preserve">Securities registered pursuant to Section 12(g) of the Act: None </w:t>
      </w: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40"/>
        <w:spacing w:after="0" w:line="28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ectPr>
          <w:pgSz w:w="11900" w:h="16840" w:orient="portrait"/>
          <w:cols w:equalWidth="0" w:num="1">
            <w:col w:w="10480"/>
          </w:cols>
          <w:pgMar w:left="660" w:top="1419" w:right="760" w:bottom="1440" w:gutter="0" w:footer="0" w:header="0"/>
        </w:sectPr>
      </w:pPr>
    </w:p>
    <w:p>
      <w:pPr>
        <w:spacing w:after="0" w:line="3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tabs>
          <w:tab w:leader="none" w:pos="1060" w:val="left"/>
          <w:tab w:leader="none" w:pos="3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MS PGothic" w:cs="MS PGothic" w:eastAsia="MS PGothic" w:hAnsi="MS PGothic"/>
          <w:sz w:val="10"/>
          <w:szCs w:val="10"/>
          <w:color w:val="auto"/>
        </w:rPr>
        <w:t>☒</w:t>
      </w:r>
    </w:p>
    <w:p>
      <w:pPr>
        <w:spacing w:after="0" w:line="47" w:lineRule="exact"/>
        <w:rPr>
          <w:sz w:val="24"/>
          <w:szCs w:val="24"/>
          <w:color w:val="auto"/>
        </w:rPr>
      </w:pPr>
    </w:p>
    <w:p>
      <w:pPr>
        <w:spacing w:after="0" w:line="150" w:lineRule="exact"/>
        <w:tabs>
          <w:tab w:leader="none" w:pos="1060" w:val="left"/>
          <w:tab w:leader="none" w:pos="3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7"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113" w:lineRule="exact"/>
        <w:rPr>
          <w:sz w:val="24"/>
          <w:szCs w:val="24"/>
          <w:color w:val="auto"/>
        </w:rPr>
      </w:pPr>
    </w:p>
    <w:p>
      <w:pPr>
        <w:sectPr>
          <w:pgSz w:w="11900" w:h="16840" w:orient="portrait"/>
          <w:cols w:equalWidth="0" w:num="2">
            <w:col w:w="1460" w:space="720"/>
            <w:col w:w="8300"/>
          </w:cols>
          <w:pgMar w:left="660" w:top="1419" w:right="760" w:bottom="1440" w:gutter="0" w:footer="0" w:header="0"/>
          <w:type w:val="continuous"/>
        </w:sectPr>
      </w:pPr>
    </w:p>
    <w:p>
      <w:pPr>
        <w:ind w:right="22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1" w:lineRule="exact"/>
        <w:rPr>
          <w:sz w:val="24"/>
          <w:szCs w:val="24"/>
          <w:color w:val="auto"/>
        </w:rPr>
      </w:pPr>
    </w:p>
    <w:p>
      <w:pPr>
        <w:ind w:right="16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1" w:lineRule="exact"/>
        <w:rPr>
          <w:sz w:val="24"/>
          <w:szCs w:val="24"/>
          <w:color w:val="auto"/>
        </w:rPr>
      </w:pPr>
    </w:p>
    <w:p>
      <w:pPr>
        <w:ind w:right="300"/>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1"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3"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computed by reference to the last sale price on June 30, 2024, as reported by the NASDAQ Capital Market ($13.19), was approximately $67.5 million.</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24, 2025, there were 4,763,707 shares outstanding of the Registrant’s voting common stock and 1,380,283 shares of the Registrant’s Series A nonvoting common stock.</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DOCUMENTS INCORPORATED BY REFERENCE: Proxy Statement for the 2025 Annual Meeting of Shareholders of the Registrant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19" w:right="76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8"/>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120" w:type="dxa"/>
            <w:vAlign w:val="bottom"/>
            <w:gridSpan w:val="8"/>
          </w:tcPr>
          <w:p>
            <w:pPr>
              <w:jc w:val="center"/>
              <w:ind w:right="1900"/>
              <w:spacing w:after="0"/>
              <w:rPr>
                <w:sz w:val="20"/>
                <w:szCs w:val="20"/>
                <w:color w:val="auto"/>
              </w:rPr>
            </w:pPr>
            <w:r>
              <w:rPr>
                <w:rFonts w:ascii="Times New Roman" w:cs="Times New Roman" w:eastAsia="Times New Roman" w:hAnsi="Times New Roman"/>
                <w:sz w:val="16"/>
                <w:szCs w:val="16"/>
                <w:color w:val="auto"/>
                <w:w w:val="97"/>
              </w:rPr>
              <w:t>FORM 10-K ANNUAL REPORT</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8"/>
          </w:tcPr>
          <w:p>
            <w:pPr>
              <w:jc w:val="center"/>
              <w:ind w:right="1920"/>
              <w:spacing w:after="0" w:line="180" w:lineRule="exact"/>
              <w:rPr>
                <w:sz w:val="20"/>
                <w:szCs w:val="20"/>
                <w:color w:val="auto"/>
              </w:rPr>
            </w:pPr>
            <w:r>
              <w:rPr>
                <w:rFonts w:ascii="Times New Roman" w:cs="Times New Roman" w:eastAsia="Times New Roman" w:hAnsi="Times New Roman"/>
                <w:sz w:val="16"/>
                <w:szCs w:val="16"/>
                <w:color w:val="auto"/>
                <w:w w:val="97"/>
              </w:rPr>
              <w:t>FOR THE YEAR ENDED</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8"/>
          </w:tcPr>
          <w:p>
            <w:pPr>
              <w:jc w:val="center"/>
              <w:ind w:right="1900"/>
              <w:spacing w:after="0" w:line="180" w:lineRule="exact"/>
              <w:rPr>
                <w:sz w:val="20"/>
                <w:szCs w:val="20"/>
                <w:color w:val="auto"/>
              </w:rPr>
            </w:pPr>
            <w:r>
              <w:rPr>
                <w:rFonts w:ascii="Times New Roman" w:cs="Times New Roman" w:eastAsia="Times New Roman" w:hAnsi="Times New Roman"/>
                <w:sz w:val="16"/>
                <w:szCs w:val="16"/>
                <w:color w:val="auto"/>
                <w:w w:val="96"/>
              </w:rPr>
              <w:t>DECEMBER 31, 2024</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8"/>
          </w:tcPr>
          <w:p>
            <w:pPr>
              <w:jc w:val="center"/>
              <w:ind w:right="1900"/>
              <w:spacing w:after="0"/>
              <w:rPr>
                <w:sz w:val="20"/>
                <w:szCs w:val="20"/>
                <w:color w:val="auto"/>
              </w:rPr>
            </w:pPr>
            <w:r>
              <w:rPr>
                <w:rFonts w:ascii="Times New Roman" w:cs="Times New Roman" w:eastAsia="Times New Roman" w:hAnsi="Times New Roman"/>
                <w:sz w:val="16"/>
                <w:szCs w:val="16"/>
                <w:color w:val="auto"/>
                <w:w w:val="97"/>
              </w:rPr>
              <w:t>PATHFINDER BANCORP, INC.</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280" w:type="dxa"/>
            <w:vAlign w:val="bottom"/>
            <w:gridSpan w:val="5"/>
            <w:vMerge w:val="restart"/>
          </w:tcPr>
          <w:p>
            <w:pPr>
              <w:spacing w:after="0"/>
              <w:rPr>
                <w:rFonts w:ascii="Times New Roman" w:cs="Times New Roman" w:eastAsia="Times New Roman" w:hAnsi="Times New Roman"/>
                <w:sz w:val="16"/>
                <w:szCs w:val="16"/>
                <w:b w:val="1"/>
                <w:bCs w:val="1"/>
                <w:color w:val="0000FF"/>
              </w:rPr>
            </w:pPr>
            <w:hyperlink w:anchor="page3">
              <w:r>
                <w:rPr>
                  <w:rFonts w:ascii="Times New Roman" w:cs="Times New Roman" w:eastAsia="Times New Roman" w:hAnsi="Times New Roman"/>
                  <w:sz w:val="16"/>
                  <w:szCs w:val="16"/>
                  <w:b w:val="1"/>
                  <w:bCs w:val="1"/>
                  <w:color w:val="0000FF"/>
                </w:rPr>
                <w:t>PART 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46"/>
        </w:trPr>
        <w:tc>
          <w:tcPr>
            <w:tcW w:w="1280" w:type="dxa"/>
            <w:vAlign w:val="bottom"/>
            <w:gridSpan w:val="5"/>
            <w:vMerge w:val="continue"/>
          </w:tcPr>
          <w:p>
            <w:pPr>
              <w:spacing w:after="0"/>
              <w:rPr>
                <w:sz w:val="12"/>
                <w:szCs w:val="12"/>
                <w:color w:val="auto"/>
              </w:rPr>
            </w:pPr>
          </w:p>
        </w:tc>
        <w:tc>
          <w:tcPr>
            <w:tcW w:w="560" w:type="dxa"/>
            <w:vAlign w:val="bottom"/>
            <w:vMerge w:val="restart"/>
          </w:tcPr>
          <w:p>
            <w:pPr>
              <w:spacing w:after="0"/>
              <w:rPr>
                <w:rFonts w:ascii="Times New Roman" w:cs="Times New Roman" w:eastAsia="Times New Roman" w:hAnsi="Times New Roman"/>
                <w:sz w:val="16"/>
                <w:szCs w:val="16"/>
                <w:color w:val="0000FF"/>
                <w:w w:val="94"/>
              </w:rPr>
            </w:pPr>
            <w:hyperlink w:anchor="page3">
              <w:r>
                <w:rPr>
                  <w:rFonts w:ascii="Times New Roman" w:cs="Times New Roman" w:eastAsia="Times New Roman" w:hAnsi="Times New Roman"/>
                  <w:sz w:val="16"/>
                  <w:szCs w:val="16"/>
                  <w:color w:val="0000FF"/>
                  <w:w w:val="94"/>
                </w:rPr>
                <w:t>Business</w:t>
              </w:r>
            </w:hyperlink>
          </w:p>
        </w:tc>
        <w:tc>
          <w:tcPr>
            <w:tcW w:w="6440" w:type="dxa"/>
            <w:vAlign w:val="bottom"/>
            <w:gridSpan w:val="22"/>
            <w:vMerge w:val="restart"/>
          </w:tcPr>
          <w:p>
            <w:pPr>
              <w:spacing w:after="0"/>
              <w:rPr>
                <w:sz w:val="12"/>
                <w:szCs w:val="12"/>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5"/>
        </w:trPr>
        <w:tc>
          <w:tcPr>
            <w:tcW w:w="520" w:type="dxa"/>
            <w:vAlign w:val="bottom"/>
            <w:tcBorders>
              <w:top w:val="single" w:sz="8" w:color="0000EE"/>
            </w:tcBorders>
          </w:tcPr>
          <w:p>
            <w:pPr>
              <w:ind w:left="220"/>
              <w:spacing w:after="0" w:line="160" w:lineRule="exact"/>
              <w:rPr>
                <w:sz w:val="20"/>
                <w:szCs w:val="20"/>
                <w:color w:val="auto"/>
              </w:rPr>
            </w:pPr>
            <w:r>
              <w:rPr>
                <w:rFonts w:ascii="Times New Roman" w:cs="Times New Roman" w:eastAsia="Times New Roman" w:hAnsi="Times New Roman"/>
                <w:sz w:val="16"/>
                <w:szCs w:val="16"/>
                <w:color w:val="auto"/>
                <w:w w:val="95"/>
              </w:rPr>
              <w:t>Item</w:t>
            </w:r>
          </w:p>
        </w:tc>
        <w:tc>
          <w:tcPr>
            <w:tcW w:w="760" w:type="dxa"/>
            <w:vAlign w:val="bottom"/>
            <w:gridSpan w:val="4"/>
          </w:tcPr>
          <w:p>
            <w:pPr>
              <w:jc w:val="right"/>
              <w:ind w:right="620"/>
              <w:spacing w:after="0" w:line="160" w:lineRule="exact"/>
              <w:rPr>
                <w:sz w:val="20"/>
                <w:szCs w:val="20"/>
                <w:color w:val="auto"/>
              </w:rPr>
            </w:pPr>
            <w:r>
              <w:rPr>
                <w:rFonts w:ascii="Times New Roman" w:cs="Times New Roman" w:eastAsia="Times New Roman" w:hAnsi="Times New Roman"/>
                <w:sz w:val="16"/>
                <w:szCs w:val="16"/>
                <w:color w:val="auto"/>
                <w:w w:val="99"/>
              </w:rPr>
              <w:t>1.</w:t>
            </w:r>
          </w:p>
        </w:tc>
        <w:tc>
          <w:tcPr>
            <w:tcW w:w="560" w:type="dxa"/>
            <w:vAlign w:val="bottom"/>
            <w:tcBorders>
              <w:bottom w:val="single" w:sz="8" w:color="0000EE"/>
            </w:tcBorders>
            <w:vMerge w:val="continue"/>
          </w:tcPr>
          <w:p>
            <w:pPr>
              <w:spacing w:after="0"/>
              <w:rPr>
                <w:sz w:val="13"/>
                <w:szCs w:val="13"/>
                <w:color w:val="auto"/>
              </w:rPr>
            </w:pPr>
          </w:p>
        </w:tc>
        <w:tc>
          <w:tcPr>
            <w:tcW w:w="6440" w:type="dxa"/>
            <w:vAlign w:val="bottom"/>
            <w:gridSpan w:val="22"/>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1A.</w:t>
            </w:r>
          </w:p>
        </w:tc>
        <w:tc>
          <w:tcPr>
            <w:tcW w:w="7000" w:type="dxa"/>
            <w:vAlign w:val="bottom"/>
            <w:gridSpan w:val="23"/>
          </w:tcPr>
          <w:p>
            <w:pPr>
              <w:spacing w:after="0" w:line="160"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Risk Factors</w:t>
              </w:r>
            </w:hyperlink>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1B.</w:t>
            </w:r>
          </w:p>
        </w:tc>
        <w:tc>
          <w:tcPr>
            <w:tcW w:w="7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Unresolved</w:t>
              </w:r>
            </w:hyperlink>
          </w:p>
        </w:tc>
        <w:tc>
          <w:tcPr>
            <w:tcW w:w="6220" w:type="dxa"/>
            <w:vAlign w:val="bottom"/>
            <w:gridSpan w:val="19"/>
          </w:tcPr>
          <w:p>
            <w:pPr>
              <w:spacing w:after="0" w:line="160"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Staff Comments</w:t>
              </w:r>
            </w:hyperlink>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1C.</w:t>
            </w:r>
          </w:p>
        </w:tc>
        <w:tc>
          <w:tcPr>
            <w:tcW w:w="178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Cybersecurity</w:t>
              </w:r>
            </w:hyperlink>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5"/>
              </w:rPr>
            </w:pPr>
            <w:hyperlink w:anchor="page25">
              <w:r>
                <w:rPr>
                  <w:rFonts w:ascii="Times New Roman" w:cs="Times New Roman" w:eastAsia="Times New Roman" w:hAnsi="Times New Roman"/>
                  <w:sz w:val="16"/>
                  <w:szCs w:val="16"/>
                  <w:color w:val="0000FF"/>
                  <w:w w:val="95"/>
                </w:rPr>
                <w:t>Properties</w:t>
              </w:r>
            </w:hyperlink>
          </w:p>
        </w:tc>
        <w:tc>
          <w:tcPr>
            <w:tcW w:w="240" w:type="dxa"/>
            <w:vAlign w:val="bottom"/>
            <w:tcBorders>
              <w:top w:val="single" w:sz="8" w:color="0000EE"/>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FF"/>
                <w:w w:val="96"/>
              </w:rPr>
            </w:pPr>
            <w:hyperlink w:anchor="page26">
              <w:r>
                <w:rPr>
                  <w:rFonts w:ascii="Times New Roman" w:cs="Times New Roman" w:eastAsia="Times New Roman" w:hAnsi="Times New Roman"/>
                  <w:sz w:val="16"/>
                  <w:szCs w:val="16"/>
                  <w:color w:val="0000FF"/>
                  <w:w w:val="96"/>
                </w:rPr>
                <w:t>Legal Proceedings</w:t>
              </w:r>
            </w:hyperlink>
          </w:p>
        </w:tc>
        <w:tc>
          <w:tcPr>
            <w:tcW w:w="5840" w:type="dxa"/>
            <w:vAlign w:val="bottom"/>
            <w:gridSpan w:val="16"/>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148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FF"/>
                <w:w w:val="96"/>
              </w:rPr>
            </w:pPr>
            <w:hyperlink w:anchor="page26">
              <w:r>
                <w:rPr>
                  <w:rFonts w:ascii="Times New Roman" w:cs="Times New Roman" w:eastAsia="Times New Roman" w:hAnsi="Times New Roman"/>
                  <w:sz w:val="16"/>
                  <w:szCs w:val="16"/>
                  <w:color w:val="0000FF"/>
                  <w:w w:val="96"/>
                </w:rPr>
                <w:t>Mine Safety Disclosure</w:t>
              </w:r>
            </w:hyperlink>
          </w:p>
        </w:tc>
        <w:tc>
          <w:tcPr>
            <w:tcW w:w="5520" w:type="dxa"/>
            <w:vAlign w:val="bottom"/>
            <w:gridSpan w:val="14"/>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80"/>
        </w:trPr>
        <w:tc>
          <w:tcPr>
            <w:tcW w:w="1280" w:type="dxa"/>
            <w:vAlign w:val="bottom"/>
            <w:gridSpan w:val="5"/>
          </w:tcPr>
          <w:p>
            <w:pPr>
              <w:spacing w:after="0"/>
              <w:rPr>
                <w:rFonts w:ascii="Times New Roman" w:cs="Times New Roman" w:eastAsia="Times New Roman" w:hAnsi="Times New Roman"/>
                <w:sz w:val="16"/>
                <w:szCs w:val="16"/>
                <w:b w:val="1"/>
                <w:bCs w:val="1"/>
                <w:color w:val="0000FF"/>
              </w:rPr>
            </w:pPr>
            <w:hyperlink w:anchor="page26">
              <w:r>
                <w:rPr>
                  <w:rFonts w:ascii="Times New Roman" w:cs="Times New Roman" w:eastAsia="Times New Roman" w:hAnsi="Times New Roman"/>
                  <w:sz w:val="16"/>
                  <w:szCs w:val="16"/>
                  <w:b w:val="1"/>
                  <w:bCs w:val="1"/>
                  <w:color w:val="0000FF"/>
                </w:rPr>
                <w:t>PART II</w:t>
              </w:r>
            </w:hyperlink>
          </w:p>
        </w:tc>
        <w:tc>
          <w:tcPr>
            <w:tcW w:w="7000" w:type="dxa"/>
            <w:vAlign w:val="bottom"/>
            <w:gridSpan w:val="23"/>
            <w:vMerge w:val="restart"/>
          </w:tcPr>
          <w:p>
            <w:pPr>
              <w:spacing w:after="0"/>
              <w:rPr>
                <w:rFonts w:ascii="Times New Roman" w:cs="Times New Roman" w:eastAsia="Times New Roman" w:hAnsi="Times New Roman"/>
                <w:sz w:val="16"/>
                <w:szCs w:val="16"/>
                <w:color w:val="0000FF"/>
                <w:w w:val="97"/>
              </w:rPr>
            </w:pPr>
            <w:hyperlink w:anchor="page26">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0" w:type="dxa"/>
            <w:vAlign w:val="bottom"/>
            <w:gridSpan w:val="23"/>
            <w:vMerge w:val="continue"/>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7000" w:type="dxa"/>
            <w:vAlign w:val="bottom"/>
            <w:tcBorders>
              <w:bottom w:val="single" w:sz="8" w:color="0000EE"/>
            </w:tcBorders>
            <w:gridSpan w:val="23"/>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7000" w:type="dxa"/>
            <w:vAlign w:val="bottom"/>
            <w:gridSpan w:val="23"/>
          </w:tcPr>
          <w:p>
            <w:pPr>
              <w:spacing w:after="0" w:line="160" w:lineRule="exact"/>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Reserved</w:t>
              </w:r>
            </w:hyperlink>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ind w:left="220"/>
              <w:spacing w:after="0" w:line="180" w:lineRule="exact"/>
              <w:rPr>
                <w:sz w:val="20"/>
                <w:szCs w:val="20"/>
                <w:color w:val="auto"/>
              </w:rPr>
            </w:pPr>
            <w:r>
              <w:rPr>
                <w:rFonts w:ascii="Times New Roman" w:cs="Times New Roman" w:eastAsia="Times New Roman" w:hAnsi="Times New Roman"/>
                <w:sz w:val="16"/>
                <w:szCs w:val="16"/>
                <w:color w:val="auto"/>
              </w:rPr>
              <w:t>Item 7.</w:t>
            </w:r>
          </w:p>
        </w:tc>
        <w:tc>
          <w:tcPr>
            <w:tcW w:w="58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line="20" w:lineRule="exact"/>
              <w:rPr>
                <w:sz w:val="1"/>
                <w:szCs w:val="1"/>
                <w:color w:val="auto"/>
              </w:rPr>
            </w:pPr>
          </w:p>
        </w:tc>
      </w:tr>
      <w:tr>
        <w:trPr>
          <w:trHeight w:val="160"/>
        </w:trPr>
        <w:tc>
          <w:tcPr>
            <w:tcW w:w="1280" w:type="dxa"/>
            <w:vAlign w:val="bottom"/>
            <w:gridSpan w:val="5"/>
            <w:vMerge w:val="continue"/>
          </w:tcPr>
          <w:p>
            <w:pPr>
              <w:spacing w:after="0"/>
              <w:rPr>
                <w:sz w:val="13"/>
                <w:szCs w:val="13"/>
                <w:color w:val="auto"/>
              </w:rPr>
            </w:pPr>
          </w:p>
        </w:tc>
        <w:tc>
          <w:tcPr>
            <w:tcW w:w="7000" w:type="dxa"/>
            <w:vAlign w:val="bottom"/>
            <w:gridSpan w:val="23"/>
          </w:tcPr>
          <w:p>
            <w:pPr>
              <w:spacing w:after="0" w:line="160" w:lineRule="exact"/>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7A.</w:t>
            </w:r>
          </w:p>
        </w:tc>
        <w:tc>
          <w:tcPr>
            <w:tcW w:w="558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w:anchor="page53">
              <w:r>
                <w:rPr>
                  <w:rFonts w:ascii="Times New Roman" w:cs="Times New Roman" w:eastAsia="Times New Roman" w:hAnsi="Times New Roman"/>
                  <w:sz w:val="16"/>
                  <w:szCs w:val="16"/>
                  <w:color w:val="0000FF"/>
                </w:rPr>
                <w:t>Quantitative and Qualitative Disclosures About Market Risk</w:t>
              </w:r>
            </w:hyperlink>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8.</w:t>
            </w:r>
          </w:p>
        </w:tc>
        <w:tc>
          <w:tcPr>
            <w:tcW w:w="37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Financial Statements and Supplementary Data</w:t>
              </w:r>
            </w:hyperlink>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ind w:left="220"/>
              <w:spacing w:after="0" w:line="180" w:lineRule="exact"/>
              <w:rPr>
                <w:sz w:val="20"/>
                <w:szCs w:val="20"/>
                <w:color w:val="auto"/>
              </w:rPr>
            </w:pPr>
            <w:r>
              <w:rPr>
                <w:rFonts w:ascii="Times New Roman" w:cs="Times New Roman" w:eastAsia="Times New Roman" w:hAnsi="Times New Roman"/>
                <w:sz w:val="16"/>
                <w:szCs w:val="16"/>
                <w:color w:val="auto"/>
              </w:rPr>
              <w:t>Item 9.</w:t>
            </w:r>
          </w:p>
        </w:tc>
        <w:tc>
          <w:tcPr>
            <w:tcW w:w="114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line="20" w:lineRule="exact"/>
              <w:rPr>
                <w:sz w:val="1"/>
                <w:szCs w:val="1"/>
                <w:color w:val="auto"/>
              </w:rPr>
            </w:pPr>
          </w:p>
        </w:tc>
      </w:tr>
      <w:tr>
        <w:trPr>
          <w:trHeight w:val="160"/>
        </w:trPr>
        <w:tc>
          <w:tcPr>
            <w:tcW w:w="1280" w:type="dxa"/>
            <w:vAlign w:val="bottom"/>
            <w:gridSpan w:val="5"/>
            <w:vMerge w:val="continue"/>
          </w:tcPr>
          <w:p>
            <w:pPr>
              <w:spacing w:after="0"/>
              <w:rPr>
                <w:sz w:val="13"/>
                <w:szCs w:val="13"/>
                <w:color w:val="auto"/>
              </w:rPr>
            </w:pPr>
          </w:p>
        </w:tc>
        <w:tc>
          <w:tcPr>
            <w:tcW w:w="7000" w:type="dxa"/>
            <w:vAlign w:val="bottom"/>
            <w:gridSpan w:val="23"/>
          </w:tcPr>
          <w:p>
            <w:pPr>
              <w:spacing w:after="0" w:line="160" w:lineRule="exact"/>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color w:val="0000FF"/>
                </w:rPr>
                <w:t>Changes In and Disagreements With Accountants on Accounting and Financial Disclosure</w:t>
              </w:r>
            </w:hyperlink>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9A</w:t>
            </w:r>
          </w:p>
        </w:tc>
        <w:tc>
          <w:tcPr>
            <w:tcW w:w="566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color w:val="0000FF"/>
                </w:rPr>
                <w:t>Controls and Procedures</w:t>
              </w:r>
            </w:hyperlink>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9B.</w:t>
            </w:r>
          </w:p>
        </w:tc>
        <w:tc>
          <w:tcPr>
            <w:tcW w:w="154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color w:val="0000FF"/>
                </w:rPr>
                <w:t>Other Information</w:t>
              </w:r>
            </w:hyperlink>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70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9C.</w:t>
            </w:r>
          </w:p>
        </w:tc>
        <w:tc>
          <w:tcPr>
            <w:tcW w:w="4260" w:type="dxa"/>
            <w:vAlign w:val="bottom"/>
            <w:tcBorders>
              <w:bottom w:val="single" w:sz="8" w:color="0000EE"/>
            </w:tcBorders>
            <w:gridSpan w:val="18"/>
          </w:tcPr>
          <w:p>
            <w:pPr>
              <w:spacing w:after="0" w:line="172" w:lineRule="exact"/>
              <w:rPr>
                <w:rFonts w:ascii="Times New Roman" w:cs="Times New Roman" w:eastAsia="Times New Roman" w:hAnsi="Times New Roman"/>
                <w:sz w:val="16"/>
                <w:szCs w:val="16"/>
                <w:color w:val="0000FF"/>
                <w:w w:val="97"/>
              </w:rPr>
            </w:pPr>
            <w:hyperlink w:anchor="page119">
              <w:r>
                <w:rPr>
                  <w:rFonts w:ascii="Times New Roman" w:cs="Times New Roman" w:eastAsia="Times New Roman" w:hAnsi="Times New Roman"/>
                  <w:sz w:val="16"/>
                  <w:szCs w:val="16"/>
                  <w:color w:val="0000FF"/>
                  <w:w w:val="97"/>
                </w:rPr>
                <w:t>Disclosure Regarding Foreign Jurisdictions that Prevent Inspections</w:t>
              </w:r>
            </w:hyperlink>
          </w:p>
        </w:tc>
        <w:tc>
          <w:tcPr>
            <w:tcW w:w="2740" w:type="dxa"/>
            <w:vAlign w:val="bottom"/>
            <w:gridSpan w:val="5"/>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660" w:type="dxa"/>
            <w:vAlign w:val="bottom"/>
            <w:tcBorders>
              <w:bottom w:val="single" w:sz="8" w:color="0000EE"/>
            </w:tcBorders>
            <w:gridSpan w:val="4"/>
          </w:tcPr>
          <w:p>
            <w:pPr>
              <w:spacing w:after="0"/>
              <w:rPr>
                <w:rFonts w:ascii="Times New Roman" w:cs="Times New Roman" w:eastAsia="Times New Roman" w:hAnsi="Times New Roman"/>
                <w:sz w:val="16"/>
                <w:szCs w:val="16"/>
                <w:b w:val="1"/>
                <w:bCs w:val="1"/>
                <w:color w:val="0000FF"/>
                <w:w w:val="96"/>
              </w:rPr>
            </w:pPr>
            <w:hyperlink w:anchor="page119">
              <w:r>
                <w:rPr>
                  <w:rFonts w:ascii="Times New Roman" w:cs="Times New Roman" w:eastAsia="Times New Roman" w:hAnsi="Times New Roman"/>
                  <w:sz w:val="16"/>
                  <w:szCs w:val="16"/>
                  <w:b w:val="1"/>
                  <w:bCs w:val="1"/>
                  <w:color w:val="0000FF"/>
                  <w:w w:val="96"/>
                </w:rPr>
                <w:t>PART III</w:t>
              </w:r>
            </w:hyperlink>
          </w:p>
        </w:tc>
        <w:tc>
          <w:tcPr>
            <w:tcW w:w="620" w:type="dxa"/>
            <w:vAlign w:val="bottom"/>
          </w:tcPr>
          <w:p>
            <w:pPr>
              <w:spacing w:after="0"/>
              <w:rPr>
                <w:sz w:val="24"/>
                <w:szCs w:val="24"/>
                <w:color w:val="auto"/>
              </w:rPr>
            </w:pPr>
          </w:p>
        </w:tc>
        <w:tc>
          <w:tcPr>
            <w:tcW w:w="7000" w:type="dxa"/>
            <w:vAlign w:val="bottom"/>
            <w:gridSpan w:val="23"/>
            <w:vMerge w:val="restart"/>
          </w:tcPr>
          <w:p>
            <w:pPr>
              <w:spacing w:after="0"/>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color w:val="0000FF"/>
                </w:rPr>
                <w:t>Directors, Executive Officers and Corporate Governance</w:t>
              </w:r>
            </w:hyperlink>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10.</w:t>
            </w:r>
          </w:p>
        </w:tc>
        <w:tc>
          <w:tcPr>
            <w:tcW w:w="7000" w:type="dxa"/>
            <w:vAlign w:val="bottom"/>
            <w:gridSpan w:val="23"/>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11.</w:t>
            </w:r>
          </w:p>
        </w:tc>
        <w:tc>
          <w:tcPr>
            <w:tcW w:w="35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Executive Compensation</w:t>
              </w:r>
            </w:hyperlink>
          </w:p>
        </w:tc>
        <w:tc>
          <w:tcPr>
            <w:tcW w:w="1180" w:type="dxa"/>
            <w:vAlign w:val="bottom"/>
            <w:gridSpan w:val="3"/>
          </w:tcPr>
          <w:p>
            <w:pPr>
              <w:spacing w:after="0"/>
              <w:rPr>
                <w:sz w:val="13"/>
                <w:szCs w:val="13"/>
                <w:color w:val="auto"/>
              </w:rPr>
            </w:pPr>
          </w:p>
        </w:tc>
        <w:tc>
          <w:tcPr>
            <w:tcW w:w="158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12.</w:t>
            </w:r>
          </w:p>
        </w:tc>
        <w:tc>
          <w:tcPr>
            <w:tcW w:w="156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Security Ownership of</w:t>
              </w:r>
            </w:hyperlink>
          </w:p>
        </w:tc>
        <w:tc>
          <w:tcPr>
            <w:tcW w:w="5440" w:type="dxa"/>
            <w:vAlign w:val="bottom"/>
            <w:gridSpan w:val="12"/>
          </w:tcPr>
          <w:p>
            <w:pPr>
              <w:spacing w:after="0" w:line="160"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Certain Beneficial Owners and Management and Related Stockholder Matters</w:t>
              </w:r>
            </w:hyperlink>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13.</w:t>
            </w:r>
          </w:p>
        </w:tc>
        <w:tc>
          <w:tcPr>
            <w:tcW w:w="632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Certain Relationships and Related Transactions, and Director Independence</w:t>
              </w:r>
            </w:hyperlink>
          </w:p>
        </w:tc>
        <w:tc>
          <w:tcPr>
            <w:tcW w:w="68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14.</w:t>
            </w:r>
          </w:p>
        </w:tc>
        <w:tc>
          <w:tcPr>
            <w:tcW w:w="47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Principal Accounting Fees and Services</w:t>
              </w:r>
            </w:hyperlink>
          </w:p>
        </w:tc>
        <w:tc>
          <w:tcPr>
            <w:tcW w:w="2260" w:type="dxa"/>
            <w:vAlign w:val="bottom"/>
            <w:gridSpan w:val="4"/>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
        </w:trPr>
        <w:tc>
          <w:tcPr>
            <w:tcW w:w="640" w:type="dxa"/>
            <w:vAlign w:val="bottom"/>
            <w:gridSpan w:val="3"/>
            <w:vMerge w:val="restart"/>
          </w:tcPr>
          <w:p>
            <w:pPr>
              <w:spacing w:after="0"/>
              <w:rPr>
                <w:rFonts w:ascii="Times New Roman" w:cs="Times New Roman" w:eastAsia="Times New Roman" w:hAnsi="Times New Roman"/>
                <w:sz w:val="16"/>
                <w:szCs w:val="16"/>
                <w:b w:val="1"/>
                <w:bCs w:val="1"/>
                <w:color w:val="0000FF"/>
                <w:w w:val="94"/>
              </w:rPr>
            </w:pPr>
            <w:hyperlink w:anchor="page121">
              <w:r>
                <w:rPr>
                  <w:rFonts w:ascii="Times New Roman" w:cs="Times New Roman" w:eastAsia="Times New Roman" w:hAnsi="Times New Roman"/>
                  <w:sz w:val="16"/>
                  <w:szCs w:val="16"/>
                  <w:b w:val="1"/>
                  <w:bCs w:val="1"/>
                  <w:color w:val="0000FF"/>
                  <w:w w:val="94"/>
                </w:rPr>
                <w:t>PART IV</w:t>
              </w:r>
            </w:hyperlink>
          </w:p>
        </w:tc>
        <w:tc>
          <w:tcPr>
            <w:tcW w:w="640" w:type="dxa"/>
            <w:vAlign w:val="bottom"/>
            <w:gridSpan w:val="2"/>
            <w:vMerge w:val="restart"/>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40" w:type="dxa"/>
            <w:vAlign w:val="bottom"/>
            <w:tcBorders>
              <w:bottom w:val="single" w:sz="8" w:color="0000EE"/>
            </w:tcBorders>
            <w:gridSpan w:val="3"/>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7000" w:type="dxa"/>
            <w:vAlign w:val="bottom"/>
            <w:gridSpan w:val="23"/>
            <w:vMerge w:val="restart"/>
          </w:tcPr>
          <w:p>
            <w:pPr>
              <w:spacing w:after="0"/>
              <w:rPr>
                <w:rFonts w:ascii="Times New Roman" w:cs="Times New Roman" w:eastAsia="Times New Roman" w:hAnsi="Times New Roman"/>
                <w:sz w:val="16"/>
                <w:szCs w:val="16"/>
                <w:color w:val="0000FF"/>
              </w:rPr>
            </w:pPr>
            <w:hyperlink w:anchor="page121">
              <w:r>
                <w:rPr>
                  <w:rFonts w:ascii="Times New Roman" w:cs="Times New Roman" w:eastAsia="Times New Roman" w:hAnsi="Times New Roman"/>
                  <w:sz w:val="16"/>
                  <w:szCs w:val="16"/>
                  <w:color w:val="0000FF"/>
                </w:rPr>
                <w:t>Exhibits and Financial Statement Schedules</w:t>
              </w:r>
            </w:hyperlink>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15.</w:t>
            </w:r>
          </w:p>
        </w:tc>
        <w:tc>
          <w:tcPr>
            <w:tcW w:w="7000" w:type="dxa"/>
            <w:vAlign w:val="bottom"/>
            <w:gridSpan w:val="23"/>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5"/>
          </w:tcPr>
          <w:p>
            <w:pPr>
              <w:ind w:left="220"/>
              <w:spacing w:after="0" w:line="160" w:lineRule="exact"/>
              <w:rPr>
                <w:sz w:val="20"/>
                <w:szCs w:val="20"/>
                <w:color w:val="auto"/>
              </w:rPr>
            </w:pPr>
            <w:r>
              <w:rPr>
                <w:rFonts w:ascii="Times New Roman" w:cs="Times New Roman" w:eastAsia="Times New Roman" w:hAnsi="Times New Roman"/>
                <w:sz w:val="16"/>
                <w:szCs w:val="16"/>
                <w:color w:val="auto"/>
              </w:rPr>
              <w:t>Item 16.</w:t>
            </w:r>
          </w:p>
        </w:tc>
        <w:tc>
          <w:tcPr>
            <w:tcW w:w="274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rPr>
            </w:pPr>
            <w:hyperlink w:anchor="page123">
              <w:r>
                <w:rPr>
                  <w:rFonts w:ascii="Times New Roman" w:cs="Times New Roman" w:eastAsia="Times New Roman" w:hAnsi="Times New Roman"/>
                  <w:sz w:val="16"/>
                  <w:szCs w:val="16"/>
                  <w:color w:val="0000FF"/>
                </w:rPr>
                <w:t>Form 10-K Summary</w:t>
              </w:r>
            </w:hyperlink>
          </w:p>
        </w:tc>
        <w:tc>
          <w:tcPr>
            <w:tcW w:w="4260" w:type="dxa"/>
            <w:vAlign w:val="bottom"/>
            <w:gridSpan w:val="9"/>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427990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347" w:right="680" w:bottom="1440" w:gutter="0" w:footer="0" w:header="0"/>
        </w:sectPr>
      </w:pPr>
    </w:p>
    <w:bookmarkStart w:id="2" w:name="page3"/>
    <w:bookmarkEnd w:id="2"/>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9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This report includes forward-looking statements within the meaning of Sections 27A of the Securities Act of 1933, as amended, and 21E of the Securities Exchange Act of 1934, as amended, that involve inherent risks and uncertainties. These forward-looking statements concern the financial condition, results of operations, plans, objectives, future performance and business of Pathfinder Bancorp, Inc. and its subsidiary, including statements preceded by, followed by or that include words or phrases such as “believes,” “expects,” “anticipates,” “plans,” “trend,” “objective,” “continue,” “remain,” “pattern” or similar expressions or future or conditional verbs such as “will,” “would,” “should,” “could,” “might,” “can,” “may” or similar expressions. There are a number of important factors that could cause future results to differ materially from historical performance and these forward-looking statements. Factors that might cause such a difference include, but are not limited to: (1) general economic conditions may be less favorable than expected, including from the impact of inflation and tariffs; (2) competitive pressures among depository institutions may increase significantly; (3) changes in the interest rate environment may reduce interest margins; (4) loan origination and sale volumes, charge-offs and credit loss provisions may vary substantially from period to period; (5) the impact of a pandemic or other health crises and the government's response to such pandemic or crises on our operations as well as those of our customers and on the economy generally and in our market area specifically; (6) political developments, wars or other hostilities may disrupt or increase volatility in securities markets or other economic conditions; (7) legislative or regulatory changes or actions may adversely affect the businesses in which Pathfinder Bancorp, Inc. is engaged; (8) changes and trends in the securities markets may adversely impact Pathfinder Bancorp, Inc.; (9) a delayed or incomplete resolution of regulatory issues could adversely impact our planning; (10) difficulties in integrating any businesses that we may acquire, which may increase our expenses and delay the achievement of any benefits that we may expect from such acquisitions; (11) the impact of reputation risk created by the developments discussed above on such matters as business generation and retention, funding and liquidity could be significant; (12) our ability to prevent or mitigate fraudulent activity and cybersecurity threats; and (13) the outcome of any future regulatory and legal investigations and proceedings may not be anticipated.</w:t>
      </w:r>
    </w:p>
    <w:p>
      <w:pPr>
        <w:spacing w:after="0" w:line="240" w:lineRule="exact"/>
        <w:rPr>
          <w:sz w:val="20"/>
          <w:szCs w:val="20"/>
          <w:color w:val="auto"/>
        </w:rPr>
      </w:pPr>
    </w:p>
    <w:p>
      <w:pPr>
        <w:ind w:right="320"/>
        <w:spacing w:after="0" w:line="331" w:lineRule="auto"/>
        <w:rPr>
          <w:sz w:val="20"/>
          <w:szCs w:val="20"/>
          <w:color w:val="auto"/>
        </w:rPr>
      </w:pPr>
      <w:r>
        <w:rPr>
          <w:rFonts w:ascii="Times New Roman" w:cs="Times New Roman" w:eastAsia="Times New Roman" w:hAnsi="Times New Roman"/>
          <w:sz w:val="14"/>
          <w:szCs w:val="14"/>
          <w:color w:val="auto"/>
        </w:rPr>
        <w:t>Because of these and other uncertainties, our actual future results may be materially different from the results indicated by these forward-looking statements. We disclaim any obligation to revise or update any forward-looking statements contained in this Annual Report on Form 10-K to reflect future events or developments.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94"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Pathfinder Bancorp, Inc. (the "Company") is a Maryland corporation incorporated in 2014 and headquartered in Oswego, New York. The primary business of the Company is its investment in Pathfinder Bank (the "Bank") which is 100% owned by the Company. The Company is a registered bank holding company subject to supervision and regulation by the Board of Governors of the Federal Reserve System (the “Federal Reserve Board”). The Company is also subject to supervision and regulation by the New York State Department of Financial Services (the “NYSDFS”).</w:t>
      </w:r>
    </w:p>
    <w:p>
      <w:pPr>
        <w:spacing w:after="0" w:line="71"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The Company owns a non-consolidated Delaware statutory trust subsidiary, Pathfinder Statutory Trust II, of which 100% of the common equity is owned by the Company. Pathfinder Statutory Trust II was formed in connection with the issuance of $5.2 million in trust preferred securities.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6,125,649 and 6,099,571 shares of Company common stock (voting and non-voting) were outstanding, respectively.</w:t>
      </w:r>
    </w:p>
    <w:p>
      <w:pPr>
        <w:spacing w:after="0" w:line="92" w:lineRule="exact"/>
        <w:rPr>
          <w:sz w:val="20"/>
          <w:szCs w:val="20"/>
          <w:color w:val="auto"/>
        </w:rPr>
      </w:pPr>
    </w:p>
    <w:p>
      <w:pPr>
        <w:jc w:val="both"/>
        <w:ind w:right="80"/>
        <w:spacing w:after="0" w:line="241" w:lineRule="auto"/>
        <w:rPr>
          <w:sz w:val="20"/>
          <w:szCs w:val="20"/>
          <w:color w:val="auto"/>
        </w:rPr>
      </w:pPr>
      <w:r>
        <w:rPr>
          <w:rFonts w:ascii="Times New Roman" w:cs="Times New Roman" w:eastAsia="Times New Roman" w:hAnsi="Times New Roman"/>
          <w:sz w:val="16"/>
          <w:szCs w:val="16"/>
          <w:color w:val="auto"/>
        </w:rPr>
        <w:t>Following shareholder approval obtained on June 4, 2021, the Company converted 1,380,283, or 100%, of its previously-outstanding shares of Series B Convertible Perpetual Preferred Stock to an equal number of Series A Non-Voting Common Stock. Neither the previously-issued Series B Convertible Perpetual Preferred Stock, nor the Series A Non-Voting Common Stock had, or will have, dividend or liquidation preference over the Company’s existing Voting Common Stock. Holders of the Series A Non-Voting Common Stock will be entitled to receive dividends, if and when declared by the Company’s Board of Directors, in the same per share amount as paid on the Company’s Voting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the Company had total consolidated assets of $1.47 billion, total deposits of $1.20 billion and shareholders' equity of $121.5 million.</w:t>
      </w:r>
    </w:p>
    <w:p>
      <w:pPr>
        <w:spacing w:after="0" w:line="9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 w:name="page4"/>
    <w:bookmarkEnd w:id="3"/>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Pathfinder Bank</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Bank is a New York-chartered commercial bank and its deposit accounts are insured up to applicable limits by the Federal Deposit Insurance Corporation (“FDIC”) through the Deposit Insurance Fund (“DIF”). The Bank is subject to supervision and regulation by the NYSDFS, as its chartering agency, and by the FDIC, as its deposit insurer and primary federal regulator. The Bank is a member of the Federal Home Loan Bank of New York (“FHLBNY”) and is also subject to certain regulations by the Federal Home Loan Bank System.</w:t>
      </w:r>
    </w:p>
    <w:p>
      <w:pPr>
        <w:spacing w:after="0" w:line="71" w:lineRule="exact"/>
        <w:rPr>
          <w:sz w:val="20"/>
          <w:szCs w:val="20"/>
          <w:color w:val="auto"/>
        </w:rPr>
      </w:pPr>
    </w:p>
    <w:p>
      <w:pPr>
        <w:spacing w:after="0" w:line="182" w:lineRule="exact"/>
        <w:rPr>
          <w:sz w:val="20"/>
          <w:szCs w:val="20"/>
          <w:color w:val="auto"/>
        </w:rPr>
      </w:pPr>
      <w:r>
        <w:rPr>
          <w:rFonts w:ascii="Times New Roman" w:cs="Times New Roman" w:eastAsia="Times New Roman" w:hAnsi="Times New Roman"/>
          <w:sz w:val="16"/>
          <w:szCs w:val="16"/>
          <w:color w:val="auto"/>
        </w:rPr>
        <w:t>The Bank is primarily engaged in the business of attracting deposits from the general public in the Bank's market area, and investing such deposits, together with other sources of funds, in loans secured by commercial and residential real estate, and commercial business and consumer assets other than real estate. In addition, the Bank originates unsecured small business and consumer loans. The Bank also invests a portion of its assets in a broad range of debt securities issued by the United States Government and its agencies and sponsored enterprises, state and municipal governments and agencies, and corporations. The Company also invests in mortgage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securities issued or guaranteed by United States Government sponsored enterprises, collateralized mortgage obligations and similar debt securities issued by both government sponsored entities and private (non-governmental) issuers, and asset -backed securities that are generally issued by private entities. The Company invests primarily in debt securities but will, within certain regulatory limits, invest from time to time in mutual funds and equity securities. The Bank's principal sources of funds are deposits, principal and interest payments on loans and investments, as well as borrowings from the FHLBNY and correspondent financial institutions. The principal source of the Company’s income is interest on loans and investment securities. The Bank's principal expenses are interest paid on deposits and borrowed funds, employee compensation and benefits, data processing and facilities.</w:t>
      </w:r>
    </w:p>
    <w:p>
      <w:pPr>
        <w:spacing w:after="0" w:line="80"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The Bank also owns 100% of Whispering Oaks Development Corp. (“Whispering Oaks”), a New York corporation that is retained to operate or develop real estate-related projects. Whispering Oaks, through a wholly-owned second-tier subsidiary, is the sole limited partner in an unconsolidated special-purpose real estate management partnership. The partnership currently operates a low-income residential housing facility. The activities of Whispering Oaks resulted in a pre-tax gain of $11,000 in 2024.</w:t>
      </w:r>
    </w:p>
    <w:p>
      <w:pPr>
        <w:spacing w:after="0" w:line="7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Additionally, the Bank owns 100% of Pathfinder Risk Management Company, Inc., ("PRMC") which was established to record the 51% controlling interest upon the December 2013 purchase of FitzGibbons Agency, LLC (the “Agency”), an Oswego County property, casualty and life insurance brokerage business. The Company completed the sale of its majority membership interest in the FitzGibbons Agency to Marshall &amp; Sterling Enterprises, Inc. in October 2024. The Company received total consideration of $2.8 million, including cash of $1.2 million upon closing and a receivable of $1.6 million to be paid in September 2025. The Company recognized a pre-tax gain of $3.2 million and a net gain of $1.5 million in the fourth quarter of 2024, which are inclusive of the deferred payment expected in September 2025.</w:t>
      </w:r>
    </w:p>
    <w:p>
      <w:pPr>
        <w:spacing w:after="0" w:line="4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Although the Company previously owned, through its wholly owned subsidiary PRMC, 51% of the membership interest in the Agency until its October 2024 sale, the Company is required to consolidate 100% of the Agency within the consolidated financial statements. The 49% of the Agency which the Company did not own is accounted for separately as noncontrolling interests within the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AREA AND COMPETITION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Area</w:t>
      </w:r>
    </w:p>
    <w:p>
      <w:pPr>
        <w:spacing w:after="0" w:line="9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provide financial services to individuals, families, small to mid-size businesses and municipalities through our seven branch offices located in Oswego County, NY, five branch offices located in Onondaga County, NY and one limited purpose office located in Oneida County, NY. Our primary lending market area includes both Oswego and Onondaga Counties. However, our primary deposit generating area is concentrated in Oswego County and in the areas surrounding our Onondaga County branches.</w:t>
      </w:r>
    </w:p>
    <w:p>
      <w:pPr>
        <w:spacing w:after="0" w:line="7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economies of Oswego County and Onondaga County are based primarily on manufacturing, energy production, health care, education, and government. These economies are widely expected to benefit from transformational public and private investments in semiconductor manufacturing, including but not limited to plans for one of the United States’ largest chip fabrication facilities near two existing Pathfinder Bank branches in Clay, NY and Cicero, NY. In addition to financial services, the broader Central New York market has a more diverse array of economic sectors, including food processing production and transportation. The region has more recently also developed particular strength in the commercialization of certain emerging technologies such as bio-processing, medical devices, aircraft systems and renewable energy.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recent independent market survey reports, median home values were $250,250 in Onondaga County and $186,096 in Oswego County at the end of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values have shown modestly accelerating increases in recent years within the Syracuse, NY metro area, including Onondaga and Oswego Counties.</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 w:name="page5"/>
    <w:bookmarkEnd w:id="4"/>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Pathfinder Bank encounters strong competition both in attracting deposits and in originating real estate and other loans. Our most direct competition for deposits and loans comes from commercial banks, savings institutions and credit unions in our market area. In addition, potential new competitors may be emerging that are generically defined as financial technology (also referred to as “FinTech” or “fintech”) companies. These entities seek to employ new technology to compete with traditional methods of delivering financial services, seek to replace or supplement the financial services provided by established financial institutions, as well as offer fintech products and services that are implemented by many established financial institutions themselves. Some of these technologies either have been implemented to varying degrees by the Bank, or will be available to the Bank for future implementation through its network of service providers and computer system vendors. It cannot be predicted with certainty at this time how effective these new competitors will be in our marketplace or what costs the Company will incur in the future to implement and maintain competitive technologies.</w:t>
      </w:r>
    </w:p>
    <w:p>
      <w:pPr>
        <w:spacing w:after="0" w:line="7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Our primary focus is to build and develop profitable consumer and commercial customer relationships while maintaining our role as a community bank. We compete for deposits by offering depositors a high level of personal service, a wide range of competitively-priced financial services, and a well distributed network of branches, ATMs, and electronic banking. We compete for loans through our competitive pricing, our experienced and active loan officers, local knowledge of our market and local decision making, strong community support and involvement, and a highly reputable brand. Notwithstanding the significant but temporary economic dislocations associated with the COVID-19 pandemic in 2020 and 2021, overall economic activity in the local marketplace and, more specifically, demand for commercial and residential loans grew significantly over the past decade. This growth in overall loan demand in our market area also attracted increased competition from financial institutions for those loans. Additionally, from a competitive perspective, some of our competitors offer products and services that we do not offer, such as trust services and private banking.</w:t>
      </w:r>
    </w:p>
    <w:p>
      <w:pPr>
        <w:spacing w:after="0" w:line="7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As of June 30, 2024, based on the most recently-available FDIC data, we had the largest market share in Oswego County, representing 47.7% of all deposits, and we additionally held 2.1% of all deposits in Onondaga County. In addition, when combining both Oswego and Onondaga Counties, we have the fifth largest market share of fifteen institutions, representing 7.9% of the total market.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LENDING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Our primary lending activities are originating commercial real estate and commercial loans, the vast majority of which have periodically adjustable rates of interest, and one-to-four family residential real estate loans, the majority of which have fixed rates of interest. Our loan portfolio also includes municipal loans, home equity loans and lines and consumer loans. In order to diversify our loan portfolio, increase our revenues, and make our loan portfolio less interest rate sensitive, the Company has actively sought to increase its commercial real estate and commercial business lending activities, consistent with safe and sound underwriting practices. Accordingly, we offer adjustable-rate commercial mortgage loans and floating rate commercial loans and lines of credit.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p>
      <w:pPr>
        <w:spacing w:after="0" w:line="9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Over the past several years, we have focused on originating commercial real estate loans, and we believe that commercial real estate loans will continue to provide growth opportunities for us. We expect to increase, subject to our underwriting standards and market conditions, this business line in the future with a target loan size of $500,000 to $2.0 million to small businesses and real estate projects in our market area. Commercial real estate loans are secured by properties such as multi-family residential, office, retail, warehouse and owner-occupied commercial properties.</w:t>
      </w:r>
    </w:p>
    <w:p>
      <w:pPr>
        <w:spacing w:after="0" w:line="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Our commercial real estate underwriting policies provide that such real estate loans are typically made in amounts up to 80% of the appraised value of the property. Commercial real estate loans are offered with interest rates that are generally fixed for up to three or five years then are adjustable based on the FHLBNY advance rate. Contractual maturities generally do not exceed 20 years. In reaching a decision whether to make a commercial real estate loan, we consider market conditions, operating trends, net cash flows of the property, the borrower’s expertise and credit history, and the appraised value of the underlying property. We will also consider the terms and conditions of the leases and the stability of the tenant base. Environmental due diligence is generally conducted for commercial real estate loans. Typically, commercial real estate loans made to corporations, partnerships and other business entities require personal guarantees by the owners of 20% or more of the borrowing entity.</w:t>
      </w:r>
    </w:p>
    <w:p>
      <w:pPr>
        <w:spacing w:after="0" w:line="49"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A commercial real estate borrower’s financial condition is monitored on an ongoing basis by requiring current financial statements, rent rolls, payment history reviews, property inspections and periodic face-to-face meetings with the borrower. We generally require borrowers with aggregate outstanding balances exceeding $250,000 to provide annual updated financial statements and/or federal tax returns. These requirements also apply to all guarantors on these loans.</w:t>
      </w:r>
    </w:p>
    <w:p>
      <w:pPr>
        <w:spacing w:after="0" w:line="6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Loans secured by commercial real estate generally have greater credit risk than one-to-four family residential real estate loans. The increased credit risk associated with commercial real estate loans is a result of several factors, including larger loan balances concentrated with a limited number of borrowers, and the impact of local and general economic conditions on the borrower’s ability to repay the loan. Furthermore, the repayment of loans secured by commercial real estate properties typically depends upon the successful operation of</w:t>
      </w:r>
    </w:p>
    <w:p>
      <w:pPr>
        <w:spacing w:after="0" w:line="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 w:name="page6"/>
    <w:bookmarkEnd w:id="5"/>
    <w:p>
      <w:pPr>
        <w:spacing w:after="0" w:line="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real property securing the loan. If the cash flows from the property are reduced, the borrower’s ability to repay the loan may be impaired. However, commercial real estate loans generally have higher interest rates than loans secured by one-to-four family residential real estate.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Loans</w:t>
      </w:r>
    </w:p>
    <w:p>
      <w:pPr>
        <w:spacing w:after="0" w:line="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Our commercial lines of credit are typically adjustable rate lines, indexed to the prime interest rate. We typically originate commercial loans, including commercial term loans and commercial lines of credit, on the basis of a borrower’s ability to make repayment from the cash flows of the borrower’s business, conversion of current assets in the normal course of business (for seasonal working capital lines), the industry and market in which they operate, experience and stability of the borrower’s management team, earnings projections and the underlying assumptions, and the value and marketability of any collateral securing the loan. As a result, the availability of funds for the repayment of commercial loans and commercial lines of credit is substantially dependent on the success of the business itself and the general economic environment in our market area. Therefore, commercial loans and commercial lines of credit that we originate have greater credit risk than one-to-four family residential real estate loans.</w:t>
      </w:r>
    </w:p>
    <w:p>
      <w:pPr>
        <w:spacing w:after="0" w:line="7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Commercial term loans are typically secured by equipment, furniture and fixtures, inventory, accounts receivable or other business assets, or, in some circumstances, such loans may be unsecured. From time to time, we also originate commercial loans that are guaranteed by the United States Small Business Administration (“SBA”) or United States Department of Agriculture (“USDA”) loan programs. Over the past several years, we have focused on increasing our commercial lending and our business strategy is to continue to increase our originations of commercial loans to small businesses in our market area, subject to our underwriting standards and market conditions. Our commercial loans are generally comprised of adjustable- rate loans, indexed to the prime rate, with terms consisting of three to seven years, depending on the needs of the borrower and the useful life of the underlying collateral. We make commercial loans to businesses operating in our market area for purchasing equipment, property improvements, business expansion or working capital. If a commercial loan is secured by equipment, the maturity of a term loan will depend on the useful life of the equipment purchased, the source of repayment for the loan and the purpose of the loan. We generally obtain personal guarantees on our commercial loans.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p>
      <w:pPr>
        <w:spacing w:after="0" w:line="9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We currently offer one- to- four family residential real estate loans, made to borrowers in our general market area, with terms up to 30 years that are generally underwritten according to Federal National Mortgage Association (“Fannie Mae”) guidelines, and we refer to loans that conform to such guidelines as “conforming loans.” We generally originate both fixed-rate and adjustable-rate mortgage loans in amounts up to the maximum conforming loan limits as established by the Federal Housing Finance Agency, which as of December 31, 2024, was generally $766,550 for single-family homes in our market area.</w:t>
      </w:r>
    </w:p>
    <w:p>
      <w:pPr>
        <w:spacing w:after="0" w:line="7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hold our one-to-four family residential real estate loans in our portfolio but do sell mortgages into the secondary market, at management’s discretion, as a source of liquidity or as a means of managing liquidity and interest-rate risks. A significant portion of our retained loan portfolio consists of fixed-rate one-to- four family residential real estate loans with terms in excess of 15 years. We also originate one-to-four family residential real estate loans secured by non-owner occupied properties. However, we generally do not make loans in excess of 80% loan-to-value on non-owner occupied properties.</w:t>
      </w:r>
    </w:p>
    <w:p>
      <w:pPr>
        <w:spacing w:after="0" w:line="7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Our fixed-rate one-to-four family residential real estate loans include loans that generally amortize on a monthly basis over periods between 10 to 30 years. Fixed-rate one-to-four family residential real estate loans often remain outstanding for significantly shorter periods than their contractual terms because borrowers have the right to refinance or prepay their loans. Our adjustable-rate one-to-four family residential real estate loans generally consist of loans with initial interest rates fixed for one, three, or five years, and annual adjustments thereafter are indexed based on changes in the one-year United States Treasury bill constant maturity rate. Our adjustable-rate mortgage loans generally have an interest rate adjustment limit of 200 basis points per adjustment, with a maximum lifetime interest rate adjustment limit of 600 basis points. Although adjustable-rate one-to-four family residential real estate loans may reduce, to an extent, our vulnerability to changes in market interest rates because they periodically re-price, as interest rates increase the required payments due from a borrower also increase (subject to rate caps), thereby increasing the potential for default by the borrower. At the same time, the ability of the borrower to repay the loan and the marketability of the underlying collateral may be adversely affected by higher interest rates. Upward adjustments of the contractual interest rate are also limited by our maximum periodic and lifetime rate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Residential Construction Loans</w:t>
      </w:r>
    </w:p>
    <w:p>
      <w:pPr>
        <w:spacing w:after="0" w:line="9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Our one- to-four family residential real estate loan portfolio also includes residential constructions loans. Our residential construction loans generally have initial terms of up to six months, subject to extension, during which the borrower pays interest only. Upon completion of construction, these loans typically convert to permanent loans secured by the completed residential real estate. Our construction loans generally have rates and terms comparable to residential real estate loans that we originate.</w:t>
      </w:r>
    </w:p>
    <w:p>
      <w:pPr>
        <w:spacing w:after="0" w:line="3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Tax-exempt Loans</w:t>
      </w:r>
    </w:p>
    <w:p>
      <w:pPr>
        <w:spacing w:after="0" w:line="94"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We make loans to local governments and municipalities for either tax anticipation or for small expenditure projects, including equipment acquisitions and construction projects. Our municipal loans are generally fixed for a term of one year or less, and are generally unsecured. Interest earned on municipal loans is tax exempt for federal tax purposes, which enhances the overall yield on each loan. Generally, the municipality will have a deposit relationship with us along with the lending relationship.</w:t>
      </w:r>
    </w:p>
    <w:p>
      <w:pPr>
        <w:spacing w:after="0" w:line="3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We also make tax-exempt loans to commercial borrowers based on obligations issued by a state or local authority to provide economic development such as the state dormitory authority.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Home Equity Loans and Junior Liens</w:t>
      </w:r>
    </w:p>
    <w:p>
      <w:pPr>
        <w:spacing w:after="0" w:line="9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Home equity loans and junior liens are made up of lines of credit secured by owner -occupied and non-owner occupied one-to-four family residences and second and third real estate mortgage loans. Home equity loans and home equity lines of credit are generally underwritten using the same criteria that we use to underwrite one-to-four family residential mortgage loans. We typically originate home equity loans and home equity lines of credit on the basis of the applicant's credit history, an assessment of the applicant's ability to meet existing obligations and payments on the proposed loan, and the value of the collateral securing the loan. Home equity loans are offered with fixed interest rates. Lines of credit are offered with adjustable rates, which are indexed to the prime rate, and with a draw period of up to 10 years and a payback period of up to 20 years. The loan -to -value ratio for our home equity loans is generally limited to 80% when combined with the first security lien, if applicable. The loan to value of our home equity lines of credit is generally limited to 80%, unless the Bank holds the first mortgage. If we hold the first mortgage, we will permit a loan to value of up to 90%, and we adjust the interest rate and underwriting standards to compensate for the additional risk.</w:t>
      </w:r>
    </w:p>
    <w:p>
      <w:pPr>
        <w:spacing w:after="0" w:line="7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Home equity loans and junior liens secured by junior mortgages have greater risk than one-to-four family residential mortgage loans secured by first mortgages. We face the risk that the collateral will be insufficient to compensate us for credit losses and costs of foreclosure, after repayment of the senior mortgages, if applicable. When customers default on their loans, we attempt to work out the relationship in order to avoid foreclosure because the value of the collateral may not be sufficient to compensate us for the amount of the unpaid loan and we may be unsuccessful in recovering the remaining balance from those customers. Moreover, decreases in real estate values could adversely affect our ability to fully recover the loan balance in the event of a default.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Consumer Loans</w:t>
      </w:r>
    </w:p>
    <w:p>
      <w:pPr>
        <w:spacing w:after="0" w:line="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make consumer loans for a variety of personal and consumer purposes. Our consumer portfolio consists primarily of automobile, recreational vehicles and unsecured personal loans, as well as unsecured lines of credit and loans secured by deposit accounts. Our procedure for underwriting consumer loans includes an assessment of the applicant’s credit history and ability to meet existing obligations and payments for the proposed loan, as well as an evaluation of the value of the collateral security, if any.</w:t>
      </w:r>
    </w:p>
    <w:p>
      <w:pPr>
        <w:spacing w:after="0" w:line="7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Consumer loans generally entail greater credit-related risk than one-to- four family residential mortgage loans, particularly in the case of loans that are unsecured or are secured by assets that tend to depreciate in value, such as automobiles. As a result, consumer loan collections are primarily dependent on the borrower’s continuing financial stability and thus are more likely to be adversely affected by job loss, divorce, illness or personal bankruptcy. In these cases, repossessed collateral for a defaulted consumer loan may not provide an adequate source of repayment for the outstanding loan, and the remaining value often does not warrant further substantial collection efforts against the borrower.</w:t>
      </w:r>
    </w:p>
    <w:p>
      <w:pPr>
        <w:spacing w:after="0" w:line="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 will invest from time to time in pools of collateralized consumer loans originated and serviced by financial institutions operating outside of the Company’s primary market area. Third party-originated consumer loan pools are generally acquired primarily when, in the view of management, they offer superior risk vs. return characteristics to debt securities. Such pools will, in some instances, have projected economic advantages in terms of yield and/or other portfolio characteristics, such as interest rate risk sensitivity, superior to debt securities that would otherwise be purchased and are acquired to increase the overall performance characteristics of the Company’s interest earning-asset portfolios viewed as a whole. Loans acquired through these transactions are required by the Company’s internal policies to be underwritten to standards that are consistent with those of the Company’s own underwriting guidelines and internal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Originations, Purchases, Sales and Servicing</w:t>
      </w:r>
    </w:p>
    <w:p>
      <w:pPr>
        <w:spacing w:after="0" w:line="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benefit from a number of sources for our loan originations, including real estate broker referrals, existing customers, borrowers, builders, attorneys, and “walk- in” customers. Our loan origination activity may be affected adversely by a rising interest rate environment which may result in decreased loan demand. Other factors, such as the overall health of the local economy and competition from other financial institutions, can also impact our loan originations. Although we originate both fixed-rate and adjustable- rate loans, our ability to generate each type of loan depends upon borrower demand, market interest rates, borrower preference for fixed-rate versus adjustable-rate loans, and the interest rates offered on each type of loan by other lenders in our market area. These lenders include commercial banks, savings institutions, credit unions, and mortgage banking companies that also actively compete for local real estate loans. Accordingly, the volume of loan originations may vary from period to period.</w:t>
      </w:r>
    </w:p>
    <w:p>
      <w:pPr>
        <w:spacing w:after="0" w:line="7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 w:name="page8"/>
    <w:bookmarkEnd w:id="7"/>
    <w:p>
      <w:pPr>
        <w:spacing w:after="0" w:line="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majority of the fixed rate residential loans that are originated each year meet the underwriting guidelines established by Fannie Mae. While infrequent, in the past, we have sold residential mortgage loans in the secondary market, and we may do so in the future, although we continue to service loans once they are sold.</w:t>
      </w:r>
    </w:p>
    <w:p>
      <w:pPr>
        <w:spacing w:after="0" w:line="5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From time to time, although infrequent, we may purchase commercial real estate loan participations in which we are not the lead lender. In these circumstances, we follow our customary loan underwriting and approval policies. We also have participated out portions of commercial and commercial real estate loans that exceeded our loans-to-one borrower legal lending limit and for purposes of risk diversification.</w:t>
      </w:r>
    </w:p>
    <w:p>
      <w:pPr>
        <w:spacing w:after="0" w:line="6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In recent years, the Bank has purchased broadly-diversified pools of essentially homogenous loans from originators outside of the Bank’s market area. These originators generally specialize in loan types, such as consumer loans, other than those loan types that the Bank specializes in. These loans, which are generally relatively short in duration, are acquired to provide supplementary interest income as well as to provide improvements to the Bank’s overall asset/liability mix, particularly with respect to interest rate risk. Third party-originated loan pools are acquired primarily when, in the view of management, they offer superior risk vs. return characteristics to debt securities. Such loans are generally acquired through the facilitation of third-party brokerages and are serviced in perpetuity by the originating entries or their designees. Funding for loan purchases of this type is generally obtained through incremental usage of brokered deposits and/or other forms of borrowed funds. The Bank intends to purchase similar pools of loans on an occasional basis in the future if and when management believes that it is economically advantageous to do so. See Note 5 within the Notes to consolidated financial statements contained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Approval Procedures and Authority</w:t>
      </w:r>
    </w:p>
    <w:p>
      <w:pPr>
        <w:spacing w:after="0" w:line="94"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The Bank’s lending activities follow written, non-discriminatory underwriting standards and loan origination procedures established by management and the Board of Directors. Our policies are designed to provide loan officers with guidelines on acceptable levels of risk, given a broad range of factors. The loan approval process is intended to assess the borrower’s ability to repay the loan, the viability of the loan and the adequacy of the value of the collateral that will secure the loan, if applicable.</w:t>
      </w:r>
    </w:p>
    <w:p>
      <w:pPr>
        <w:spacing w:after="0" w:line="34" w:lineRule="exact"/>
        <w:rPr>
          <w:sz w:val="20"/>
          <w:szCs w:val="20"/>
          <w:color w:val="auto"/>
        </w:rPr>
      </w:pPr>
    </w:p>
    <w:p>
      <w:pPr>
        <w:jc w:val="both"/>
        <w:ind w:right="220"/>
        <w:spacing w:after="0" w:line="243" w:lineRule="auto"/>
        <w:rPr>
          <w:sz w:val="20"/>
          <w:szCs w:val="20"/>
          <w:color w:val="auto"/>
        </w:rPr>
      </w:pPr>
      <w:r>
        <w:rPr>
          <w:rFonts w:ascii="Times New Roman" w:cs="Times New Roman" w:eastAsia="Times New Roman" w:hAnsi="Times New Roman"/>
          <w:sz w:val="16"/>
          <w:szCs w:val="16"/>
          <w:color w:val="auto"/>
        </w:rPr>
        <w:t>The Board of Directors grants loan officers individual lending authority to approve extensions of credit. The level of authority for loan officers varies based upon the loan type, total relationship, form of collateral and risk rating of the borrower. Each loan officer is charged with the responsibility of achieving high credit standards. Individual lending authority can be increased, suspended or removed by the Board of Directors, as recommended by the President or Senior Vice President and Chief Credit Officer.</w:t>
      </w:r>
    </w:p>
    <w:p>
      <w:pPr>
        <w:spacing w:after="0" w:line="7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If a loan is in excess of any individual loan officer’s lending authority, the extension of credit must be referred to the Officer Loan Committee (“OLC”) or the Directors Loan Committee ("DLC"), depending on either the size of the loan or the loan relationship. The OLC is comprised of select senior officers, and the DLC includes certain members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to One Borrower</w:t>
      </w:r>
    </w:p>
    <w:p>
      <w:pPr>
        <w:spacing w:after="0" w:line="9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Under New York law, New York commercial banks are subject to loans-to-one borrower limits, which are substantially similar as those applicable to national banks, which generally restrict loans to one borrower to an amount equal to 15% of unimpaired capital and unimpaired surplus, which was $23.4 million at December 31, 2024, on an unsecured basis, and an additional amount equal to 10% of unimpaired capital and unimpaired surplus, which was $15.6 million at December 31, 2024, if the loan is secured by readily marketable collateral (generally, financial instruments and bullion, but not real estate), subject to exceptions.</w:t>
      </w:r>
    </w:p>
    <w:p>
      <w:pPr>
        <w:spacing w:after="0" w:line="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Additionally, our internal loan policies limit the total related credit to be extended to any one borrower (after application of the rules of attribution), with respect to any and all loans with the Bank to 10% of Tier 1 and 2 capital, subject to certain exceptions. The indebtedness includes all credit exposure whether direct or contingent, used or unused.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 QUALITY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Delinquencies and Collection Procedures</w:t>
      </w:r>
    </w:p>
    <w:p>
      <w:pPr>
        <w:spacing w:after="0" w:line="9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When a loan becomes delinquent, we make attempts to contact the borrower to determine the cause of the delayed payments and seek a solution to permit the loan to be brought current within a reasonable period of time. The outcome can vary with each individual borrower. The Bank strictly adheres to the requirements of federal and New York State laws and regulations with respect to consumer loan collections. Commercial loans may experience longer workout times than consumer loans and may trigger a need for complex loan modifications.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Individually Evaluated Loans, Non-performing Loans and Loan Modifications</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policy of the Bank is to provide a continuous assessment of the quality of its loan portfolio through the maintenance of an internal and external loan review process. The process incorporates a loan risk grading system designed to recognize degrees of risk on individual</w:t>
      </w:r>
    </w:p>
    <w:p>
      <w:pPr>
        <w:spacing w:after="0" w:line="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 w:name="page9"/>
    <w:bookmarkEnd w:id="8"/>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commercial and mortgage loans in the portfolio. Management is responsible for monitoring of asset quality and risk grade designations, which are communicated to the board on a regular basis.</w:t>
      </w:r>
    </w:p>
    <w:p>
      <w:pPr>
        <w:spacing w:after="0" w:line="5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We generally cease accruing interest on our loans when contractual payments of principal or interest have become 90 days past due or management has serious doubts about further collectability of principal or interest, even though the loan is currently performing. A loan may remain on accrual status if it is in the process of collection and is either guaranteed or well secured. When a loan is placed on non-accrual status, unpaid interest credited to income is reversed. Interest received on non-accrual loans generally is applied against principal or interest if it is recognized on the cash basis method. Generally, loans are restored to accrual status when the obligation is brought current, has performed in accordance with the contractual terms for a reasonable period of time, generally for a minimum of six months, and the ultimate collectability of the total contractual principal and interest is no longer in doubt.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Allowance for Credit Losses policy (“ACL”) establishes criteria for individually evaluated loans to be measured for impairment based on the following: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Residential and Consumer Loans: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loans rated substandard or worse, on nonaccrual, and above our total related credit (“TRC”) threshold balance of $300,000.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Commercial Lines and Loans, Commercial Real Estate and Tax-exempt loans: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loans rated substandard or worse, on nonaccrual, and above our TRC threshold balance of $100,000.</w:t>
      </w:r>
    </w:p>
    <w:p>
      <w:pPr>
        <w:spacing w:after="0" w:line="9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Individually evaluated loans are determined by the present value of expected future cash flows or, for collateral-dependent loans, the fair value of the collateral adjusted for market conditions and selling expenses as compared to the loan carrying value.</w:t>
      </w:r>
    </w:p>
    <w:p>
      <w:pPr>
        <w:spacing w:after="0" w:line="5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7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During the year ended December 31, 2024, the Company modified one loan with a total outstanding balance of $2.0 million that was considered to be a modified loan to borrowers experiencing financial difficulty.</w:t>
      </w:r>
    </w:p>
    <w:p>
      <w:pPr>
        <w:spacing w:after="0" w:line="7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Nonaccrual loans that are modified will remain on nonaccrual status, but may move to accrual status after they have performed according to the modified terms for a period of time of at least six months.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Foreclosed real estate</w:t>
      </w:r>
    </w:p>
    <w:p>
      <w:pPr>
        <w:spacing w:after="0" w:line="9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4"/>
          <w:szCs w:val="14"/>
          <w:color w:val="auto"/>
        </w:rPr>
        <w:t>Fair values for foreclosed real estate are initially recorded based on market value evaluations by third parties, less costs to sell (“initial cost basis”). Any write-downs required when the related loan receivable is exchanged for the underlying real estate collateral at the time of transfer to foreclosed real estate are recorded to the allowance for credit losses. Values are derived from appraisals of underlying collateral or discounted cash flow analysis. Subsequent to foreclosure, valuations are updated periodically and assets are marked to current fair value, not to exceed the initial cost basis. In the determination of fair value subsequent to foreclosure, management also considers other factors or recent developments, such as, changes in absorption rates and market conditions from the time of valuation, and anticipated sales values considering management’s plans for disposition. Either change could result in adjustment to lower the property value estimates indicated in the appraisals.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delinquencies together with properties within our Foreclosed Real Estate portfolio are reviewed monthly by the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Classified Assets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Federal regulations provide for the classification of loans and other assets, such as debt and equity securities considered by the FDIC to be of lesser quality, as “substandard,” “doubtful” or “loss.” An asset is considered “substandard” if it is inadequately protected by the current net worth and paying capacity of the obligor or of the collateral pledged, if any. “Substandard” assets include those characterized by the “distinct possibility” that the insured institution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allowance for credit losses is not warranted. Assets that do not currently expose the insured institution to sufficient risk to warrant classification in one of the aforementioned categories but possess weaknesses are designated as “special mention” by our management.</w:t>
      </w:r>
    </w:p>
    <w:p>
      <w:pPr>
        <w:spacing w:after="0" w:line="7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 w:name="page10"/>
    <w:bookmarkEnd w:id="9"/>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the allowance for credit losses (ACL) represents management’s estimate of losses inherent in credit-exposed asset portfolios, including the loan portfolio, unfunded loan commitments and the portion of the investment securities portfolio classified as held-to maturity (HTM). The ACL is established as of the date of the statement of condition and it is recorded as a reduction of either loans or HTM securities or as an other liability, in the case of unfunded loan commitments, in accordance with generally accepted accounting principles (GAAP).</w:t>
      </w:r>
    </w:p>
    <w:p>
      <w:pPr>
        <w:spacing w:after="0" w:line="7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 xml:space="preserve">In June 2016, the Financial Accounting Standards Board (“FASB”) issued </w:t>
      </w:r>
      <w:r>
        <w:rPr>
          <w:rFonts w:ascii="Times New Roman" w:cs="Times New Roman" w:eastAsia="Times New Roman" w:hAnsi="Times New Roman"/>
          <w:sz w:val="16"/>
          <w:szCs w:val="16"/>
          <w:i w:val="1"/>
          <w:iCs w:val="1"/>
          <w:color w:val="auto"/>
        </w:rPr>
        <w:t>Accounting Standards Update (ASU) 2016-13, Financial Instruments—Credit Losses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326): Measurement of Credit Losses on Financial Instruments</w:t>
      </w:r>
      <w:r>
        <w:rPr>
          <w:rFonts w:ascii="Times New Roman" w:cs="Times New Roman" w:eastAsia="Times New Roman" w:hAnsi="Times New Roman"/>
          <w:sz w:val="16"/>
          <w:szCs w:val="16"/>
          <w:color w:val="auto"/>
        </w:rPr>
        <w:t>, requiring financial institutions, such as the Bank, to adopt the Current Expected Credit Loss (“CECL”)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methodology according to a specified implementation timeline. In order to meet this timeline requirement, the Bank adopted the CECL methodology for calculating its ACL on January 1, 2023. The amended guidance replaced the previously -required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w:t>
      </w:r>
    </w:p>
    <w:p>
      <w:pPr>
        <w:spacing w:after="0" w:line="7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Because the CECL methodology requires that reserves be established within the ACL for a broad range of financial assets, including all loans, through the entirety of their expected lives and also considers categories of financial instruments, such as open funding commitments, the initial ACL upon adoption would, in most cases, be expected to be greater than the ALLL that it replaced. This was the case with the Company's adoption of the CECL model in on January 1, 2023. In addition, the CECL model is designed to be more forward looking than the ILM and reflects a number of factors, most notably the estimation of cumulative credit losses through the entirety of the expected life of each evaluated financial instrument, periodic provisions for credit losses may, in the future, be more volatile than the historical patterns previously established under the ILM.</w:t>
      </w:r>
    </w:p>
    <w:p>
      <w:pPr>
        <w:spacing w:after="0" w:line="77"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16"/>
          <w:szCs w:val="16"/>
          <w:color w:val="auto"/>
        </w:rPr>
        <w:t>At December 31, 2022 the Company calculated its ALLL utilizing the Incurred Loss Model ("ILM") methodology, as required under GAAP on that date. As noted above, on January 1, 2023, the Company adopted the CECL model methodology in accordance with GAAP requirements that became effective on that date. At December 31, 2022 the Company had a total ALLL of $15.3 million, of which $4.8 million was related to impaired loans and $10.5 million was related to loans analyzed collectively on an aggregate pool basis.</w:t>
      </w:r>
    </w:p>
    <w:p>
      <w:pPr>
        <w:spacing w:after="0" w:line="7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On January 1, 2023 the Company recorded a one-time CECL transition adjustment (recorded as an adjustment, net of taxes, to retained earnings) of $1.9 million that reversed the $10.5 million in the December 31, 2022 ALLL, that was related to pooled loans, evaluated collectively in the aggregate, as previously calculated under the phased-out ILM methodology, and replaced it with the ACL, as calculated under CECL, in the amount of $12.4 million. The $12.4 million CECL ACL at January 1, 2023 was composed of $8.4 million in reserves calculated using quantitative methodologies based on historical loss experience and $4.0 million based on qualitative factors, as determined by management. The $4.8 million in ALLL related to impaired loans at December 31, 2022 was not affected by the transition to the CECL methodology at January 1, 2023.</w:t>
      </w:r>
    </w:p>
    <w:p>
      <w:pPr>
        <w:spacing w:after="0" w:line="77" w:lineRule="exact"/>
        <w:rPr>
          <w:sz w:val="20"/>
          <w:szCs w:val="20"/>
          <w:color w:val="auto"/>
        </w:rPr>
      </w:pPr>
    </w:p>
    <w:p>
      <w:pPr>
        <w:jc w:val="both"/>
        <w:ind w:right="360"/>
        <w:spacing w:after="0" w:line="247" w:lineRule="auto"/>
        <w:rPr>
          <w:sz w:val="20"/>
          <w:szCs w:val="20"/>
          <w:color w:val="auto"/>
        </w:rPr>
      </w:pPr>
      <w:r>
        <w:rPr>
          <w:rFonts w:ascii="Times New Roman" w:cs="Times New Roman" w:eastAsia="Times New Roman" w:hAnsi="Times New Roman"/>
          <w:sz w:val="16"/>
          <w:szCs w:val="16"/>
          <w:color w:val="auto"/>
        </w:rPr>
        <w:t>The transition to CECL also required that new reserves be created in the amounts of $450,000 and $ 552,000, related to held-to-maturity investments and unfunded commitments, respectively. Including the $1.9 million CECL transition adjustment related to loans, described above, the total CECL transition adjustment was $2.1 million, net of the effects of tax, on January 1, 2023, which was recorded to retained earnings on that date.</w:t>
      </w:r>
    </w:p>
    <w:p>
      <w:pPr>
        <w:spacing w:after="0" w:line="6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ACL is maintained at a level considered adequate to provide for losses that can be reasonably anticipated. Management performs a quarterly evaluation of the adequacy of the allowance. The allowance is increased by the provision for credit losses, and decreased by charge- offs, net of recoveries. Loans deemed to be uncollectible are recorded against the allowance for credit losses, and subsequent recoveries, if any, are credited to the allowance. All or part of the principal balance of loans receivable are charged off to the allowance as soon as it is determined that the repayment of all or part of the principal balance is highly unlikely. Non-residential consumer loans are generally charged off no later than 120 days past due on a contractual basis, unless productive collection efforts are providing results. Consumer loans may be charged off earlier in the event of bankruptcy, or if there is an amount that is deemed uncollectible. No portion of the ACL is restricted to any individual loan type and the entire allowance is available to absorb any and all credit losses.</w:t>
      </w:r>
    </w:p>
    <w:p>
      <w:pPr>
        <w:spacing w:after="0" w:line="74"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ACL is based on three major components which are: (i) specific components for individually evaluated loans, (ii) quantitative factors, applied to pooled loans derived from historical bank-specific and industry loss charge-off patterns that have been correlated to</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 w:name="page11"/>
    <w:bookmarkEnd w:id="10"/>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prior period econometric factors, and (iii) a broad range of qualitative factors intended to provide further forward-looking perspectives on overall credit quality.</w:t>
      </w:r>
    </w:p>
    <w:p>
      <w:pPr>
        <w:spacing w:after="0" w:line="9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The first component is the specific allowance that relates to loans that are individually evaluated or where analysis for impairment is appropriate. For these loans, an allowance is established when the discounted cash flows or collateral value of the individually evaluated loan are lower than the carrying value of the loan. A loan is considered individually evaluated when, based on current information and events, it is probable that we will be unable to collect the scheduled payments of principal or interest when due according to the contractual terms of the loan agreement. Individually evaluated loans are measured by either the present value of the expected future cash flows discounted at the loan’s effective interest rate or the fair value of the underlying collateral if the loan is collateral dependent. The majority of our loans utilize the fair value of the underlying collateral. Factors considered by management in determining individually evaluated loans include payment status, collateral value and the probability of collecting scheduled principal and interest payments when due. Loans that experience insignificant payment delays and payment shortfalls generally are not considered for individual evaluation. Management determines the significance of payment delays and shortfalls on a case-by case basis, taking into consideration all of the circumstances surrounding the loan and the borrower, including the length and reason for the delay, the borrower’s prior payment record and the amount of shortfall in relation to what is owed.</w:t>
      </w:r>
    </w:p>
    <w:p>
      <w:pPr>
        <w:spacing w:after="0" w:line="8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When a loan is determined to be individually evaluated, we will reevaluate the collateral which secures the loan. For real estate loans, we will obtain a new appraisal or broker’s opinion, whichever is considered to provide the most accurate value in the event of sale. An evaluation of equipment held as collateral will be obtained from an independent firm able to provide such an evaluation. Collateral will be inspected not less than annually for all individually evaluated loans and will be reevaluated not less than every two years. Appraised values are discounted to arrive at the estimated selling price of the collateral, which is considered to be the estimated fair value. The discounts also include estimated costs to sell the property. For commercial and industrial loans secured by non-real estate collateral, such as accounts receivable, inventory and equipment, estimated fair values are determined based on the borrower’s financial statements, inventory reports, accounts receivable agings or equipment appraisals or invoices. Indications of value from these sources are generally discounted based on the age of the financial information or the quality of the assets.</w:t>
      </w:r>
    </w:p>
    <w:p>
      <w:pPr>
        <w:spacing w:after="0" w:line="5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Large groups of homogeneous loans, including purchased loans, are evaluated for borrowers experiencing financial difficulties in the aggregate. Accordingly, we do not separately identify individual residential mortgage loans with outstanding principal balances less than $300,000, home equity and other consumer loans for impairment disclosures. We make exceptions to this general rule when such loans are (1) rated substandard or worse, on nonaccrual status and are related to borrowers with total related credit exposure in excess of our threshold balance of $300,000; or (2) the loans are modified due to borrowers experiencing financial difficulties. 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7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second component of the ACL estimation is based on quantitative factors, which cover discrete pools of loans, by loan class, not considered individually evaluated, smaller balance homogenous loans, such as residential real estate, home equity and other consumer loans. These pools of loans are evaluated for loss exposure based on historical loss rates for each of these categories of loans. Under the CECL methodology, quantitative analysis is used to predict future life-of loan charge-offs based on historical charge-off patterns correlated to a range of specific econometric factors, such as the national unemployment rate. The Company utilizes the Discounted Cash Flow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quantitatively-derived portion of the ACL.</w:t>
      </w:r>
    </w:p>
    <w:p>
      <w:pPr>
        <w:spacing w:after="0" w:line="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Within the third component of the ACL, 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assesses quarterly the magnitude of QF adjustments necessary to be applied to the quantitatively-derived ACL in order to incorporate forward-looking projections in its final evaluation of current expected credit losses.</w:t>
      </w:r>
    </w:p>
    <w:p>
      <w:pPr>
        <w:spacing w:after="0" w:line="7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In addition, the FDIC and NYSDFS, as an integral part of their examination process, periodically review our allowance for credit losses and may require us to recognize additions to the allowance based on their judgments about information available to them at the time of their examination, which may not be currently available to management. Based on management’s comprehensive analysis of the loan portfolio, we believe the current level of the allowance for credit losses is adequate.</w:t>
      </w:r>
    </w:p>
    <w:p>
      <w:pPr>
        <w:spacing w:after="0" w:line="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 w:name="page12"/>
    <w:bookmarkEnd w:id="11"/>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ACTIVITIES</w:t>
      </w:r>
    </w:p>
    <w:p>
      <w:pPr>
        <w:spacing w:after="0" w:line="9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6"/>
          <w:szCs w:val="16"/>
          <w:color w:val="auto"/>
        </w:rPr>
        <w:t>Our investment policy is established by the Board of Directors. Our investment policy dictates that investment decisions will be made based on the safety of the investment, liquidity requirements, potential returns, cash flow targets, and consistency with our interest rate risk management objectives. The Asset Liability Management Committee (the “ALCO”) of the Board of Directors acts in the capacity of an investment committee and is responsible for overseeing our investment program and evaluating on an ongoing basis our investment policy and objectives. Our President and Chief Executive Office and Chief Financial Officer have the authority to purchase and sell securities within specific guidelines established by the investment policy. All transactions are reviewed by the Board of Directors at its regular meetings.</w:t>
      </w:r>
    </w:p>
    <w:p>
      <w:pPr>
        <w:spacing w:after="0" w:line="77"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The general objectives of the investment securities portfolio are to assist in the overall interest rate risk management of the Bank, while generating a reasonable rate of return consistent with the risk of purchased principal, provide a source of liquidity, and reduce our overall credit risk profile. We also purchase securities to provide necessary liquidity for day-to-day operations and when investable funds exceed loan demand, as well as to provide highly liquid assets under collateralization arrangements related to municipal deposits. The effect that the proposed security purchase would have on our overall credit and interest rate risk profile and our risk-based equity ratios is also considered in evaluating the timing, mix and characteristics of investment security purchases.</w:t>
      </w:r>
    </w:p>
    <w:p>
      <w:pPr>
        <w:spacing w:after="0" w:line="73" w:lineRule="exact"/>
        <w:rPr>
          <w:sz w:val="20"/>
          <w:szCs w:val="20"/>
          <w:color w:val="auto"/>
        </w:rPr>
      </w:pPr>
    </w:p>
    <w:p>
      <w:pPr>
        <w:ind w:right="160"/>
        <w:spacing w:after="0" w:line="184" w:lineRule="exact"/>
        <w:rPr>
          <w:sz w:val="20"/>
          <w:szCs w:val="20"/>
          <w:color w:val="auto"/>
        </w:rPr>
      </w:pPr>
      <w:r>
        <w:rPr>
          <w:rFonts w:ascii="Times New Roman" w:cs="Times New Roman" w:eastAsia="Times New Roman" w:hAnsi="Times New Roman"/>
          <w:sz w:val="16"/>
          <w:szCs w:val="16"/>
          <w:color w:val="auto"/>
        </w:rPr>
        <w:t>All investment securities purchased/held must meet regulatory guidelines and be permissible bank investments. Our investment securities include a broad range of debt securities issued by the United States Government and its agencies and sponsored enterprises, state and municipal governments and agencies, and corporations. The Company also invests in mortgage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securities issued or guaranteed by United States Government sponsored enterprises, collateralized mortgage obligations and similar debt securities issued by both government sponsored entities and private (non-governmental) issuers, and asset -backed securities that are generally issued by private entities. The Company invests primarily in debt securities but will from time to time also invest, within certain regulatory limits, in mutual funds and equity securities.</w:t>
      </w:r>
    </w:p>
    <w:p>
      <w:pPr>
        <w:spacing w:after="0" w:line="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All securities purchased are classified at the time of purchase as either held-to-maturity (HTM) or available-for-sale (AFS). We do not maintain a trading account. Securities purchased with the intent and ability to hold until maturity will be classified as HTM. Securities placed in the HTM category will be accounted for at amortized cost.</w:t>
      </w:r>
    </w:p>
    <w:p>
      <w:pPr>
        <w:spacing w:after="0" w:line="6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Securities that do not qualify or are not categorized as HTM are classified as AFS. This classification includes securities that may be sold in response to changes in interest rates, the security's prepayment risk, liquidity needs, the availability of and the yield on alternative investments, and funding sources and terms. These securities are reported at fair value, which is determined on a monthly basis. Unrealized gains and losses are reported as a separate component of capital, net of tax. The aggregate change in value of the portfolio is reported to the Board of Directors monthly.</w:t>
      </w:r>
    </w:p>
    <w:p>
      <w:pPr>
        <w:spacing w:after="0" w:line="7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The composition of the investment portfolio is substantially the same for securities classified as both HTM and AFS, although the portion of the securities portfolio classified as AFS generally has a higher concentration of shorter-term, and/or more liquid assets. Such securities are held as part of the Bank’s liquidity management programs. The Bank holds a significant portion of its investment securities in mortgage-backed securities and collateralized mortgage obligations (many, but not all of which are issued by government-sponsored enterprises) and direct federal government and federal agency obligations. Federal agency issuers include the Federal Farm Credit Bank, Federal Home Loan Bank, Federal National Mortgage Association (“Fannie Mae”), Federal Home Loan Mortgage Corporation (“Freddie Mac”) and the Government National Mortgage Association (“Ginnie Mae”), among others. For a discussion on mortgage backed securities, see “Mortgage-Backed Securities and Collateralized Mortgage Obligations.”</w:t>
      </w:r>
    </w:p>
    <w:p>
      <w:pPr>
        <w:spacing w:after="0" w:line="74"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As part of our membership in the FHLBNY, we are required to maintain a dividend-earning investment in FHLBNY stock. This investment is classified separately from securities due to significant restrictions on sale or transfer of the stock. For further information regarding our securities portfolio, see Note 4 to the consolidated financial statements.</w:t>
      </w:r>
    </w:p>
    <w:p>
      <w:pPr>
        <w:spacing w:after="0" w:line="6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More specifically, we purchase mortgage-backed and asset-backed securities, as well as collateralized mortgage obligations guaranteed by Fannie Mae, Freddie Mac and Ginnie Mae as well as a number of private issuers. Mortgage-backed and asset-backed securities and collateralized mortgage obligations are created by pooling loan assets (mortgages or other loan types) and issuing a security with an interest rate which is less than the interest rate on the underlying loans. These securities typically represent a participation interest in a pool of mortgages or other loans The issuers of such securities pool and resell the participation interests in the form of securities to investors such as the Bank, and in the case of government agency sponsored issues, guarantee the payment of principal and interest to investors.</w:t>
      </w:r>
    </w:p>
    <w:p>
      <w:pPr>
        <w:spacing w:after="0" w:line="7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securities issued by private entities are generally senior tranches, and most often the most senior tranche of multi-class issuances that provide substantial credit enhancements to their senior tranches and therefore reasonable, but not absolute, protection for the Bank from the risks of default. We invest in mortgage-backed and asset-backed securities and collateralized mortgage obligations to achieve positive interest rate spreads with minimal administrative expense, and to lower our credit risk through geographic diversification. These securities are generally relatively short in duration and therefore reduce the Bank’s sensitivity to changes in interest rates. All privately issued mortgage-backed securities held by the Bank at December 31, 2024 were either rated at or above the lowest investment grade for credit quality by a nationally-recognized statistical rating organization (a “NRSRO”) or were the most senior tranches of securitizations</w:t>
      </w:r>
    </w:p>
    <w:p>
      <w:pPr>
        <w:spacing w:after="0" w:line="7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2" w:name="page13"/>
    <w:bookmarkEnd w:id="12"/>
    <w:p>
      <w:pPr>
        <w:spacing w:after="0" w:line="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that were not rated by a NRSRO at the time of the securities’ issuance. We regularly monitor the credit quality of this portfolio. At December 31, 2024, no securities held by the Bank in this category had been downgraded by a NRSRO.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HEDGING ACTIVITIES</w:t>
      </w:r>
    </w:p>
    <w:p>
      <w:pPr>
        <w:spacing w:after="0" w:line="9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December 31, 2024. Interest rate hedging agreements are recorded at fair value as other assets or liabilities. The Company had no material derivative contracts not designated as hedging agreements at December 31, 2024 or December 31, 2023. See Note 21 within the Notes to consolidated financial statements contained herein.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FUNDS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Deposits have traditionally been our primary source of funds for use in lending and investment activities. We also rely on advances from the FHLBNY, the Certificates of Deposit Account Registry Service (“CDARS”) provided by an independent third-party, IntraFi Network, and other deposits acquired through unaffiliated third-party financial institutions as forms of brokered deposits. In addition to deposits and borrowings, we derive funds from scheduled loan payments, investment maturities, loan prepayments, retained earnings and income on interest- earning assets. While scheduled loan payments and income on interest-earning assets are relatively stable sources of funds, deposit inflows and outflows can vary widely and are influenced by prevailing market interest rates, economic conditions and competition from other financial institutions.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 majority of our depositors are persons or businesses who work, reside or operate in Oswego and Onondaga Counties. We offer a variety of deposits, including checking, savings, money market deposit accounts, and certificates of deposit. Deposit account terms vary, with the principal differences being the minimum balance required, the amount of time the funds must remain on deposit and the interest rate. We establish interest rates, maturity terms, service fees and withdrawal penalties on a periodic basis. Management determines the rates and terms based on rates paid by competitors, our need for funds or liquidity, overall growth goals and federal and state regulations. The flow of deposits is influenced significantly by general economic conditions, changes in interest rates and competition. The variety of deposit accounts that we offer allows us to be competitive in generating deposits and to respond with flexibility to changes in our customers’ demands. We believe that deposits are a stable source of funds, but our ability to attract and maintain deposits at favorable rates will be affected by market conditions, including competition and prevailing interest rates.</w:t>
      </w:r>
    </w:p>
    <w:p>
      <w:pPr>
        <w:spacing w:after="0" w:line="7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Bank participates in a number of programs collectively designed to allow it to supplement deposit funding from its core customers with brokered deposits garnered from outside the Bank's primary locations. These programs, which include certain facilities for which we have participated in since 2009, are employed by the Bank’s management to supplement the funding that the Bank obtains from customer deposits and other borrowings, principally from the FHLBNY, and are used to increase the overall efficiency of the Bank’s funding mix. We also participate in reciprocal deposit services for our customers through the Certificate of Deposit Account Registry Services (“CDARS”) and Insured Cash Sweep (“ICS”) networks. Management intends to continue to use brokered deposits in the future as an integral part of its overall funding strategies. See Note 11 to the consolidated financial statements for further details on our brokered deposits.</w:t>
      </w:r>
    </w:p>
    <w:p>
      <w:pPr>
        <w:spacing w:after="0" w:line="77" w:lineRule="exact"/>
        <w:rPr>
          <w:sz w:val="20"/>
          <w:szCs w:val="20"/>
          <w:color w:val="auto"/>
        </w:rPr>
      </w:pPr>
    </w:p>
    <w:p>
      <w:pPr>
        <w:ind w:right="100"/>
        <w:spacing w:after="0" w:line="331" w:lineRule="auto"/>
        <w:rPr>
          <w:sz w:val="20"/>
          <w:szCs w:val="20"/>
          <w:color w:val="auto"/>
        </w:rPr>
      </w:pPr>
      <w:r>
        <w:rPr>
          <w:rFonts w:ascii="Times New Roman" w:cs="Times New Roman" w:eastAsia="Times New Roman" w:hAnsi="Times New Roman"/>
          <w:sz w:val="14"/>
          <w:szCs w:val="14"/>
          <w:color w:val="auto"/>
        </w:rPr>
        <w:t>As noted above, we participate in reciprocal deposit programs, which enable depositors to receive FDIC insurance coverage for deposits otherwise exceeding the maximum insurable amount. Through these programs, deposits in excess of the maximum insurable amount are placed with multiple participating financial institutions.</w:t>
      </w:r>
    </w:p>
    <w:p>
      <w:pPr>
        <w:spacing w:after="0" w:line="12" w:lineRule="exact"/>
        <w:rPr>
          <w:sz w:val="20"/>
          <w:szCs w:val="20"/>
          <w:color w:val="auto"/>
        </w:rPr>
      </w:pPr>
    </w:p>
    <w:p>
      <w:pPr>
        <w:jc w:val="both"/>
        <w:ind w:right="380"/>
        <w:spacing w:after="0" w:line="247" w:lineRule="auto"/>
        <w:rPr>
          <w:sz w:val="20"/>
          <w:szCs w:val="20"/>
          <w:color w:val="auto"/>
        </w:rPr>
      </w:pPr>
      <w:r>
        <w:rPr>
          <w:rFonts w:ascii="Times New Roman" w:cs="Times New Roman" w:eastAsia="Times New Roman" w:hAnsi="Times New Roman"/>
          <w:sz w:val="16"/>
          <w:szCs w:val="16"/>
          <w:color w:val="auto"/>
        </w:rPr>
        <w:t>As an additional source of funding, we offer a variety of public (municipal) deposit products to the towns, villages, counties and school districts within our market. There is a high degree of seasonality in this component of funding, because the level of deposits varies with the seasonal cash flows for these public customers. We maintain the necessary levels of short-term liquid assets to accommodate the seasonality associated with public deposits. .</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 w:name="page14"/>
    <w:bookmarkEnd w:id="13"/>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Borrowings</w:t>
      </w:r>
    </w:p>
    <w:p>
      <w:pPr>
        <w:spacing w:after="0" w:line="9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Bank has a number of existing credit facilities available to it. At December 31, 2024, the Bank had existing lines of credit at FHLBNY, the Federal Reserve Bank (“FRB”), and two other correspondent banks. We obtain advances primarily from the FHLBNY utilizing the common stock we own in the FHLBNY, qualifying residential mortgage loans held in portfolio, and certain investment securities as collateral provided certain standards related to creditworthiness are met. These advances are made pursuant to several credit programs, each of which has its own interest rate and range of maturities. FHLBNY advances are generally available to meet seasonal and other withdrawals of deposit accounts and to permit increased lending.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Trust Preferred Securities and Subordinated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 non-consolidated subsidiary trust, Pathfinder Statutory Trust II, of which the Company owns 100% of the common equity. The Trust issued</w:t>
      </w:r>
    </w:p>
    <w:p>
      <w:pPr>
        <w:spacing w:after="0" w:line="1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6"/>
          <w:szCs w:val="16"/>
          <w:color w:val="auto"/>
        </w:rPr>
        <w:t>$5,000,000 of 30-year floating rate Company -obligated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3-month the Secured Overnight Financing Rate ("SOFR") which is a broad measure of the cost of borrowing cash overnight collateralized by Treasury securities, plus 1.91%. These securities have a five-year call provision. The Company guarantees all of these securities.</w:t>
      </w:r>
    </w:p>
    <w:p>
      <w:pPr>
        <w:spacing w:after="0" w:line="7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The Company's equity interest in the trust subsidiary is included in other assets on the Consolidated Statements of Financial Condition at December 31, 2024 and 2023.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7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On October 14, 2020, the Company executed a private placement of $25.0 million of its 5.50% Fixed to Floating Rate non -amortizing Subordinated Debt (the “2020 Subordinated Debt”) to certain qualified institutional buyers and accredited institutional investors. The 2020 Subordinated Debt has a maturity date of October 15, 2030 and initially bear interest, payable semi-annually, at a fixed annual rate of 5.50% per annum until October 15, 2025. Commencing on that date, the interest rate applicable to the outstanding principal amount due will be reset quarterly to an interest rate per annum equal to the then current three month SOFR plus 532 basis points, payable quarterly until maturity. The Company may redeem the 2020 Subordinated Debt at par, in whole or in part, at its option, any time after October 15, 2025 (the first redemption date). The 2020 Subordinated Debt is senior in the Company’s credit repayment hierarchy only to the Company’s common equity and, and any future senior indebtedness and is intended to qualify as Tier 2 capital for regulatory capital purposes for the Company. The Company paid $783,000 in origination and legal fees as part of this transaction. These fees will be amortized over the life of the 2020 Subordinated Debt through its first redemption date using the effective interest method, giving rise to an effective cost of funds of 6.22% from the issuance date calculated under this method. Accordingly, interest expense related to this transaction of $1.6 million was recorded in both the years ended December 31, 2024 and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SUPERVISION AND REGULATION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Pathfinder Bank is a New York-chartered commercial bank and the Company is a Maryland corporation and a registered bank holding company. The Bank’s deposits are insured up to applicable limits by the FDIC. The Bank is subject to extensive regulation by NYSDFS, as its chartering agency, and by the FDIC, its primary federal regulator and deposit insurer. The Bank is required to file reports with, and is periodically examined by, the FDIC and the NYSDFS concerning its activities and financial condition and must obtain regulatory approvals prior to entering into certain transactions, including, but not limited to, mergers with or acquisitions of other financial institutions. As a registered bank holding company, the Company is regulated by the Federal Reserve Board.</w:t>
      </w:r>
    </w:p>
    <w:p>
      <w:pPr>
        <w:spacing w:after="0" w:line="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regulatory and supervisory structure establishes a comprehensive framework of activities in which an institution can engage and is intended primarily for the protection of depositors and the deposit insurance funds, rather than for the protection of shareholders and creditors. The regulatory structure also gives the regulatory authorities extensive discretion in connection with their supervisory and enforcement activities and examination policies, including policies concerning the establishment of deposit insurance assessment fees, classification of assets and establishment of adequate credit loss reserves for regulatory purposes. Any change in such regulatory requirements and policies, whether by the New York State legislature, the NYSDFS, the FDIC, the Federal Reserve Board or the United States Congress, could have a material adverse impact on the financial condition and results of operations of the Company and the Bank.</w:t>
      </w:r>
    </w:p>
    <w:p>
      <w:pPr>
        <w:spacing w:after="0" w:line="7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Set forth below is a summary of certain material statutory and regulatory requirements applicable to the Company and the Bank. The summary is not intended to be a complete description of such statutes and regulations and their effects on the Company and the Bank.</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 w:name="page15"/>
    <w:bookmarkEnd w:id="14"/>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York Bank Regulation</w:t>
      </w:r>
    </w:p>
    <w:p>
      <w:pPr>
        <w:spacing w:after="0" w:line="94"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6"/>
          <w:szCs w:val="16"/>
          <w:color w:val="auto"/>
        </w:rPr>
        <w:t>Pathfinder Bank derives its lending, investment, branching and other authority primarily from the applicable provisions of New York State Banking Law and the regulations of the NYSDFS, as limited by federal laws and regulations. Under these laws and regulations, commercial banks, including Pathfinder Bank, may invest in real estate mortgages, consumer and commercial loans, certain types of debt securities, including certain corporate debt securities and obligations of federal, state and local governments and agencies, certain types of corporate equity securities and certain other assets. Under the statutory authority for investing in equity securities, a bank may invest up to 2% of its assets or 20% of its capital, whichever is less in exchange-registered corporate stock. Investment in the stock of a single corporation is limited to the lesser of 1% of the bank’s assets or 15% of the Bank’s capital. The Bank’s authority to invest in equity securities is constrained by federal law, as explained later. Such equity securities must meet certain earnings ratios and other tests of financial performance. A bank may also exercise trust powers upon approval of the NYSDFS. Pathfinder Bank does not presently have trust powers.</w:t>
      </w:r>
    </w:p>
    <w:p>
      <w:pPr>
        <w:spacing w:after="0" w:line="7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New York State chartered banks may also invest in subsidiaries. A bank may use this power to invest in corporations that engage in various activities authorized for banks, plus any additional activities that may be authorized by the NYSDFS.</w:t>
      </w:r>
    </w:p>
    <w:p>
      <w:pPr>
        <w:spacing w:after="0" w:line="5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color w:val="auto"/>
        </w:rPr>
        <w:t>Furthermore, New York banking regulations impose requirements on loans which a bank may make to its executive officers and directors and to certain corporations or partnerships in which such persons have equity interests. These requirements include that (i) certain loans must be approved in advance by a majority of the entire Board of Directors and the interested party must abstain from participating directly or indirectly in voting on such loan, (ii) the loan must be on terms that are not more favorable than those offered to unaffiliated third parties, and (iii) the loan must not involve more than a normal risk of repayment or present other unfavorable features.</w:t>
      </w:r>
    </w:p>
    <w:p>
      <w:pPr>
        <w:spacing w:after="0" w:line="4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Under the New York State Banking Law, the Superintendent may issue an order to a New York State chartered banking institution to appear and explain an apparent violation of law, to discontinue unauthorized or unsafe practices and to keep prescribed books and accounts. Upon a finding by the NYSDFS that any director, trustee or officer of any banking organization has violated any law, or has continued unauthorized or unsafe practices in conducting the business of the banking organization after having been notified by the Superintendent to discontinue such practices, such director, trustee or officer may be removed from office after notice and an opportunity to be heard. The Bank does not know of any past or current practice, condition or violation that may lead to any proceeding by the Superintendent or the NYSDFS against the Bank or any of its directors or officers.</w:t>
      </w:r>
    </w:p>
    <w:p>
      <w:pPr>
        <w:spacing w:after="0" w:line="7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color w:val="auto"/>
        </w:rPr>
        <w:t>The NYSDFS requires New York State-chartered or licensed banks regulated by the NYSDFS, such as the Bank, to adopt broad cybersecurity protections. In particular, the Bank has established a program designed to ensure the safety of its information systems, adopted a written cybersecurity policy, and designated an information security officer. The Bank is subject to ongoing compliance and reporting requirements of the NYSDFS. In November 2023, the NYSDFS amended its cybersecurity regulations to include heightened governance requirements and an expansion of the breadth and depth of required policies and procedures, among other things.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York State Community Reinvestment Regulation</w:t>
      </w:r>
    </w:p>
    <w:p>
      <w:pPr>
        <w:spacing w:after="0" w:line="9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Pathfinder Bank is also subject to provisions of the New York State Banking Law which imposes continuing and affirmative obligations upon banking institutions organized in New York State to serve the credit needs of its local community (“NYCRA”) which are substantially similar to those imposed by the Federal Community Reinvestment Act (“CRA”). Pursuant to the NYCRA, a bank must file copies of all federal CRA reports with the NYSDFS. The NYCRA requires the NYSDFS to make a written assessment of a bank’s compliance with the NYCRA every 24 to 36 months, utilizing a four-tiered rating system and make such assessment available to the public. The NYCRA also requires the Superintendent to consider a bank’s NYCRA rating when reviewing a bank’s application to engage in certain transactions, including mergers, asset purchases and the establishment of branch offices or automated teller machines, and provides that such assessment may serve as a basis for the denial of any such application. Pathfinder Bank’s NYCRA most recent rating, dated September 30, 2021, was “satisfactory.”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Regulations</w:t>
      </w:r>
    </w:p>
    <w:p>
      <w:pPr>
        <w:spacing w:after="0" w:line="90"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Capital Requirements. </w:t>
      </w:r>
      <w:r>
        <w:rPr>
          <w:rFonts w:ascii="Times New Roman" w:cs="Times New Roman" w:eastAsia="Times New Roman" w:hAnsi="Times New Roman"/>
          <w:sz w:val="16"/>
          <w:szCs w:val="16"/>
          <w:color w:val="auto"/>
        </w:rPr>
        <w:t>Federal regulations require federally insured depository institutions to meet several minimum capital standards: a common equity Tier 1 capital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risk-based assets ratio of 4.5%, a Tier 1 capital to risk-based assets ratio of 6.0%, a total capital to risk-based assets of 8.0%, and a 4.0% Tier 1 capital to total assets leverage ratio.</w:t>
      </w:r>
    </w:p>
    <w:p>
      <w:pPr>
        <w:spacing w:after="0" w:line="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In determining the amount of risk-weighted assets for purposes of calculating risk-based capital ratios, all assets, including certain off -balance sheet assets (e.g., recourse obligations, direct credit substitutes, residual interests) are multiplied by a risk weight factor assigned by the regulations based on the risks believed inherent in the type of asset. Higher levels of capital are required for asset categories believed to present greater risk. Common equity Tier 1 capital is generally defined as common stockholders’ equity and retained earnings. Tier 1 capital is generally defined as common equity Tier 1 and additional Tier 1 capital. Additional Tier 1 capital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credit losses limited to a maximum of 1.25% of risk-weighted assets and, for</w:t>
      </w:r>
    </w:p>
    <w:p>
      <w:pPr>
        <w:spacing w:after="0" w:line="5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 w:name="page16"/>
    <w:bookmarkEnd w:id="15"/>
    <w:p>
      <w:pPr>
        <w:spacing w:after="0" w:line="5"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institutions that have exercised an opt-out election regarding the treatment of Accumulated Other Comprehensive Income, up to 45% of net unrealized gains on available -for-sale equity securities with readily determinable fair market values. Pathfinder Bank exercised the opt-out election. Calculation of all types of regulatory capital is subject to deductions and adjustments specified in the regulations. In assessing an institution’s capital adequacy, regulators take into consideration, not only these numeric factors, but qualitative factors as well, and has the authority to establish higher capital requirements for individual institutions when and where deemed necessary.</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addition to establishing the minimum regulatory capital requirements, the regulations limit capital distributions and certain discretionary bonus payments to management personnel if the institution does not hold a “capital conservation buffer” consisting of 2.5% of common equity Tier 1 capital to risk-weighted assets above the amount necessary to meet its minimum risk-based capital requirements. Notwithstanding the foregoing, pursuant to the EGRRCPA, the FDIC finalized a rule that established a community bank leverage ratio (“CBLR”). The CBLR (Tier 1 capital to average consolidated assets) was established at 9% for institutions under $10 billion in assets and such institutions may elect to utilize the CBLR threshold level of capital in lieu of the generally-applicable risk-based capital requirements under Basel III. Such institutions that meet the CBLR threshold and certain other qualifying criteria will automatically be deemed to be well-capitalized. A financial institution can elect to be subject to this new definition. As of December 31, 2024, the Bank did not elect to become subject to the CBLR.</w:t>
      </w:r>
    </w:p>
    <w:p>
      <w:pPr>
        <w:spacing w:after="0" w:line="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Standards for Safety and Soundness. </w:t>
      </w:r>
      <w:r>
        <w:rPr>
          <w:rFonts w:ascii="Times New Roman" w:cs="Times New Roman" w:eastAsia="Times New Roman" w:hAnsi="Times New Roman"/>
          <w:sz w:val="14"/>
          <w:szCs w:val="14"/>
          <w:color w:val="auto"/>
        </w:rPr>
        <w:t>As required by statute, the federal banking agencies have adopted final regulations and Interagency Guidelines Establishing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Standards for Safety and Soundness to implement safety and soundness standards. The guidelines set forth the safety and soundness standards that the federal banking agencies use to identify and address problems at insured depository institutions before capital becomes impaired. The guidelines address internal controls and information systems, internal audit systems, credit underwriting, loan documentation, interest rate exposure, asset growth, asset quality, earnings, compensation, fees and benefits and, more recently, safeguarding customer information. If the appropriate federal banking agency determines that an institution fails to meet any standard prescribed by the guidelines, the agency may require the institution to submit to the agency an acceptable plan to achieve compliance with the standard.</w:t>
      </w:r>
    </w:p>
    <w:p>
      <w:pPr>
        <w:spacing w:after="0" w:line="4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and Investment Activities. </w:t>
      </w:r>
      <w:r>
        <w:rPr>
          <w:rFonts w:ascii="Times New Roman" w:cs="Times New Roman" w:eastAsia="Times New Roman" w:hAnsi="Times New Roman"/>
          <w:sz w:val="16"/>
          <w:szCs w:val="16"/>
          <w:color w:val="auto"/>
        </w:rPr>
        <w:t>Under federal law, all state-chartered FDIC-insured banks, including commercial banks, have been limited in their activities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principal and in their equity investments to the type and the amount authorized for national banks, notwithstanding state law. Federal law permits certain exceptions to these limitations.</w:t>
      </w:r>
    </w:p>
    <w:p>
      <w:pPr>
        <w:spacing w:after="0" w:line="6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The FDIC is also authorized to permit state banks to engage in state authorized activities or investments not permissible for national banks (other than non -subsidiary equity investments) if they meet all applicable capital requirements and it is determined that such activities or investments do not pose a significant risk to the FDIC insurance fund. The FDIC has adopted regulations governing the procedures for institutions seeking approval to engage in such activities or investments. The Gramm-Leach-Bliley Act of 1999 specified that a state bank may control a subsidiary that engages in activities as principal that would only be permitted for a national bank to conduct in a “financial subsidiary,” if a bank meets specified conditions and deducts its investment in the subsidiary for regulatory capital purposes.</w:t>
      </w:r>
    </w:p>
    <w:p>
      <w:pPr>
        <w:spacing w:after="0" w:line="4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Prompt Corrective Regulatory Action. </w:t>
      </w:r>
      <w:r>
        <w:rPr>
          <w:rFonts w:ascii="Times New Roman" w:cs="Times New Roman" w:eastAsia="Times New Roman" w:hAnsi="Times New Roman"/>
          <w:sz w:val="16"/>
          <w:szCs w:val="16"/>
          <w:color w:val="auto"/>
        </w:rPr>
        <w:t>Federal law requires, among other things, that federal bank regulatory authorities take “prompt corrective action” with respect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banks that do not meet minimum capital requirements. For these purposes, the law establishes five capital categories: well capitalized, adequately capitalized, undercapitalized, significantly undercapitalized and critically undercapitalized.</w:t>
      </w:r>
    </w:p>
    <w:p>
      <w:pPr>
        <w:spacing w:after="0" w:line="6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An institution is deemed to be “well capitalized” if it has a total risk-based capital ratio of 10.0% or greater, a Tier 1 risk-based capital ratio of 8.0% or greater, a leverage ratio of 5.0% or greater and a common equity Tier 1 ratio of 6.5% or greater. An institution is “adequately capitalized” if it has a total risk- based capital ratio of 8.0% or greater, a Tier 1 risk-based capital ratio of 6.0% or greater, a leverage ratio of 4.0% or greater and a common equity Tier 1 ratio of 4.5% or greater. An institution is “undercapitalized” if it has a total risk-based capital ratio of less than 8.0%, a Tier 1 risk -based capital ratio of less than 6.0%, a leverage ratio of less than 4.0% or a common equity Tier 1 ratio of less than 4.5%. An institution is deemed to be “significantly undercapitalized” if it has a total risk- based capital ratio of less than 6.0%, a Tier 1 risk-based capital ratio of less than 4.0%, a leverage ratio of less than 3.0% or a common equity Tier 1 ratio of less than 3.0%. An institution is considered to be “critically undercapitalized” if it has a ratio of tangible equity (as defined in the regulations) to total assets that is equal to or less than 2.0%.</w:t>
      </w:r>
    </w:p>
    <w:p>
      <w:pPr>
        <w:spacing w:after="0" w:line="5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“Undercapitalized” banks must adhere to growth, capital distribution (including dividend) and other limitations and are required to submit a capital restoration plan. A bank’s compliance with such a plan must be guaranteed by any company that controls the undercapitalized institution in an amount equal to the lesser of 5% of the institution’s total assets when deemed undercapitalized or the amount necessary to achieve the status of adequately capitalized. If an “undercapitalized” bank fails to submit an acceptable plan, it is treated as if it is “significantly undercapitalized.” “Significantly undercapitalized” banks must comply with one or more of a number of additional measures, including, but not limited to, a required sale of sufficient voting stock to become adequately capitalized, a requirement to reduce total assets, cessation of taking deposits from correspondent banks, the dismissal of directors or officers and restrictions on interest rates paid on deposits, compensation of executive officers and capital distributions by the parent holding company. “Critically undercapitalized” institutions are subject to additional measures including, subject to a narrow exception, the appointment of a receiver or conservator within 270 days after being designated “critically undercapitalized.”</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6" w:name="page17"/>
    <w:bookmarkEnd w:id="16"/>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Pathfinder Bank was well-capitalized.</w:t>
      </w:r>
    </w:p>
    <w:p>
      <w:pPr>
        <w:spacing w:after="0" w:line="8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Transactions with Affiliates and Loans to Insiders. </w:t>
      </w:r>
      <w:r>
        <w:rPr>
          <w:rFonts w:ascii="Times New Roman" w:cs="Times New Roman" w:eastAsia="Times New Roman" w:hAnsi="Times New Roman"/>
          <w:sz w:val="16"/>
          <w:szCs w:val="16"/>
          <w:color w:val="auto"/>
        </w:rPr>
        <w:t>Transactions between a bank and its affiliates are limited by Sections 23A and 23B of the Federal Reserve Act.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affiliate of a bank is any company or entity that controls, is controlled by or is under common control with the bank. In a holding company context, the parent bank holding company (“BHC”) and any companies which are controlled by such parent holding company are affiliates of the bank. Generally, Sections 23A and 23B of the Federal Reserve Act limit the extent to which the bank or its subsidiaries may engage in “covered transactions” with any one affiliate to 10% of such institution’s capital stock and surplus and contain an aggregate limit on all such transactions with all affiliates to an amount equal to 20% of such institution’s capital stock and surplus. The term “covered transaction” includes the making of loans, purchase of assets, issuance of a guarantee and similar transactions.</w:t>
      </w:r>
    </w:p>
    <w:p>
      <w:pPr>
        <w:spacing w:after="0" w:line="76"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In addition, loans or other extensions of credit by the institution to the affiliate are required to be collateralized in accordance with specified requirements. The law also requires that affiliate transactions be on terms and conditions that are substantially the same, or at least as favorable to the institution, as those provided to non-affiliates.</w:t>
      </w:r>
    </w:p>
    <w:p>
      <w:pPr>
        <w:spacing w:after="0" w:line="1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Pathfinder Bank’s authority to extend credit to its directors, executive officers and 10% shareholders, as well as to entities controlled by such persons, is governed by the requirements of Sections 22(g) and 22(h) of the Federal Reserve Act and Regulation O of the Federal Reserve Board. Among other things, these provisions generally require that extensions of credit to insiders:</w:t>
      </w:r>
    </w:p>
    <w:p>
      <w:pPr>
        <w:spacing w:after="0" w:line="68" w:lineRule="exact"/>
        <w:rPr>
          <w:sz w:val="20"/>
          <w:szCs w:val="20"/>
          <w:color w:val="auto"/>
        </w:rPr>
      </w:pPr>
    </w:p>
    <w:p>
      <w:pPr>
        <w:ind w:left="480" w:right="160"/>
        <w:spacing w:after="0" w:line="331" w:lineRule="auto"/>
        <w:rPr>
          <w:sz w:val="20"/>
          <w:szCs w:val="20"/>
          <w:color w:val="auto"/>
        </w:rPr>
      </w:pPr>
      <w:r>
        <w:rPr>
          <w:rFonts w:ascii="Times New Roman" w:cs="Times New Roman" w:eastAsia="Times New Roman" w:hAnsi="Times New Roman"/>
          <w:sz w:val="14"/>
          <w:szCs w:val="14"/>
          <w:color w:val="auto"/>
        </w:rPr>
        <w:t>•be made on terms that are substantially the same as, and follow credit underwriting procedures that are not less stringent than, those prevailing for comparable transactions with unaffiliated persons and that do not involve more than the normal risk of repayment or present other unfavorable features; and</w:t>
      </w:r>
    </w:p>
    <w:p>
      <w:pPr>
        <w:spacing w:after="0" w:line="12"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•not exceed certain limitations on the amount of credit extended to such persons, individually and in the aggregate, which limits are based, in part, on the amount of Pathfinder Bank’s capital.</w:t>
      </w:r>
    </w:p>
    <w:p>
      <w:pPr>
        <w:spacing w:after="0" w:line="59"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In addition, extensions of credit in excess of certain limits must be approved by Pathfinder Bank’s Board of Directors. Extensions of credit to executive officers are subject to additional limits based on the type of extension involved.</w:t>
      </w:r>
    </w:p>
    <w:p>
      <w:pPr>
        <w:spacing w:after="0" w:line="5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Enforcement. </w:t>
      </w:r>
      <w:r>
        <w:rPr>
          <w:rFonts w:ascii="Times New Roman" w:cs="Times New Roman" w:eastAsia="Times New Roman" w:hAnsi="Times New Roman"/>
          <w:sz w:val="16"/>
          <w:szCs w:val="16"/>
          <w:color w:val="auto"/>
        </w:rPr>
        <w:t>The FDIC has extensive enforcement authority over insured state banks, including Pathfinder Bank. That enforcement authority includes, among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things, the ability to assess civil money penalties, issue cease and desist orders and remove directors and officers. In general, enforcement actions may be initiated in response to violations of laws and regulations, breaches of fiduciary duties and unsafe or unsound practices. The FDIC also has authority under federal law to appoint a conservator or receiver for an insured bank under certain circumstances. The FDIC is required, with certain exceptions, to appoint a receiver or conservator for an insured state non-member bank if the bank was “critically undercapitalized” on average during the calendar quarter beginning 270 days after the date on which the institution became “critically undercapitalized.”</w:t>
      </w:r>
    </w:p>
    <w:p>
      <w:pPr>
        <w:spacing w:after="0" w:line="72"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Federal Insurance of Deposit Accounts. </w:t>
      </w:r>
      <w:r>
        <w:rPr>
          <w:rFonts w:ascii="Times New Roman" w:cs="Times New Roman" w:eastAsia="Times New Roman" w:hAnsi="Times New Roman"/>
          <w:sz w:val="16"/>
          <w:szCs w:val="16"/>
          <w:color w:val="auto"/>
        </w:rPr>
        <w:t>The Dodd-Frank Act permanently increased the maximum amount of deposit insurance for banks, savings institutions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unions to $250,000 per depositor.</w:t>
      </w:r>
    </w:p>
    <w:p>
      <w:pPr>
        <w:spacing w:after="0" w:line="55"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The FDIC assesses insured depository institutions to maintain its Deposit Insurance Fund. Under the FDIC’s risk-based assessment system, institutions deemed less risky pay lower assessments. Assessments for institutions of less than $10 billion of assets are now based on financial measures and supervisory ratings derived from statistical modeling estimating the probability of failure of an institution’s failure within three years.</w:t>
      </w:r>
    </w:p>
    <w:p>
      <w:pPr>
        <w:spacing w:after="0" w:line="6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FDIC has authority to increase insurance assessments and adopted a final rule in October 2022 to increase initial base deposit insurance assessment rates by two basis points beginning in the first quarterly assessment period of 2023. As a result, effective January 1, 2023, assessment rates for institutions of the Bank’s size ranged from 3.5 to 32 basis points. The FDIC may also issue special assessments.</w:t>
      </w:r>
    </w:p>
    <w:p>
      <w:pPr>
        <w:spacing w:after="0" w:line="6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our deposit insurance.</w:t>
      </w:r>
    </w:p>
    <w:p>
      <w:pPr>
        <w:spacing w:after="0" w:line="6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Community Reinvestment Act. </w:t>
      </w:r>
      <w:r>
        <w:rPr>
          <w:rFonts w:ascii="Times New Roman" w:cs="Times New Roman" w:eastAsia="Times New Roman" w:hAnsi="Times New Roman"/>
          <w:sz w:val="16"/>
          <w:szCs w:val="16"/>
          <w:color w:val="auto"/>
        </w:rPr>
        <w:t>Under the CRA, a bank has a continuing and affirmative obligation, consistent with its safe and sound operation, to help meet the credit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needs of its entire community, including low and moderate income neighborhoods. The CRA does not establish specific lending requirements or programs for financial institutions nor does it limit an institution’s discretion to develop the types of products and services that it believes are best suited to its particular community. The CRA does require the FDIC, in connection with its examination of a bank, to assess the institution’s record of meeting the credit needs of its community and to take such record into account in its evaluation of certain applications by such institution, including applications to establish or acquire branches and merger with other depository institutions. The CRA requires the FDIC to provide a written evaluation of an institution’s CRA performance utilizing a four-tiered descriptive rating system. Pathfinder Bank’s latest FDIC CRA rating, dated May 13, 2019, was “satisfactory.”</w:t>
      </w:r>
    </w:p>
    <w:p>
      <w:pPr>
        <w:spacing w:after="0" w:line="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ind w:right="40"/>
        <w:spacing w:after="0" w:line="239" w:lineRule="auto"/>
        <w:rPr>
          <w:sz w:val="20"/>
          <w:szCs w:val="20"/>
          <w:color w:val="auto"/>
        </w:rPr>
      </w:pPr>
      <w:r>
        <w:rPr>
          <w:rFonts w:ascii="Times New Roman" w:cs="Times New Roman" w:eastAsia="Times New Roman" w:hAnsi="Times New Roman"/>
          <w:sz w:val="16"/>
          <w:szCs w:val="16"/>
          <w:color w:val="auto"/>
        </w:rPr>
        <w:t>On October 24, 2023, the FDIC and the other federal banking agencies issued a final rule to strengthen and modernize the CRA regulations. Under the final rule, banks with assets of at least $600 million as of December 31 in both of the prior two calendar years and less than $2 billion as of December 31 in either of the prior two calendar years will be an “intermediate bank.” The agencies will evaluate intermediate banks under the Retail Lending Test and either the current community development test, referred to in the final rule as the Intermediate Bank Community Development Test, or, at the Bank’s option, the Community Development Financing Test. The applicability date for the majority of the provisions in the CRA regulations is January 1, 2026, and additional requirements will be applicable on January 1, 2027. The final rule is subject to ongoing litigation, so the legacy regulations remain currently in effect.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Cybersecurity. </w:t>
      </w:r>
      <w:r>
        <w:rPr>
          <w:rFonts w:ascii="Times New Roman" w:cs="Times New Roman" w:eastAsia="Times New Roman" w:hAnsi="Times New Roman"/>
          <w:sz w:val="16"/>
          <w:szCs w:val="16"/>
          <w:color w:val="auto"/>
        </w:rPr>
        <w:t>Banking organizations are required to notify their primary federal regulator as soon as possible, and no later than 36 hours after, the banking organization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determines that a “computer-security incident” rising to the level of a “notification incident” has occurred. Notification is required for incidents that have materially affected or are reasonably likely to materially affect the viability of a banking organization’s operations, its ability to deliver banking products and services, or the stability of the financial sector. Service providers are required under the rule to notify affected banking organization customers as soon as possible when the provider determines that it has experienced a computer-security incident that has materially affected or is reasonably likely to materially affect the banking organization’s customers for four or more hours.</w:t>
      </w:r>
    </w:p>
    <w:p>
      <w:pPr>
        <w:spacing w:after="0" w:line="72"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Federal Home Loan Bank System. </w:t>
      </w:r>
      <w:r>
        <w:rPr>
          <w:rFonts w:ascii="Times New Roman" w:cs="Times New Roman" w:eastAsia="Times New Roman" w:hAnsi="Times New Roman"/>
          <w:sz w:val="16"/>
          <w:szCs w:val="16"/>
          <w:color w:val="auto"/>
        </w:rPr>
        <w:t>Pathfinder Bank is a member of the Federal Home Loan Bank System, which consists of eleven regional Federal Home Loan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Banks. The Federal Home Loan Bank System provides a central credit facility primarily for member institutions as well as other entities involved in home mortgage lending. As a member of the FHLBNY, Pathfinder Bank is required to acquire and hold a specified amount of shares of capital stock in the FHLBNY. As of December 31, 2024, Pathfinder Bank was in compliance with this requirement.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Regulations</w:t>
      </w:r>
    </w:p>
    <w:p>
      <w:pPr>
        <w:spacing w:after="0" w:line="9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Interest and other charges collected or contracted for by Pathfinder Bank are subject to state usury laws and federal laws concerning interest rates. Pathfinder Bank’s operations are also subject to federal laws applicable to credit transactions, such as the: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•Truth-In-Lending Act, governing disclosures of credit terms to consumer borrowers;</w:t>
      </w:r>
    </w:p>
    <w:p>
      <w:pPr>
        <w:spacing w:after="0" w:line="92" w:lineRule="exact"/>
        <w:rPr>
          <w:sz w:val="20"/>
          <w:szCs w:val="20"/>
          <w:color w:val="auto"/>
        </w:rPr>
      </w:pPr>
    </w:p>
    <w:p>
      <w:pPr>
        <w:ind w:left="480" w:right="260"/>
        <w:spacing w:after="0" w:line="247" w:lineRule="auto"/>
        <w:rPr>
          <w:sz w:val="20"/>
          <w:szCs w:val="20"/>
          <w:color w:val="auto"/>
        </w:rPr>
      </w:pPr>
      <w:r>
        <w:rPr>
          <w:rFonts w:ascii="Times New Roman" w:cs="Times New Roman" w:eastAsia="Times New Roman" w:hAnsi="Times New Roman"/>
          <w:sz w:val="16"/>
          <w:szCs w:val="16"/>
          <w:color w:val="auto"/>
        </w:rPr>
        <w:t>•Real Estate Settlement Procedures Act, requiring that borrowers for mortgage loans for one-to-four family residential real estate receive various disclosures, including good faith estimates of settlement costs, lender servicing and escrow account practices, and prohibiting certain practices that increase the cost of settlement services;</w:t>
      </w:r>
    </w:p>
    <w:p>
      <w:pPr>
        <w:spacing w:after="0" w:line="68"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•The TILA -RESPA Integrated Disclosure Rule, commonly known as the TRID rule. This rule amended the Truth in Lending Act and the Real Estate Settlement Procedures Act to integrate several consumer disclosures for mortgage loans;</w:t>
      </w:r>
    </w:p>
    <w:p>
      <w:pPr>
        <w:spacing w:after="0" w:line="59"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•Home Mortgage Disclosure Act, requiring financial institutions to provide information to enable the public and public officials to determine whether a financial institution is fulfilling its obligation to help meet the housing needs of the community it serves;</w:t>
      </w:r>
    </w:p>
    <w:p>
      <w:pPr>
        <w:spacing w:after="0" w:line="59" w:lineRule="exact"/>
        <w:rPr>
          <w:sz w:val="20"/>
          <w:szCs w:val="20"/>
          <w:color w:val="auto"/>
        </w:rPr>
      </w:pPr>
    </w:p>
    <w:p>
      <w:pPr>
        <w:ind w:left="480" w:right="1860"/>
        <w:spacing w:after="0" w:line="360" w:lineRule="auto"/>
        <w:rPr>
          <w:sz w:val="20"/>
          <w:szCs w:val="20"/>
          <w:color w:val="auto"/>
        </w:rPr>
      </w:pPr>
      <w:r>
        <w:rPr>
          <w:rFonts w:ascii="Times New Roman" w:cs="Times New Roman" w:eastAsia="Times New Roman" w:hAnsi="Times New Roman"/>
          <w:sz w:val="16"/>
          <w:szCs w:val="16"/>
          <w:color w:val="auto"/>
        </w:rPr>
        <w:t>•Equal Credit Opportunity Act, prohibiting discrimination on the basis of race, creed or other prohibited factors in extending credit; •Fair Credit Reporting Act, governing the use and provision of information to credit reporting agencies;</w:t>
      </w:r>
    </w:p>
    <w:p>
      <w:pPr>
        <w:ind w:left="480" w:right="2860"/>
        <w:spacing w:after="0" w:line="360" w:lineRule="auto"/>
        <w:rPr>
          <w:sz w:val="20"/>
          <w:szCs w:val="20"/>
          <w:color w:val="auto"/>
        </w:rPr>
      </w:pPr>
      <w:r>
        <w:rPr>
          <w:rFonts w:ascii="Times New Roman" w:cs="Times New Roman" w:eastAsia="Times New Roman" w:hAnsi="Times New Roman"/>
          <w:sz w:val="16"/>
          <w:szCs w:val="16"/>
          <w:color w:val="auto"/>
        </w:rPr>
        <w:t>•Fair Debt Collection Act, governing the manner in which consumer debts may be collected by collection agencies; •Truth in Savings Act;</w:t>
      </w:r>
    </w:p>
    <w:p>
      <w:pPr>
        <w:ind w:left="480"/>
        <w:spacing w:after="0"/>
        <w:rPr>
          <w:sz w:val="20"/>
          <w:szCs w:val="20"/>
          <w:color w:val="auto"/>
        </w:rPr>
      </w:pPr>
      <w:r>
        <w:rPr>
          <w:rFonts w:ascii="Times New Roman" w:cs="Times New Roman" w:eastAsia="Times New Roman" w:hAnsi="Times New Roman"/>
          <w:sz w:val="16"/>
          <w:szCs w:val="16"/>
          <w:color w:val="auto"/>
        </w:rPr>
        <w:t>•Rules and regulations of the various federal agencies charged with the responsibility of implementing such federal laws;</w:t>
      </w:r>
    </w:p>
    <w:p>
      <w:pPr>
        <w:spacing w:after="0" w:line="9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•Right to Financial Privacy Act, which imposes a duty to maintain confidentiality of consumer financial records and prescribes procedures for complying with administrative subpoenas of financial records;</w:t>
      </w:r>
    </w:p>
    <w:p>
      <w:pPr>
        <w:spacing w:after="0" w:line="59"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•Electronic Funds Transfer Act and Regulation E promulgated thereunder, which govern automatic deposits to and withdrawals from deposit accounts and customers’ rights and liabilities arising from the use of automated teller machines and other electronic banking services;</w:t>
      </w:r>
    </w:p>
    <w:p>
      <w:pPr>
        <w:spacing w:after="0" w:line="72" w:lineRule="exact"/>
        <w:rPr>
          <w:sz w:val="20"/>
          <w:szCs w:val="20"/>
          <w:color w:val="auto"/>
        </w:rPr>
      </w:pPr>
    </w:p>
    <w:p>
      <w:pPr>
        <w:ind w:left="480" w:right="100"/>
        <w:spacing w:after="0" w:line="229" w:lineRule="auto"/>
        <w:rPr>
          <w:sz w:val="20"/>
          <w:szCs w:val="20"/>
          <w:color w:val="auto"/>
        </w:rPr>
      </w:pPr>
      <w:r>
        <w:rPr>
          <w:rFonts w:ascii="Times New Roman" w:cs="Times New Roman" w:eastAsia="Times New Roman" w:hAnsi="Times New Roman"/>
          <w:sz w:val="16"/>
          <w:szCs w:val="16"/>
          <w:color w:val="auto"/>
        </w:rPr>
        <w:t>•Check Clearing for the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Century Act (also known as “Check 21”), which gives “substitute checks,” such as digital check images and copies made from that image, the same legal standing as the original paper check;</w:t>
      </w:r>
    </w:p>
    <w:p>
      <w:pPr>
        <w:spacing w:after="0" w:line="73" w:lineRule="exact"/>
        <w:rPr>
          <w:sz w:val="20"/>
          <w:szCs w:val="20"/>
          <w:color w:val="auto"/>
        </w:rPr>
      </w:pPr>
    </w:p>
    <w:p>
      <w:pPr>
        <w:ind w:left="480" w:right="200"/>
        <w:spacing w:after="0" w:line="299" w:lineRule="auto"/>
        <w:rPr>
          <w:sz w:val="20"/>
          <w:szCs w:val="20"/>
          <w:color w:val="auto"/>
        </w:rPr>
      </w:pPr>
      <w:r>
        <w:rPr>
          <w:rFonts w:ascii="Times New Roman" w:cs="Times New Roman" w:eastAsia="Times New Roman" w:hAnsi="Times New Roman"/>
          <w:sz w:val="14"/>
          <w:szCs w:val="14"/>
          <w:color w:val="auto"/>
        </w:rPr>
        <w:t>•USA PATRIOT Act, which requires banks operating to, among other things, establish broadened anti-money laundering compliance programs, due diligence policies and controls to ensure the detection and reporting of money laundering. Such required compliance programs are intended to supplement existing compliance requirements, also applicable to financial institutions, under the Bank Secrecy Act and the Office of Foreign Assets Control regulations; and</w:t>
      </w:r>
    </w:p>
    <w:p>
      <w:pPr>
        <w:spacing w:after="0" w:line="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49" w:right="700" w:bottom="1440" w:gutter="0" w:footer="0" w:header="0"/>
        </w:sectPr>
      </w:pPr>
    </w:p>
    <w:bookmarkStart w:id="18" w:name="page19"/>
    <w:bookmarkEnd w:id="18"/>
    <w:p>
      <w:pPr>
        <w:spacing w:after="0" w:line="5" w:lineRule="exact"/>
        <w:rPr>
          <w:sz w:val="20"/>
          <w:szCs w:val="20"/>
          <w:color w:val="auto"/>
        </w:rPr>
      </w:pPr>
    </w:p>
    <w:p>
      <w:pPr>
        <w:ind w:left="480" w:right="100"/>
        <w:spacing w:after="0" w:line="243" w:lineRule="auto"/>
        <w:rPr>
          <w:sz w:val="20"/>
          <w:szCs w:val="20"/>
          <w:color w:val="auto"/>
        </w:rPr>
      </w:pPr>
      <w:r>
        <w:rPr>
          <w:rFonts w:ascii="Times New Roman" w:cs="Times New Roman" w:eastAsia="Times New Roman" w:hAnsi="Times New Roman"/>
          <w:sz w:val="16"/>
          <w:szCs w:val="16"/>
          <w:color w:val="auto"/>
        </w:rPr>
        <w:t>•Gramm-Leach- Bliley Act, which places limitations on the sharing of consumer financial information by financial institutions with unaffiliated third parties. Specifically, the Gramm-Leach-Bliley Act requires all financial institutions offering financial products or services to retail customers to provide such customers with the financial institution’s privacy policy and provide such customers the opportunity to “opt out” of the sharing of certain personal financial information with unaffiliated third parties.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Holding Company Regulation</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as a Bank Holding Company ("BHC"), is subject to examination, regulation, and periodic reporting under the Bank Holding Company Act of 1956, as amended, as administered by the Federal Reserve Board. The Company is required to obtain the prior approval of the Federal Reserve Board to acquire all, or substantially all, of the assets of any bank or bank holding company. Prior Federal Reserve Board approval would be required for the Company to acquire direct or indirect ownership or control of any voting securities of any bank or BHC if it would, directly or indirectly, own or control more than 5% of any class of voting shares of the bank or bank holding company.</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 BHC is generally prohibited from engaging in, or acquiring, direct or indirect control of more than 5% of the voting securities of any company engaged in non-banking activities. One of the principal exceptions to this prohibition is for activities found by the Federal Reserve Board to be so closely related to banking or managing or controlling banks as to be a proper incident thereto. Some of the principal activities that the Federal Reserve Board has determined by regulation to be closely related to banking are: (i) making or servicing loans; (ii) performing certain data processing services; (iii) providing securities brokerage services; (iv) acting as fiduciary, investment or financial advisor; (v) leasing personal or real property under certain conditions; (vi) making investments in corporations or projects designed primarily to promote community welfare; and (vii) acquiring a savings association.</w:t>
      </w:r>
    </w:p>
    <w:p>
      <w:pPr>
        <w:spacing w:after="0" w:line="7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Gramm-Leach- Bliley Act of 1999 authorizes a BHC that meets specified conditions, including depository institutions subsidiaries that are “well capitalized” and “well managed,” to opt to become a “financial holding company.” A “financial holding company” may engage in a broader array of financial activities than permitted a typical bank holding company. Such activities can include insurance underwriting and investment banking. The Company has elected to be a “financial holding company.”</w:t>
      </w:r>
    </w:p>
    <w:p>
      <w:pPr>
        <w:spacing w:after="0" w:line="71"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On August 28, 2018, pursuant to EGRRCPA, the Federal Reserve Board issued an interim final rule revising the “Small Bank Holding Company Policy Statement” increasing the consolidated asset limit to $3 billion. Under the Policy Statement, a BHC that meets certain Qualitative Requirements: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•is exempt from the FRB's risk-based capital and leverage rules (Appendixes A and D of Regulation Y); and</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•may use debt to finance up to 75% of the purchase price of an acquisition allowing a BHC to have a debt-to-equity ratio of up to 3:1.</w:t>
      </w:r>
    </w:p>
    <w:p>
      <w:pPr>
        <w:spacing w:after="0" w:line="9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Policy Statement now applies to a BHC with consolidated assets of less than $ 3 billion that meets the following Qualitative Requirements: (i) it is not engaged in significant non -banking activities either directly or through a non-bank subsidiary; (ii) it does not conduct significant off-balance sheet activities, including securitizations or asset management or administration, either directly or through a non-bank subsidiary; or (iii) it does not have a material amount of debt or equity securities outstanding (other than trust preferred securities) that are registered with the SEC. BHCs that meet these Qualitative Requirements are determined to be "Qualifying BHCs". A Qualifying BHC is exempt from the FRB's risk-based capital and leverage rules. As a consequence, it does not have to comply with the Basel III Capital Adequacy rules. Each subsidiary bank of a Qualifying BHC must comply with the Basel III Capital Adequacy rules (or the Community Bank Leverage Ratio) and must be well- capitalized. If any subsidiary bank is not, the Federal Reserve Board expects it to become well-capitalized within a brief period of time. This Policy Statement applies to the Company.</w:t>
      </w:r>
    </w:p>
    <w:p>
      <w:pPr>
        <w:spacing w:after="0" w:line="7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 BHC is generally required to give the Federal Reserve Board prior written notice of any purchase or redemption of then outstanding equity securities if the gross consideration for the purchase or redemption, when combined with the net consideration paid for all such purchases or redemptions during the preceding 12 months, is equal to 10% or more of the company’s consolidated net worth. The Federal Reserve Board may disapprove such a purchase or redemption if it determines that the proposal would constitute an unsafe and unsound practice, or would violate any law, regulation, Federal Reserve Board order or directive, or any condition imposed by, or written agreement with, the Federal Reserve Board. The Federal Reserve Board has adopted an exception to that approval requirement for well-capitalized bank holding companies that meet certain other conditions. The Federal Reserve Board has issued guidance which requires consultation with the Federal Reserve Board prior to a redemption or repurchase in certain circumstances.</w:t>
      </w:r>
    </w:p>
    <w:p>
      <w:pPr>
        <w:spacing w:after="0" w:line="7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Federal Reserve Board has issued a policy statement regarding the payment of dividends by BHCs. In general, the Federal Reserve Board’s policies provide that dividends should be paid only out of current earnings and only if the prospective rate of earnings retention by the BHC appears consistent with the organization’s capital needs, asset quality and overall financial condition. The Federal Reserve Board’s policies also require that a BHC serve as a source of financial strength to its subsidiary banks by using available resources to provide capital funds during periods of financial stress or adversity and by maintaining the financial flexibility and capital-raising capacity to obtain additional resources for assisting its subsidiary banks where necessary. The Dodd-Frank Act codified the source of strength policy. Under the prompt corrective action laws, the ability of a BHC to pay dividends may be restricted if a subsidiary bank</w:t>
      </w:r>
    </w:p>
    <w:p>
      <w:pPr>
        <w:spacing w:after="0" w:line="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 w:name="page20"/>
    <w:bookmarkEnd w:id="1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becomes undercapitalized. These regulatory policies could affect the ability of the Company to pay dividends or otherwise engage in capital distributions.</w:t>
      </w:r>
    </w:p>
    <w:p>
      <w:pPr>
        <w:spacing w:after="0" w:line="92"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6"/>
          <w:szCs w:val="16"/>
          <w:color w:val="auto"/>
        </w:rPr>
        <w:t>The Company and the Bank will be affected by the monetary and fiscal policies of various agencies of the United States Government, including the Federal Reserve System. In view of changing conditions in the national economy and in the money markets, it is impossible for management to accurately predict future changes in monetary policy or the effect of such changes on the business or financial condition of the Company or the Bank.</w:t>
      </w:r>
    </w:p>
    <w:p>
      <w:pPr>
        <w:spacing w:after="0" w:line="6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Company’s status as a registered BHC under the Bank Holding Company Act will not exempt it from certain federal and state laws and regulations applicable to corporations generally, including, without limitation, certain provisions of the federal securities laws.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Securities Laws</w:t>
      </w:r>
    </w:p>
    <w:p>
      <w:pPr>
        <w:spacing w:after="0" w:line="94" w:lineRule="exact"/>
        <w:rPr>
          <w:sz w:val="20"/>
          <w:szCs w:val="20"/>
          <w:color w:val="auto"/>
        </w:rPr>
      </w:pPr>
    </w:p>
    <w:p>
      <w:pPr>
        <w:ind w:right="780"/>
        <w:spacing w:after="0" w:line="259" w:lineRule="auto"/>
        <w:rPr>
          <w:sz w:val="20"/>
          <w:szCs w:val="20"/>
          <w:color w:val="auto"/>
        </w:rPr>
      </w:pPr>
      <w:r>
        <w:rPr>
          <w:rFonts w:ascii="Times New Roman" w:cs="Times New Roman" w:eastAsia="Times New Roman" w:hAnsi="Times New Roman"/>
          <w:sz w:val="16"/>
          <w:szCs w:val="16"/>
          <w:color w:val="auto"/>
        </w:rPr>
        <w:t>The Company’s common stock is registered with the Securities and Exchange Commission under the Securities Exchange Act of 1934. We are subject to the information, proxy solicitation, insider trading restrictions and other requirements under the Securities Exchange Act of 1934.</w:t>
      </w:r>
    </w:p>
    <w:p>
      <w:pPr>
        <w:spacing w:after="0" w:line="5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registration under the Securities Act of 1933 of the Company’s shares of common stock issued in the Company’s initial stock offering does not cover the resale of those shares. Shares of common stock purchased by persons who are not our affiliates may be resold without registration. Shares purchased by our affiliates are subject to the resale restrictions of Rule 144 under the Securities Act of 1933. If we meet the current public information requirements of Rule 144 under the Securities Act of 1933, each affiliate of ours that complies with the other conditions of Rule 144, including those that require the affiliate’s sale to be aggregated with those of other persons, would be able to sell in the public market, without registration, a number of shares not to exceed, in any three- month period, the greater of 1% of our outstanding shares, or the average weekly volume of trading in the shares during the preceding four calendar weeks. In the future, we may permit affiliates to have their shares registered for sale under the Securities Act of 1933.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94"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The Sarbanes-Oxley Act of 2002 addresses, among other issues, corporate governance, auditing and accounting, executive compensation, and enhanced and timely disclosure of corporate information. We have prepared policies, procedures and systems designed to ensure compliance with these regulations.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AND STATE TAXATION</w:t>
      </w:r>
    </w:p>
    <w:p>
      <w:pPr>
        <w:spacing w:after="0" w:line="9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Deferred Income Tax Assets and Liabilities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Deferred income tax assets and liabilities are determined using the liability method. Under this method, the net deferred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tax asset or liability is recognized for the future tax consequences. This is attributable to the differences 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Taxation</w:t>
      </w:r>
    </w:p>
    <w:p>
      <w:pPr>
        <w:spacing w:after="0" w:line="9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General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Bank and the Company are subject to federal income taxation in the same general manner as other corporations, with some exceptions discussed below.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following discussion of federal taxation is intended only to summarize certain pertinent federal income tax matters and is not a comprehensive description of the tax rules applicable to the Company or the Bank.</w:t>
      </w:r>
    </w:p>
    <w:p>
      <w:pPr>
        <w:spacing w:after="0" w:line="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Company’s federal tax returns are statutorily subject to potential audit for the years 2021 through 2024. No federal income tax returns are under audit as of the date of this report.</w:t>
      </w:r>
    </w:p>
    <w:p>
      <w:pPr>
        <w:spacing w:after="0" w:line="5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Method of Accounting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federal income tax purposes, the Company currently reports its income and expenses on the accrual method of accounting and uses a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ending December 31 for filing its federal and state income tax returns.</w:t>
      </w:r>
    </w:p>
    <w:p>
      <w:pPr>
        <w:spacing w:after="0" w:line="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Bad Debt Reserves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 1996, Pathfinder Bank was permitted to establish a reserve for bad debts and to make annual additions to the reserve. These additions could,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within specified formula limits, be deducted in arriving at our taxable income. As a result of tax law changes in 1996, Pathfinder Bank was required to use the specific charge-off method in computing its bad debt deduction beginning with its 1996 federal tax return. Savings institutions were required to recapture any excess reserves over those established as of December 31, 1987 (base year reserve). At December 31, 2024, Pathfinder Bank had no reserves subject to recapture in excess of its base year reserves. The Bank continues to be required to use the specific charge-off method to account for tax bad debt deductions.</w:t>
      </w:r>
    </w:p>
    <w:p>
      <w:pPr>
        <w:spacing w:after="0" w:line="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 w:name="page21"/>
    <w:bookmarkEnd w:id="20"/>
    <w:p>
      <w:pPr>
        <w:spacing w:after="0" w:line="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Taxable Distributions and Recapture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 1996, bad debt reserves created prior to 1988 were subject to recapture into taxable income if Pathfinder Bank failed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meet certain thrift asset and definitional tests or made certain distributions. Tax law changes in 1996 eliminated thrift-related recapture rules. However, under current law, pre-1988 tax bad debt reserves remain subject to recapture if Pathfinder Bank makes certain non-dividend distributions, repurchases any of its common stock, pays dividends in excess of earnings and profits, or fails to qualify as a “bank” for tax purposes. At December 31, 2024, our total federal pre-base year bad debt reserve was approximately $1.3 million.</w:t>
      </w:r>
    </w:p>
    <w:p>
      <w:pPr>
        <w:spacing w:after="0" w:line="6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Operating Loss Carryovers. </w:t>
      </w:r>
      <w:r>
        <w:rPr>
          <w:rFonts w:ascii="Times New Roman" w:cs="Times New Roman" w:eastAsia="Times New Roman" w:hAnsi="Times New Roman"/>
          <w:sz w:val="16"/>
          <w:szCs w:val="16"/>
          <w:color w:val="auto"/>
        </w:rPr>
        <w:t>Federal tax law allows net operating losses to be carried forward indefinitely with the net operating loss deduction limited to 80%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taxable income in any carryforward year.</w:t>
      </w:r>
    </w:p>
    <w:p>
      <w:pPr>
        <w:spacing w:after="0" w:line="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Dividends Received Deduction. </w:t>
      </w:r>
      <w:r>
        <w:rPr>
          <w:rFonts w:ascii="Times New Roman" w:cs="Times New Roman" w:eastAsia="Times New Roman" w:hAnsi="Times New Roman"/>
          <w:sz w:val="16"/>
          <w:szCs w:val="16"/>
          <w:color w:val="auto"/>
        </w:rPr>
        <w:t>The Company may exclude from its federal taxable income 100% of dividends received from Pathfinder Bank as a wholly-owned subsidiary by filing consolidated tax returns. The corporate dividends received deduction is 65% when the corporation receiving the dividend owns at least 20% of the stock of the distributing corporation. The dividends-received deduction is 50% when the corporation receiving the dividend owns less than 20% of the distributing corporation.</w:t>
      </w:r>
    </w:p>
    <w:p>
      <w:pPr>
        <w:spacing w:after="0" w:line="68"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Employee Compensation. </w:t>
      </w:r>
      <w:r>
        <w:rPr>
          <w:rFonts w:ascii="Times New Roman" w:cs="Times New Roman" w:eastAsia="Times New Roman" w:hAnsi="Times New Roman"/>
          <w:sz w:val="16"/>
          <w:szCs w:val="16"/>
          <w:color w:val="auto"/>
        </w:rPr>
        <w:t>A publicly held corporation is not permitted to deduct compensation in excess of $1 million per year paid to certain employees. Federal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law eliminates certain exceptions to the $1 million limit applicable under prior law related to performance-based compensation, such as equity grants and cash bonuses that are paid only on the attainment of performance goals.</w:t>
      </w:r>
    </w:p>
    <w:p>
      <w:pPr>
        <w:spacing w:after="0" w:line="64"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Asset Expensing. </w:t>
      </w:r>
      <w:r>
        <w:rPr>
          <w:rFonts w:ascii="Times New Roman" w:cs="Times New Roman" w:eastAsia="Times New Roman" w:hAnsi="Times New Roman"/>
          <w:sz w:val="16"/>
          <w:szCs w:val="16"/>
          <w:color w:val="auto"/>
        </w:rPr>
        <w:t>Federal tax law allows taxpayers to immediately expense the entire cost of certain depreciable tangible property and real property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improvements acquired and placed in service after September 27, 2017 and before January 1, 2023 (with an additional year for certain property). This 100% bonus depreciation is phased out proportionately for property placed in service on or after January 1, 2023 and before January 1, 2027 (with an additional year for certain property).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 Taxation</w:t>
      </w:r>
    </w:p>
    <w:p>
      <w:pPr>
        <w:spacing w:after="0" w:line="9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Pathfinder Bancorp, Inc., Pathfinder Bank, Whispering Oaks, and Pathfinder Risk Management Corporation report income on a combined basis to New York State. The New York State franchise tax is imposed in an amount equal to the greater of 6.5% of Business Income for companies with a Business Income Base up to $5 million, or 7.25% for companies with a Business Income Base greater than $5 million, 0.1875% of average Business Capital, or a fixed dollar amount based on New York sourced gross receipts.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Maryland business corporation, the Company is required to file an annual report with, and pay franchise taxes to, the State of Maryland.</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 w:name="page22"/>
    <w:bookmarkEnd w:id="21"/>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HUMAN CAPITAL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94" w:lineRule="exact"/>
        <w:rPr>
          <w:sz w:val="20"/>
          <w:szCs w:val="20"/>
          <w:color w:val="auto"/>
        </w:rPr>
      </w:pPr>
    </w:p>
    <w:p>
      <w:pPr>
        <w:jc w:val="both"/>
        <w:ind w:right="160"/>
        <w:spacing w:after="0" w:line="331" w:lineRule="auto"/>
        <w:rPr>
          <w:sz w:val="20"/>
          <w:szCs w:val="20"/>
          <w:color w:val="auto"/>
        </w:rPr>
      </w:pPr>
      <w:r>
        <w:rPr>
          <w:rFonts w:ascii="Times New Roman" w:cs="Times New Roman" w:eastAsia="Times New Roman" w:hAnsi="Times New Roman"/>
          <w:sz w:val="14"/>
          <w:szCs w:val="14"/>
          <w:color w:val="auto"/>
        </w:rPr>
        <w:t>Our Mission, which is thoroughly communicated to all of our team members, is “To foster relationships with individuals and businesses within our communities to be the financial provider of choice. Our goal is to continually enhance the value of the Bank for the benefit of our shareholders, customers, employees and communities.”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Values</w:t>
      </w:r>
    </w:p>
    <w:p>
      <w:pPr>
        <w:spacing w:after="0" w:line="9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Our workplace culture is grounded in our customer and employee value proposition. We have adopted a formally-stated set of Values, which are also ingrained in our human capital resource management programs. These Values state that we are:</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•Competent Professionals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•Service-Driven</w:t>
      </w:r>
    </w:p>
    <w:p>
      <w:pPr>
        <w:ind w:left="400"/>
        <w:spacing w:after="0" w:line="234" w:lineRule="auto"/>
        <w:rPr>
          <w:sz w:val="20"/>
          <w:szCs w:val="20"/>
          <w:color w:val="auto"/>
        </w:rPr>
      </w:pPr>
      <w:r>
        <w:rPr>
          <w:rFonts w:ascii="Times New Roman" w:cs="Times New Roman" w:eastAsia="Times New Roman" w:hAnsi="Times New Roman"/>
          <w:sz w:val="16"/>
          <w:szCs w:val="16"/>
          <w:color w:val="auto"/>
        </w:rPr>
        <w:t>•A Family</w:t>
      </w:r>
    </w:p>
    <w:p>
      <w:pPr>
        <w:ind w:left="400"/>
        <w:spacing w:after="0" w:line="235" w:lineRule="auto"/>
        <w:rPr>
          <w:sz w:val="20"/>
          <w:szCs w:val="20"/>
          <w:color w:val="auto"/>
        </w:rPr>
      </w:pPr>
      <w:r>
        <w:rPr>
          <w:rFonts w:ascii="Times New Roman" w:cs="Times New Roman" w:eastAsia="Times New Roman" w:hAnsi="Times New Roman"/>
          <w:sz w:val="16"/>
          <w:szCs w:val="16"/>
          <w:color w:val="auto"/>
        </w:rPr>
        <w:t>•Respectful</w:t>
      </w:r>
    </w:p>
    <w:p>
      <w:pPr>
        <w:ind w:left="400"/>
        <w:spacing w:after="0" w:line="235" w:lineRule="auto"/>
        <w:rPr>
          <w:sz w:val="20"/>
          <w:szCs w:val="20"/>
          <w:color w:val="auto"/>
        </w:rPr>
      </w:pPr>
      <w:r>
        <w:rPr>
          <w:rFonts w:ascii="Times New Roman" w:cs="Times New Roman" w:eastAsia="Times New Roman" w:hAnsi="Times New Roman"/>
          <w:sz w:val="16"/>
          <w:szCs w:val="16"/>
          <w:color w:val="auto"/>
        </w:rPr>
        <w:t>•Compassionate</w:t>
      </w:r>
    </w:p>
    <w:p>
      <w:pPr>
        <w:ind w:left="400"/>
        <w:spacing w:after="0" w:line="235" w:lineRule="auto"/>
        <w:rPr>
          <w:sz w:val="20"/>
          <w:szCs w:val="20"/>
          <w:color w:val="auto"/>
        </w:rPr>
      </w:pPr>
      <w:r>
        <w:rPr>
          <w:rFonts w:ascii="Times New Roman" w:cs="Times New Roman" w:eastAsia="Times New Roman" w:hAnsi="Times New Roman"/>
          <w:sz w:val="16"/>
          <w:szCs w:val="16"/>
          <w:color w:val="auto"/>
        </w:rPr>
        <w:t>•Proud</w:t>
      </w:r>
    </w:p>
    <w:p>
      <w:pPr>
        <w:ind w:left="400"/>
        <w:spacing w:after="0"/>
        <w:rPr>
          <w:sz w:val="20"/>
          <w:szCs w:val="20"/>
          <w:color w:val="auto"/>
        </w:rPr>
      </w:pPr>
      <w:r>
        <w:rPr>
          <w:rFonts w:ascii="Times New Roman" w:cs="Times New Roman" w:eastAsia="Times New Roman" w:hAnsi="Times New Roman"/>
          <w:sz w:val="16"/>
          <w:szCs w:val="16"/>
          <w:color w:val="auto"/>
        </w:rPr>
        <w:t>•Honest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the Values, outlined above, are further defined in our internal communications, recognition programs, training programs and team-oriented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success of our business is highly dependent on our team members, who provide value to our customers and communities through their dedication to our mission and values. We define, exemplify and foster our culture by the Values listed above. We value our team members by investing in a healthy work-life balance, competitive compensation and benefit packages, and a vibrant, team-oriented environment centered on professional service and open communication among team members. We strive to build and maintain a high-performing culture by creating a work environment that attracts and retains outstanding, engaged team members who embody our company mantra of "</w:t>
      </w:r>
      <w:r>
        <w:rPr>
          <w:rFonts w:ascii="Times New Roman" w:cs="Times New Roman" w:eastAsia="Times New Roman" w:hAnsi="Times New Roman"/>
          <w:sz w:val="16"/>
          <w:szCs w:val="16"/>
          <w:i w:val="1"/>
          <w:iCs w:val="1"/>
          <w:color w:val="auto"/>
        </w:rPr>
        <w:t>Local. Community. Trust.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Demographics</w:t>
      </w:r>
    </w:p>
    <w:p>
      <w:pPr>
        <w:spacing w:after="0" w:line="94"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At December 31, 2024, we employed 186 team members, of which 172 were full- time, 10 were part-time, three were interns, and one was temporary. Our staff is comprised of approximately 74% women. We continue to grow and employ team members respectively across our three-county footprint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3060" w:type="dxa"/>
            <w:vAlign w:val="bottom"/>
            <w:shd w:val="clear" w:color="auto" w:fill="CFF0FC"/>
          </w:tcPr>
          <w:p>
            <w:pPr>
              <w:jc w:val="center"/>
              <w:ind w:right="342"/>
              <w:spacing w:after="0"/>
              <w:rPr>
                <w:sz w:val="20"/>
                <w:szCs w:val="20"/>
                <w:color w:val="auto"/>
              </w:rPr>
            </w:pPr>
            <w:r>
              <w:rPr>
                <w:rFonts w:ascii="Times New Roman" w:cs="Times New Roman" w:eastAsia="Times New Roman" w:hAnsi="Times New Roman"/>
                <w:sz w:val="16"/>
                <w:szCs w:val="16"/>
                <w:color w:val="auto"/>
                <w:w w:val="98"/>
              </w:rPr>
              <w:t>Headcount</w:t>
            </w:r>
          </w:p>
        </w:tc>
      </w:tr>
      <w:tr>
        <w:trPr>
          <w:trHeight w:val="180"/>
        </w:trPr>
        <w:tc>
          <w:tcPr>
            <w:tcW w:w="1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12/31/2024</w:t>
            </w:r>
          </w:p>
        </w:tc>
        <w:tc>
          <w:tcPr>
            <w:tcW w:w="3060" w:type="dxa"/>
            <w:vAlign w:val="bottom"/>
          </w:tcPr>
          <w:p>
            <w:pPr>
              <w:jc w:val="center"/>
              <w:ind w:right="342"/>
              <w:spacing w:after="0" w:line="180" w:lineRule="exact"/>
              <w:rPr>
                <w:sz w:val="20"/>
                <w:szCs w:val="20"/>
                <w:color w:val="auto"/>
              </w:rPr>
            </w:pPr>
            <w:r>
              <w:rPr>
                <w:rFonts w:ascii="Times New Roman" w:cs="Times New Roman" w:eastAsia="Times New Roman" w:hAnsi="Times New Roman"/>
                <w:sz w:val="16"/>
                <w:szCs w:val="16"/>
                <w:color w:val="auto"/>
                <w:w w:val="99"/>
              </w:rPr>
              <w:t>186</w:t>
            </w:r>
          </w:p>
        </w:tc>
      </w:tr>
      <w:tr>
        <w:trPr>
          <w:trHeight w:val="180"/>
        </w:trPr>
        <w:tc>
          <w:tcPr>
            <w:tcW w:w="1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12/31/2023</w:t>
            </w:r>
          </w:p>
        </w:tc>
        <w:tc>
          <w:tcPr>
            <w:tcW w:w="3060" w:type="dxa"/>
            <w:vAlign w:val="bottom"/>
            <w:shd w:val="clear" w:color="auto" w:fill="CFF0FC"/>
          </w:tcPr>
          <w:p>
            <w:pPr>
              <w:jc w:val="center"/>
              <w:ind w:right="342"/>
              <w:spacing w:after="0" w:line="180" w:lineRule="exact"/>
              <w:rPr>
                <w:sz w:val="20"/>
                <w:szCs w:val="20"/>
                <w:color w:val="auto"/>
              </w:rPr>
            </w:pPr>
            <w:r>
              <w:rPr>
                <w:rFonts w:ascii="Times New Roman" w:cs="Times New Roman" w:eastAsia="Times New Roman" w:hAnsi="Times New Roman"/>
                <w:sz w:val="16"/>
                <w:szCs w:val="16"/>
                <w:color w:val="auto"/>
                <w:w w:val="99"/>
              </w:rPr>
              <w:t>174</w:t>
            </w:r>
          </w:p>
        </w:tc>
      </w:tr>
      <w:tr>
        <w:trPr>
          <w:trHeight w:val="180"/>
        </w:trPr>
        <w:tc>
          <w:tcPr>
            <w:tcW w:w="17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12/31/2022</w:t>
            </w:r>
          </w:p>
        </w:tc>
        <w:tc>
          <w:tcPr>
            <w:tcW w:w="3060" w:type="dxa"/>
            <w:vAlign w:val="bottom"/>
          </w:tcPr>
          <w:p>
            <w:pPr>
              <w:jc w:val="center"/>
              <w:ind w:right="342"/>
              <w:spacing w:after="0" w:line="180" w:lineRule="exact"/>
              <w:rPr>
                <w:sz w:val="20"/>
                <w:szCs w:val="20"/>
                <w:color w:val="auto"/>
              </w:rPr>
            </w:pPr>
            <w:r>
              <w:rPr>
                <w:rFonts w:ascii="Times New Roman" w:cs="Times New Roman" w:eastAsia="Times New Roman" w:hAnsi="Times New Roman"/>
                <w:sz w:val="16"/>
                <w:szCs w:val="16"/>
                <w:color w:val="auto"/>
                <w:w w:val="99"/>
              </w:rPr>
              <w:t>174</w:t>
            </w:r>
          </w:p>
        </w:tc>
      </w:tr>
      <w:tr>
        <w:trPr>
          <w:trHeight w:val="180"/>
        </w:trPr>
        <w:tc>
          <w:tcPr>
            <w:tcW w:w="17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12/31/2021</w:t>
            </w:r>
          </w:p>
        </w:tc>
        <w:tc>
          <w:tcPr>
            <w:tcW w:w="3060" w:type="dxa"/>
            <w:vAlign w:val="bottom"/>
            <w:shd w:val="clear" w:color="auto" w:fill="CFF0FC"/>
          </w:tcPr>
          <w:p>
            <w:pPr>
              <w:jc w:val="center"/>
              <w:ind w:right="342"/>
              <w:spacing w:after="0" w:line="180" w:lineRule="exact"/>
              <w:rPr>
                <w:sz w:val="20"/>
                <w:szCs w:val="20"/>
                <w:color w:val="auto"/>
              </w:rPr>
            </w:pPr>
            <w:r>
              <w:rPr>
                <w:rFonts w:ascii="Times New Roman" w:cs="Times New Roman" w:eastAsia="Times New Roman" w:hAnsi="Times New Roman"/>
                <w:sz w:val="16"/>
                <w:szCs w:val="16"/>
                <w:color w:val="auto"/>
                <w:w w:val="99"/>
              </w:rPr>
              <w:t>173</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12/31/2020</w:t>
            </w:r>
          </w:p>
        </w:tc>
        <w:tc>
          <w:tcPr>
            <w:tcW w:w="3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9"/>
              </w:rPr>
              <w:t>183</w:t>
            </w:r>
          </w:p>
        </w:tc>
      </w:tr>
    </w:tbl>
    <w:p>
      <w:pPr>
        <w:spacing w:after="0" w:line="1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At December 31, 2024, approximately 55% of our staff was employed at our bank branch and loan production offices, with the remainder of our team employed within all other functional areas, including our customer-facing electronic commerce and call center units. None of these employees are represented by a collective bargaining agreement and management considers its relationship with employees to be good. During fiscal year 2024, we hired 71 employees, of which 56 were full-time, four were part-time, four were temporary, and seven were interns. Our voluntary turnover rates for the previous five years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Voluntary Turnover %</w:t>
            </w:r>
          </w:p>
        </w:tc>
      </w:tr>
      <w:tr>
        <w:trPr>
          <w:trHeight w:val="19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23.7%</w:t>
            </w:r>
          </w:p>
        </w:tc>
      </w:tr>
      <w:tr>
        <w:trPr>
          <w:trHeight w:val="180"/>
        </w:trPr>
        <w:tc>
          <w:tcPr>
            <w:tcW w:w="1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3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23.4%</w:t>
            </w:r>
          </w:p>
        </w:tc>
      </w:tr>
      <w:tr>
        <w:trPr>
          <w:trHeight w:val="180"/>
        </w:trPr>
        <w:tc>
          <w:tcPr>
            <w:tcW w:w="1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34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25.0%</w:t>
            </w:r>
          </w:p>
        </w:tc>
      </w:tr>
      <w:tr>
        <w:trPr>
          <w:trHeight w:val="180"/>
        </w:trPr>
        <w:tc>
          <w:tcPr>
            <w:tcW w:w="1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2021</w:t>
            </w:r>
          </w:p>
        </w:tc>
        <w:tc>
          <w:tcPr>
            <w:tcW w:w="34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24.2%</w:t>
            </w:r>
          </w:p>
        </w:tc>
      </w:tr>
      <w:tr>
        <w:trPr>
          <w:trHeight w:val="20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13.2%</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Culture</w:t>
      </w:r>
    </w:p>
    <w:p>
      <w:pPr>
        <w:spacing w:after="0" w:line="118"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6"/>
          <w:szCs w:val="16"/>
          <w:color w:val="auto"/>
        </w:rPr>
        <w:t>An open-minded community that engages excellence is fundamental to supporting the Pathfinder Bank vision to be a local bank that the community trusts. The communities in which we serve include persons of various race, ethnicity, gender, sexual orientation,</w:t>
      </w:r>
    </w:p>
    <w:p>
      <w:pPr>
        <w:spacing w:after="0" w:line="4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socio-economic status, age, physical and cognitive ability, religion and political belief. We are committed to valuing and sharing the strength of our differences in a safe and positive environment, while maintaining selection and promotion processes that are without bias.</w:t>
      </w:r>
    </w:p>
    <w:p>
      <w:pPr>
        <w:spacing w:after="0" w:line="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This commitment is essential to reflecting the values of our team members and the society we serve today. It makes business sense because it helps us to attract and retain the best talent, it enables us to understand and meet clients' needs more effectively and thus provide a better quality service. We continue our commitment to equal employment opportunity through a robust anti-discrimination plan, which includes annual compensation analyses and ongoing reviews of our selection and hiring practices.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2024, the population of our workforce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Ethnicity</w:t>
            </w:r>
          </w:p>
        </w:tc>
        <w:tc>
          <w:tcPr>
            <w:tcW w:w="14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American Indian or Alaska Native</w:t>
            </w:r>
          </w:p>
        </w:tc>
        <w:tc>
          <w:tcPr>
            <w:tcW w:w="1400" w:type="dxa"/>
            <w:vAlign w:val="bottom"/>
            <w:shd w:val="clear" w:color="auto" w:fill="CFF0FC"/>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3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Asian</w:t>
            </w:r>
          </w:p>
        </w:tc>
        <w:tc>
          <w:tcPr>
            <w:tcW w:w="1400" w:type="dxa"/>
            <w:vAlign w:val="bottom"/>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Black or African American</w:t>
            </w:r>
          </w:p>
        </w:tc>
        <w:tc>
          <w:tcPr>
            <w:tcW w:w="1400" w:type="dxa"/>
            <w:vAlign w:val="bottom"/>
            <w:shd w:val="clear" w:color="auto" w:fill="CFF0FC"/>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3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Hispanic or Latino</w:t>
            </w:r>
          </w:p>
        </w:tc>
        <w:tc>
          <w:tcPr>
            <w:tcW w:w="1400" w:type="dxa"/>
            <w:vAlign w:val="bottom"/>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Two or more races (Not Hispanic or Latino)</w:t>
            </w:r>
          </w:p>
        </w:tc>
        <w:tc>
          <w:tcPr>
            <w:tcW w:w="1400" w:type="dxa"/>
            <w:vAlign w:val="bottom"/>
            <w:shd w:val="clear" w:color="auto" w:fill="CFF0FC"/>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White</w:t>
            </w:r>
          </w:p>
        </w:tc>
        <w:tc>
          <w:tcPr>
            <w:tcW w:w="14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6"/>
              </w:rPr>
              <w:t>94.2%</w:t>
            </w:r>
          </w:p>
        </w:tc>
      </w:tr>
      <w:tr>
        <w:trPr>
          <w:trHeight w:val="361"/>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 Range</w:t>
            </w:r>
          </w:p>
        </w:tc>
        <w:tc>
          <w:tcPr>
            <w:tcW w:w="14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w:t>
            </w: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18-25</w:t>
            </w:r>
          </w:p>
        </w:tc>
        <w:tc>
          <w:tcPr>
            <w:tcW w:w="1400" w:type="dxa"/>
            <w:vAlign w:val="bottom"/>
            <w:shd w:val="clear" w:color="auto" w:fill="CFF0FC"/>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87"/>
              </w:rPr>
              <w:t>21</w:t>
            </w:r>
          </w:p>
        </w:tc>
      </w:tr>
      <w:tr>
        <w:trPr>
          <w:trHeight w:val="180"/>
        </w:trPr>
        <w:tc>
          <w:tcPr>
            <w:tcW w:w="3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26-35</w:t>
            </w:r>
          </w:p>
        </w:tc>
        <w:tc>
          <w:tcPr>
            <w:tcW w:w="1400" w:type="dxa"/>
            <w:vAlign w:val="bottom"/>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87"/>
              </w:rPr>
              <w:t>63</w:t>
            </w: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36-45</w:t>
            </w:r>
          </w:p>
        </w:tc>
        <w:tc>
          <w:tcPr>
            <w:tcW w:w="1400" w:type="dxa"/>
            <w:vAlign w:val="bottom"/>
            <w:shd w:val="clear" w:color="auto" w:fill="CFF0FC"/>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87"/>
              </w:rPr>
              <w:t>46</w:t>
            </w:r>
          </w:p>
        </w:tc>
      </w:tr>
      <w:tr>
        <w:trPr>
          <w:trHeight w:val="180"/>
        </w:trPr>
        <w:tc>
          <w:tcPr>
            <w:tcW w:w="3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46-55</w:t>
            </w:r>
          </w:p>
        </w:tc>
        <w:tc>
          <w:tcPr>
            <w:tcW w:w="1400" w:type="dxa"/>
            <w:vAlign w:val="bottom"/>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87"/>
              </w:rPr>
              <w:t>22</w:t>
            </w:r>
          </w:p>
        </w:tc>
      </w:tr>
      <w:tr>
        <w:trPr>
          <w:trHeight w:val="180"/>
        </w:trPr>
        <w:tc>
          <w:tcPr>
            <w:tcW w:w="3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56-65</w:t>
            </w:r>
          </w:p>
        </w:tc>
        <w:tc>
          <w:tcPr>
            <w:tcW w:w="1400" w:type="dxa"/>
            <w:vAlign w:val="bottom"/>
            <w:shd w:val="clear" w:color="auto" w:fill="CFF0FC"/>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87"/>
              </w:rPr>
              <w:t>29</w:t>
            </w:r>
          </w:p>
        </w:tc>
      </w:tr>
      <w:tr>
        <w:trPr>
          <w:trHeight w:val="180"/>
        </w:trPr>
        <w:tc>
          <w:tcPr>
            <w:tcW w:w="3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Over 65</w:t>
            </w:r>
          </w:p>
        </w:tc>
        <w:tc>
          <w:tcPr>
            <w:tcW w:w="140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9"/>
              </w:rPr>
              <w:t>5</w:t>
            </w:r>
          </w:p>
        </w:tc>
      </w:tr>
      <w:tr>
        <w:trPr>
          <w:trHeight w:val="220"/>
        </w:trPr>
        <w:tc>
          <w:tcPr>
            <w:tcW w:w="336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Grand Total</w:t>
            </w:r>
          </w:p>
        </w:tc>
        <w:tc>
          <w:tcPr>
            <w:tcW w:w="1400" w:type="dxa"/>
            <w:vAlign w:val="bottom"/>
            <w:tcBorders>
              <w:bottom w:val="single" w:sz="8" w:color="auto"/>
            </w:tcBorders>
            <w:shd w:val="clear" w:color="auto" w:fill="CFF0FC"/>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9"/>
              </w:rPr>
              <w:t>186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9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We provide a competitive compensation and benefits program to help meet the needs of our team members. In addition to salaries, these programs include annual bonuses, stock awards, a 401(k) Plan with an employer matching contribution in addition to an employer -paid annual contribution, healthcare and other insurance benefits, health savings, flexible spending accounts, paid time off, family leave, identity theft protection, telemedicine service, and an employee assistance program, including mental health services. The Company has surveyed employees to determine their benefits program preferences and has made program changes accordingly.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Learning and Development</w:t>
      </w:r>
    </w:p>
    <w:p>
      <w:pPr>
        <w:spacing w:after="0" w:line="9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We invest in the growth and development of our team members by providing a multi-dimensional approach to learning that empowers, intellectually grows, and professionally develops our colleagues. We encourage and support the growth and development of our team members and, wherever possible, seek to fill positions by promotion and transfer from within the organization. Continual learning and career development is advanced through performance and development conversations between team members and their managers, internally developed training programs, customized corporate training engagements and educational reimbursement programs. Reimbursement is available to team members enrolled in pre -approved degree or certification programs at accredited institutions that teach skills or knowledge relevant to our business, in compliance with Section 127 of the Internal Revenue Code, and for seminars, conferences, and other training events team members attend in connection with their job duties.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Retention Efforts</w:t>
      </w:r>
    </w:p>
    <w:p>
      <w:pPr>
        <w:spacing w:after="0" w:line="9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Employee retention helps us operate efficiently and achieve one of our business objectives. We believe our commitment to living out our core values, actively prioritizing concern for our team members’ well-being, supporting our team members’ career goals, offering competitive wages and providing valuable fringe benefits aids in retention of our top-performing team members. At December 31, 2024, 26.9% of our current staff had been with us for ten years or more. There is a team assigned to retention efforts as a strategic initiative for 2025 and forward.</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 w:name="page24"/>
    <w:bookmarkEnd w:id="23"/>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required of a smaller reporting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The Company considers cybersecurity a subset of information security, and as such, cybersecurity risks and controls are assessed in our information security risk assessment and managed in our Information &amp; Cybersecurity Program &amp; Policy ("ICPP"). The ICPP is developed and maintained utilizing the Federal Financial Institutions Examination Council ("FFIEC") Information Technology Examination Handbook, FDIC and NYSDFS guidance and regulations, and Gramm- Leach–Bliley Act, and represents the standards, policies, procedures, and guidelines defining the Company’s security requirements and related activities, which includes risk management and risk assessment practices. Management has designated the Information Security Officer ("ISO"), who has 15 years of experience, along with the Technology Steering Committee, with implementing and monitoring the ICPP. The Company’s Information Technology ("IT") department consists of the Chief Information Officer ("CIO"), who has 16 years of experience with the Company, and other key personnel who have years of experience and various certifications related to assessing and managing cybersecurity risk. Additionally, the Company has developed a comprehensive enterprise risk management program to monitor risks related to its operations, including cybersecurity risk, and the Company’s Chief Risk Officer has primary responsibility for the enterprise risk management program. Management also engages the services of third parties to assist the ISO with their tasks. The Company believes that risk management is a component of overall governance and that IT risk management is a component of overall risk management.</w:t>
      </w:r>
    </w:p>
    <w:p>
      <w:pPr>
        <w:spacing w:after="0" w:line="7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The Company recognizes that our overall security culture contributes to the effectiveness of our ICPP. The Company has developed an enterprise risk management program that identifies, prioritizes and provides a formal structure for the internal and external risks that impact the organization. The Board of Directors sets the tone and direction for the Company’s use of IT and has identified the Technology Steering Committee as having primary responsibility for oversight of the Company’s risk exposures and risk assessments and policies, including risks related to cybersecurity. The Board of Directors and Technology Steering Committee approve and periodically review and re -approve the policy and other IT related policies. While the Board of Directors may delegate the design, implementation, and monitoring of certain IT activities to the CIO or designee, the full Board of Directors remains responsible for overseeing IT strategies and policies, including cybersecurity. To help carry out their responsibilities, Directors, management, and all employees are periodically trained to understand IT activities and risks, including cybersecurity risks. Management, via the Technology Steering Committee and ISO, or combination, provides a status report to the Board of Directors at least annually, with more frequent communications as necessary. The report describes the overall status of the ICPP and material matters related to the program, including security breaches, cybersecurity assessments, cybersecurity awareness training for employees and the Board of Directors.</w:t>
      </w:r>
    </w:p>
    <w:p>
      <w:pPr>
        <w:spacing w:after="0" w:line="8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Company utilizes third-party threat analysis tools such as penetration testing and vulnerability scanning to assist in understanding and supporting the measurement of information security related risks. Additionally, the Company uses a third-party tool to help management identify current cybersecurity risks and control maturity levels, and to evaluate overall cybersecurity preparedness. The Company conducts gap analysis and action plans designed to identify potential actions that improve our overall cybersecurity posture, and periodically reevaluates both cybersecurity risks and controls to assure they are commensurate with our size and complexity and are keeping pace with the overall cybersecurity threat environment.</w:t>
      </w:r>
    </w:p>
    <w:p>
      <w:pPr>
        <w:spacing w:after="0" w:line="73"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Management also obtains, analyzes, and responds to information from various sources on cybersecurity threats and vulnerabilities that may affect the Company, while incorporating available information on cybersecurity events into our risk assessment. Additionally, management develops, maintains, and updates a repository of cybersecurity threat and vulnerability information that may be used in conducting risk assessments, and ultimately provide updates to the Board of Directors on cybersecurity risk trends. The Company has not experienced any cybersecurity incidents in the past that have individually or in the aggregate had a materially adverse effect on our business, financial condition or results of operations.</w:t>
      </w:r>
    </w:p>
    <w:p>
      <w:pPr>
        <w:spacing w:after="0" w:line="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Additionally, the Company conducts due diligence in the selection and on-going monitoring of third-party service providers. Management is responsible for ensuring that such third parties use suitable information security controls when providing services to us. As part of the oversight of third-party service providers, management will determine whether cybersecurity risks are identified, measured, mitigated, monitored, and reported by such third parties.</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 w:name="page25"/>
    <w:bookmarkEnd w:id="24"/>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The Company has seven offices located in Oswego County, five offices located in Onondaga County and one limited purpose office located in Oneida County. Management believes that the Bank’s facilities are adequate for the business conducted. The following table sets forth certain information concerning the main office and each branch office of the Bank at December 31, 2024. The aggregate net book value of the Bank's premises and equipment was $19.0 million at December 31, 2024. For additional information regarding the Bank's properties, see Notes 8 and 28 to the consolidated financial statements.</w:t>
      </w:r>
    </w:p>
    <w:p>
      <w:pPr>
        <w:spacing w:after="0" w:line="96"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Location</w:t>
            </w:r>
          </w:p>
        </w:tc>
        <w:tc>
          <w:tcPr>
            <w:tcW w:w="3620" w:type="dxa"/>
            <w:vAlign w:val="bottom"/>
          </w:tcPr>
          <w:p>
            <w:pPr>
              <w:jc w:val="center"/>
              <w:ind w:left="1774"/>
              <w:spacing w:after="0"/>
              <w:rPr>
                <w:sz w:val="20"/>
                <w:szCs w:val="20"/>
                <w:color w:val="auto"/>
              </w:rPr>
            </w:pPr>
            <w:r>
              <w:rPr>
                <w:rFonts w:ascii="Times New Roman" w:cs="Times New Roman" w:eastAsia="Times New Roman" w:hAnsi="Times New Roman"/>
                <w:sz w:val="13"/>
                <w:szCs w:val="13"/>
                <w:color w:val="auto"/>
              </w:rPr>
              <w:t>Opening Date</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Owned/Leased</w:t>
            </w: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Main Office</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1874</w:t>
            </w:r>
          </w:p>
        </w:tc>
        <w:tc>
          <w:tcPr>
            <w:tcW w:w="174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Owned</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214 West First Street</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Oswego, New York 13126</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Plaza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1989</w:t>
            </w:r>
          </w:p>
        </w:tc>
        <w:tc>
          <w:tcPr>
            <w:tcW w:w="1740" w:type="dxa"/>
            <w:vAlign w:val="bottom"/>
            <w:shd w:val="clear" w:color="auto" w:fill="CFF0FC"/>
          </w:tcPr>
          <w:p>
            <w:pPr>
              <w:jc w:val="center"/>
              <w:ind w:left="34"/>
              <w:spacing w:after="0" w:line="156" w:lineRule="exact"/>
              <w:rPr>
                <w:sz w:val="20"/>
                <w:szCs w:val="20"/>
                <w:color w:val="auto"/>
              </w:rPr>
            </w:pPr>
            <w:r>
              <w:rPr>
                <w:rFonts w:ascii="Times New Roman" w:cs="Times New Roman" w:eastAsia="Times New Roman" w:hAnsi="Times New Roman"/>
                <w:sz w:val="13"/>
                <w:szCs w:val="13"/>
                <w:color w:val="auto"/>
                <w:w w:val="97"/>
              </w:rPr>
              <w:t xml:space="preserve">Owned </w:t>
            </w:r>
            <w:r>
              <w:rPr>
                <w:rFonts w:ascii="Times New Roman" w:cs="Times New Roman" w:eastAsia="Times New Roman" w:hAnsi="Times New Roman"/>
                <w:sz w:val="16"/>
                <w:szCs w:val="16"/>
                <w:color w:val="auto"/>
                <w:w w:val="97"/>
                <w:vertAlign w:val="superscript"/>
              </w:rPr>
              <w:t>(1)</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291 State Route 104 East</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Oswego, New York 13126</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252"/>
        </w:trPr>
        <w:tc>
          <w:tcPr>
            <w:tcW w:w="41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Mexico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1978</w:t>
            </w:r>
          </w:p>
        </w:tc>
        <w:tc>
          <w:tcPr>
            <w:tcW w:w="174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Owned</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3361 Main Street</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Mexico, New York 13114</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Oswego East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1994</w:t>
            </w:r>
          </w:p>
        </w:tc>
        <w:tc>
          <w:tcPr>
            <w:tcW w:w="174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Owned</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34 East Bridge Street</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Oswego, New York 13126</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Lacona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2002</w:t>
            </w:r>
          </w:p>
        </w:tc>
        <w:tc>
          <w:tcPr>
            <w:tcW w:w="174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Owned</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1897 Harwood Drive</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Lacona, New York 13083</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Fulton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2003</w:t>
            </w:r>
          </w:p>
        </w:tc>
        <w:tc>
          <w:tcPr>
            <w:tcW w:w="174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Owned</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5 West First Street South</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Fulton, New York 13069</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Central Square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2005</w:t>
            </w:r>
          </w:p>
        </w:tc>
        <w:tc>
          <w:tcPr>
            <w:tcW w:w="174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Owned</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3025 East Ave</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Central Square, New York 13036</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Cicero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2011</w:t>
            </w:r>
          </w:p>
        </w:tc>
        <w:tc>
          <w:tcPr>
            <w:tcW w:w="174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Owned</w:t>
            </w:r>
          </w:p>
        </w:tc>
      </w:tr>
      <w:tr>
        <w:trPr>
          <w:trHeight w:val="17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6194 State Route 31</w:t>
            </w:r>
          </w:p>
        </w:tc>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16"/>
        </w:trPr>
        <w:tc>
          <w:tcPr>
            <w:tcW w:w="4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Cicero, New York 13039</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Pike Block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2014</w:t>
            </w:r>
          </w:p>
        </w:tc>
        <w:tc>
          <w:tcPr>
            <w:tcW w:w="1740" w:type="dxa"/>
            <w:vAlign w:val="bottom"/>
            <w:shd w:val="clear" w:color="auto" w:fill="CFF0FC"/>
          </w:tcPr>
          <w:p>
            <w:pPr>
              <w:jc w:val="center"/>
              <w:ind w:left="54"/>
              <w:spacing w:after="0" w:line="156" w:lineRule="exact"/>
              <w:rPr>
                <w:sz w:val="20"/>
                <w:szCs w:val="20"/>
                <w:color w:val="auto"/>
              </w:rPr>
            </w:pPr>
            <w:r>
              <w:rPr>
                <w:rFonts w:ascii="Times New Roman" w:cs="Times New Roman" w:eastAsia="Times New Roman" w:hAnsi="Times New Roman"/>
                <w:sz w:val="13"/>
                <w:szCs w:val="13"/>
                <w:color w:val="auto"/>
                <w:w w:val="95"/>
              </w:rPr>
              <w:t xml:space="preserve">Leased </w:t>
            </w:r>
            <w:r>
              <w:rPr>
                <w:rFonts w:ascii="Times New Roman" w:cs="Times New Roman" w:eastAsia="Times New Roman" w:hAnsi="Times New Roman"/>
                <w:sz w:val="16"/>
                <w:szCs w:val="16"/>
                <w:color w:val="auto"/>
                <w:w w:val="95"/>
                <w:vertAlign w:val="superscript"/>
              </w:rPr>
              <w:t>(2)</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109 West Fayette Street</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Syracuse, New York 13202</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Clay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2018</w:t>
            </w:r>
          </w:p>
        </w:tc>
        <w:tc>
          <w:tcPr>
            <w:tcW w:w="1740" w:type="dxa"/>
            <w:vAlign w:val="bottom"/>
            <w:shd w:val="clear" w:color="auto" w:fill="CFF0FC"/>
          </w:tcPr>
          <w:p>
            <w:pPr>
              <w:jc w:val="center"/>
              <w:ind w:left="54"/>
              <w:spacing w:after="0" w:line="156" w:lineRule="exact"/>
              <w:rPr>
                <w:sz w:val="20"/>
                <w:szCs w:val="20"/>
                <w:color w:val="auto"/>
              </w:rPr>
            </w:pPr>
            <w:r>
              <w:rPr>
                <w:rFonts w:ascii="Times New Roman" w:cs="Times New Roman" w:eastAsia="Times New Roman" w:hAnsi="Times New Roman"/>
                <w:sz w:val="13"/>
                <w:szCs w:val="13"/>
                <w:color w:val="auto"/>
                <w:w w:val="95"/>
              </w:rPr>
              <w:t xml:space="preserve">Leased </w:t>
            </w:r>
            <w:r>
              <w:rPr>
                <w:rFonts w:ascii="Times New Roman" w:cs="Times New Roman" w:eastAsia="Times New Roman" w:hAnsi="Times New Roman"/>
                <w:sz w:val="16"/>
                <w:szCs w:val="16"/>
                <w:color w:val="auto"/>
                <w:w w:val="95"/>
                <w:vertAlign w:val="superscript"/>
              </w:rPr>
              <w:t>(3)</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3775 State Route 31</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Liverpool, NY 13090</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276"/>
        </w:trPr>
        <w:tc>
          <w:tcPr>
            <w:tcW w:w="4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Southwest Corridor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2022</w:t>
            </w:r>
          </w:p>
        </w:tc>
        <w:tc>
          <w:tcPr>
            <w:tcW w:w="1740" w:type="dxa"/>
            <w:vAlign w:val="bottom"/>
            <w:shd w:val="clear" w:color="auto" w:fill="CFF0FC"/>
          </w:tcPr>
          <w:p>
            <w:pPr>
              <w:jc w:val="center"/>
              <w:ind w:left="54"/>
              <w:spacing w:after="0" w:line="156" w:lineRule="exact"/>
              <w:rPr>
                <w:sz w:val="20"/>
                <w:szCs w:val="20"/>
                <w:color w:val="auto"/>
              </w:rPr>
            </w:pPr>
            <w:r>
              <w:rPr>
                <w:rFonts w:ascii="Times New Roman" w:cs="Times New Roman" w:eastAsia="Times New Roman" w:hAnsi="Times New Roman"/>
                <w:sz w:val="13"/>
                <w:szCs w:val="13"/>
                <w:color w:val="auto"/>
                <w:w w:val="95"/>
              </w:rPr>
              <w:t xml:space="preserve">Leased </w:t>
            </w:r>
            <w:r>
              <w:rPr>
                <w:rFonts w:ascii="Times New Roman" w:cs="Times New Roman" w:eastAsia="Times New Roman" w:hAnsi="Times New Roman"/>
                <w:sz w:val="16"/>
                <w:szCs w:val="16"/>
                <w:color w:val="auto"/>
                <w:w w:val="95"/>
                <w:vertAlign w:val="superscript"/>
              </w:rPr>
              <w:t>(4)</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506 West Onondaga Street</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Syracuse, NY 13204</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East Syracuse Branch</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2024</w:t>
            </w:r>
          </w:p>
        </w:tc>
        <w:tc>
          <w:tcPr>
            <w:tcW w:w="1740" w:type="dxa"/>
            <w:vAlign w:val="bottom"/>
            <w:shd w:val="clear" w:color="auto" w:fill="CFF0FC"/>
          </w:tcPr>
          <w:p>
            <w:pPr>
              <w:jc w:val="center"/>
              <w:ind w:left="54"/>
              <w:spacing w:after="0" w:line="156" w:lineRule="exact"/>
              <w:rPr>
                <w:sz w:val="20"/>
                <w:szCs w:val="20"/>
                <w:color w:val="auto"/>
              </w:rPr>
            </w:pPr>
            <w:r>
              <w:rPr>
                <w:rFonts w:ascii="Times New Roman" w:cs="Times New Roman" w:eastAsia="Times New Roman" w:hAnsi="Times New Roman"/>
                <w:sz w:val="13"/>
                <w:szCs w:val="13"/>
                <w:color w:val="auto"/>
                <w:w w:val="95"/>
              </w:rPr>
              <w:t xml:space="preserve">Leased </w:t>
            </w:r>
            <w:r>
              <w:rPr>
                <w:rFonts w:ascii="Times New Roman" w:cs="Times New Roman" w:eastAsia="Times New Roman" w:hAnsi="Times New Roman"/>
                <w:sz w:val="16"/>
                <w:szCs w:val="16"/>
                <w:color w:val="auto"/>
                <w:w w:val="95"/>
                <w:vertAlign w:val="superscript"/>
              </w:rPr>
              <w:t>(5)</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6611 Manlius Center Road</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East Syracuse, NY 13057</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Utica Loan Production Office</w:t>
            </w:r>
          </w:p>
        </w:tc>
        <w:tc>
          <w:tcPr>
            <w:tcW w:w="3620" w:type="dxa"/>
            <w:vAlign w:val="bottom"/>
            <w:shd w:val="clear" w:color="auto" w:fill="CFF0FC"/>
          </w:tcPr>
          <w:p>
            <w:pPr>
              <w:jc w:val="center"/>
              <w:ind w:left="1774"/>
              <w:spacing w:after="0"/>
              <w:rPr>
                <w:sz w:val="20"/>
                <w:szCs w:val="20"/>
                <w:color w:val="auto"/>
              </w:rPr>
            </w:pPr>
            <w:r>
              <w:rPr>
                <w:rFonts w:ascii="Times New Roman" w:cs="Times New Roman" w:eastAsia="Times New Roman" w:hAnsi="Times New Roman"/>
                <w:sz w:val="13"/>
                <w:szCs w:val="13"/>
                <w:color w:val="auto"/>
                <w:w w:val="99"/>
              </w:rPr>
              <w:t>2017</w:t>
            </w:r>
          </w:p>
        </w:tc>
        <w:tc>
          <w:tcPr>
            <w:tcW w:w="1740" w:type="dxa"/>
            <w:vAlign w:val="bottom"/>
            <w:shd w:val="clear" w:color="auto" w:fill="CFF0FC"/>
          </w:tcPr>
          <w:p>
            <w:pPr>
              <w:jc w:val="center"/>
              <w:ind w:left="54"/>
              <w:spacing w:after="0" w:line="156" w:lineRule="exact"/>
              <w:rPr>
                <w:sz w:val="20"/>
                <w:szCs w:val="20"/>
                <w:color w:val="auto"/>
              </w:rPr>
            </w:pPr>
            <w:r>
              <w:rPr>
                <w:rFonts w:ascii="Times New Roman" w:cs="Times New Roman" w:eastAsia="Times New Roman" w:hAnsi="Times New Roman"/>
                <w:sz w:val="13"/>
                <w:szCs w:val="13"/>
                <w:color w:val="auto"/>
                <w:w w:val="95"/>
              </w:rPr>
              <w:t xml:space="preserve">Leased </w:t>
            </w:r>
            <w:r>
              <w:rPr>
                <w:rFonts w:ascii="Times New Roman" w:cs="Times New Roman" w:eastAsia="Times New Roman" w:hAnsi="Times New Roman"/>
                <w:sz w:val="16"/>
                <w:szCs w:val="16"/>
                <w:color w:val="auto"/>
                <w:w w:val="95"/>
                <w:vertAlign w:val="superscript"/>
              </w:rPr>
              <w:t>(6)</w:t>
            </w: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258 Genesee Street</w:t>
            </w:r>
          </w:p>
        </w:tc>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Utica, New York 13502</w:t>
            </w:r>
          </w:p>
        </w:tc>
        <w:tc>
          <w:tcPr>
            <w:tcW w:w="3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r>
    </w:tbl>
    <w:p>
      <w:pPr>
        <w:ind w:left="440"/>
        <w:spacing w:after="0" w:line="217"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3"/>
          <w:szCs w:val="13"/>
          <w:color w:val="auto"/>
        </w:rPr>
        <w:t>The building is owned; the underlying land is leased with an annual rent of $40,000.</w:t>
      </w:r>
    </w:p>
    <w:p>
      <w:pPr>
        <w:ind w:left="440"/>
        <w:spacing w:after="0" w:line="186" w:lineRule="auto"/>
        <w:rPr>
          <w:sz w:val="20"/>
          <w:szCs w:val="20"/>
          <w:color w:val="auto"/>
        </w:rPr>
      </w:pP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3"/>
          <w:szCs w:val="13"/>
          <w:color w:val="auto"/>
        </w:rPr>
        <w:t>The premises are leased with an annual rent of $93,000.</w:t>
      </w:r>
    </w:p>
    <w:p>
      <w:pPr>
        <w:ind w:left="440"/>
        <w:spacing w:after="0" w:line="185" w:lineRule="auto"/>
        <w:rPr>
          <w:sz w:val="20"/>
          <w:szCs w:val="20"/>
          <w:color w:val="auto"/>
        </w:rPr>
      </w:pP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3"/>
          <w:szCs w:val="13"/>
          <w:color w:val="auto"/>
        </w:rPr>
        <w:t>The premises are leased with an annual rent of $77,000.</w:t>
      </w:r>
    </w:p>
    <w:p>
      <w:pPr>
        <w:ind w:left="440"/>
        <w:spacing w:after="0" w:line="186" w:lineRule="auto"/>
        <w:rPr>
          <w:sz w:val="20"/>
          <w:szCs w:val="20"/>
          <w:color w:val="auto"/>
        </w:rPr>
      </w:pP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3"/>
          <w:szCs w:val="13"/>
          <w:color w:val="auto"/>
        </w:rPr>
        <w:t>The premises are leased with an annual rent of $262,000.</w:t>
      </w:r>
    </w:p>
    <w:p>
      <w:pPr>
        <w:ind w:left="440"/>
        <w:spacing w:after="0" w:line="201" w:lineRule="auto"/>
        <w:rPr>
          <w:sz w:val="20"/>
          <w:szCs w:val="20"/>
          <w:color w:val="auto"/>
        </w:rPr>
      </w:pP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3"/>
          <w:szCs w:val="13"/>
          <w:color w:val="auto"/>
        </w:rPr>
        <w:t>The premises are leased with an annual rent of $946,000. The lease began in July 2024 in connection with the Company's acquisition of the East Syracuse branch. Lease expense for 2024 was $425,0000.</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3"/>
          <w:szCs w:val="13"/>
          <w:color w:val="auto"/>
        </w:rPr>
        <w:t>The premises are leased with an annual rent of $17,000.</w:t>
      </w:r>
    </w:p>
    <w:p>
      <w:pPr>
        <w:spacing w:after="0" w:line="1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415290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25" w:name="page26"/>
    <w:bookmarkEnd w:id="25"/>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There are various claims and lawsuits to which the Company is periodically involved that are incidental to the Company's business, most notably foreclosures. In the opinion of management, such claims and lawsuits in the aggregate are not expected to have a material adverse impact on the Company's consolidated financial condition and results of operations at December 31, 2024.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8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voting common stock trades on the NASDAQ Capital Market under the symbol “PBHC.”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292 shareholders of record (excluding the number of persons or entities holding stock in street name through various brokerage firms) as of March 24,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repurchase any shares of its common stock for the year ended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9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as of December 31, 2024 with respect to shares of voting common stock that may be issued under the Company’s existing equity compensation plans. See Note 15.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60" w:type="dxa"/>
            <w:vAlign w:val="bottom"/>
          </w:tcPr>
          <w:p>
            <w:pPr>
              <w:spacing w:after="0"/>
              <w:rPr>
                <w:sz w:val="14"/>
                <w:szCs w:val="14"/>
                <w:color w:val="auto"/>
              </w:rPr>
            </w:pP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Number of securities to be issued</w:t>
            </w:r>
          </w:p>
        </w:tc>
        <w:tc>
          <w:tcPr>
            <w:tcW w:w="520" w:type="dxa"/>
            <w:vAlign w:val="bottom"/>
          </w:tcPr>
          <w:p>
            <w:pPr>
              <w:spacing w:after="0"/>
              <w:rPr>
                <w:sz w:val="14"/>
                <w:szCs w:val="14"/>
                <w:color w:val="auto"/>
              </w:rPr>
            </w:pPr>
          </w:p>
        </w:tc>
        <w:tc>
          <w:tcPr>
            <w:tcW w:w="2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Weighted-average exercise</w:t>
            </w:r>
          </w:p>
        </w:tc>
        <w:tc>
          <w:tcPr>
            <w:tcW w:w="2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Number of securities remaining</w:t>
            </w:r>
          </w:p>
        </w:tc>
      </w:tr>
      <w:tr>
        <w:trPr>
          <w:trHeight w:val="168"/>
        </w:trPr>
        <w:tc>
          <w:tcPr>
            <w:tcW w:w="2460" w:type="dxa"/>
            <w:vAlign w:val="bottom"/>
          </w:tcPr>
          <w:p>
            <w:pPr>
              <w:spacing w:after="0"/>
              <w:rPr>
                <w:sz w:val="14"/>
                <w:szCs w:val="14"/>
                <w:color w:val="auto"/>
              </w:rPr>
            </w:pP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upon exercise of outstanding</w:t>
            </w:r>
          </w:p>
        </w:tc>
        <w:tc>
          <w:tcPr>
            <w:tcW w:w="520" w:type="dxa"/>
            <w:vAlign w:val="bottom"/>
          </w:tcPr>
          <w:p>
            <w:pPr>
              <w:spacing w:after="0"/>
              <w:rPr>
                <w:sz w:val="14"/>
                <w:szCs w:val="14"/>
                <w:color w:val="auto"/>
              </w:rPr>
            </w:pPr>
          </w:p>
        </w:tc>
        <w:tc>
          <w:tcPr>
            <w:tcW w:w="23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price of outstanding</w:t>
            </w:r>
          </w:p>
        </w:tc>
        <w:tc>
          <w:tcPr>
            <w:tcW w:w="2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available for future issuance under</w:t>
            </w:r>
          </w:p>
        </w:tc>
      </w:tr>
      <w:tr>
        <w:trPr>
          <w:trHeight w:val="18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Category</w:t>
            </w: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options, warrants and rights</w:t>
            </w:r>
          </w:p>
        </w:tc>
        <w:tc>
          <w:tcPr>
            <w:tcW w:w="520" w:type="dxa"/>
            <w:vAlign w:val="bottom"/>
          </w:tcPr>
          <w:p>
            <w:pPr>
              <w:spacing w:after="0"/>
              <w:rPr>
                <w:sz w:val="15"/>
                <w:szCs w:val="15"/>
                <w:color w:val="auto"/>
              </w:rPr>
            </w:pPr>
          </w:p>
        </w:tc>
        <w:tc>
          <w:tcPr>
            <w:tcW w:w="2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options, warrants and rights</w:t>
            </w:r>
          </w:p>
        </w:tc>
        <w:tc>
          <w:tcPr>
            <w:tcW w:w="2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equity compensation plans</w:t>
            </w:r>
          </w:p>
        </w:tc>
      </w:tr>
      <w:tr>
        <w:trPr>
          <w:trHeight w:val="324"/>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compensation plans</w:t>
            </w:r>
          </w:p>
        </w:tc>
        <w:tc>
          <w:tcPr>
            <w:tcW w:w="27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2300" w:type="dxa"/>
            <w:vAlign w:val="bottom"/>
            <w:shd w:val="clear" w:color="auto" w:fill="CFF0FC"/>
          </w:tcPr>
          <w:p>
            <w:pPr>
              <w:spacing w:after="0"/>
              <w:rPr>
                <w:sz w:val="24"/>
                <w:szCs w:val="24"/>
                <w:color w:val="auto"/>
              </w:rPr>
            </w:pPr>
          </w:p>
        </w:tc>
        <w:tc>
          <w:tcPr>
            <w:tcW w:w="2500" w:type="dxa"/>
            <w:vAlign w:val="bottom"/>
            <w:shd w:val="clear" w:color="auto" w:fill="CFF0FC"/>
          </w:tcPr>
          <w:p>
            <w:pPr>
              <w:spacing w:after="0"/>
              <w:rPr>
                <w:sz w:val="24"/>
                <w:szCs w:val="24"/>
                <w:color w:val="auto"/>
              </w:rPr>
            </w:pPr>
          </w:p>
        </w:tc>
      </w:tr>
      <w:tr>
        <w:trPr>
          <w:trHeight w:val="180"/>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approved by security holders</w:t>
            </w:r>
          </w:p>
        </w:tc>
        <w:tc>
          <w:tcPr>
            <w:tcW w:w="2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138,779</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11.00</w:t>
            </w:r>
          </w:p>
        </w:tc>
        <w:tc>
          <w:tcPr>
            <w:tcW w:w="2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300,000</w:t>
            </w:r>
          </w:p>
        </w:tc>
      </w:tr>
      <w:tr>
        <w:trPr>
          <w:trHeight w:val="324"/>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w:t>
            </w: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8"/>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 approved by stockholders</w:t>
            </w: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N/A</w:t>
            </w:r>
          </w:p>
        </w:tc>
        <w:tc>
          <w:tcPr>
            <w:tcW w:w="520" w:type="dxa"/>
            <w:vAlign w:val="bottom"/>
          </w:tcPr>
          <w:p>
            <w:pPr>
              <w:spacing w:after="0"/>
              <w:rPr>
                <w:sz w:val="16"/>
                <w:szCs w:val="16"/>
                <w:color w:val="auto"/>
              </w:rPr>
            </w:pPr>
          </w:p>
        </w:tc>
        <w:tc>
          <w:tcPr>
            <w:tcW w:w="2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N/A</w:t>
            </w:r>
          </w:p>
        </w:tc>
        <w:tc>
          <w:tcPr>
            <w:tcW w:w="2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N/A</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and Dividend History</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Company has historically paid regular quarterly cash dividends on its common stock. The Board of Directors presently intends to continue the payment of regular quarterly cash dividends, subject to the need for those funds for debt service and other purposes. Payment of dividends on the common stock is subject to determination and declaration by the Board of Directors and will depend upon a number of factors, including capital requirements, regulatory limitations on the payment of dividends, Pathfinder Bank and its subsidiaries’ results of operations and financial condition, tax considerations, and general economic conditions. More details are included within the section titled Regulation and Supervision.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9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INTRODUCTION</w:t>
      </w:r>
    </w:p>
    <w:p>
      <w:pPr>
        <w:spacing w:after="0" w:line="9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Throughout Management’s Discussion and Analysis (“MD&amp;A”) the term, the “Company”, refers to the consolidated entity of Pathfinder Bancorp, Inc. Pathfinder Bank (the “Bank”) and Pathfinder Statutory Trust II are wholly owned subsidiaries of Pathfinder Bancorp, Inc.; however, Pathfinder Statutory Trust II is not consolidated for reporting purposes (see Note 13 of the consolidated financial statements). Pathfinder Risk Management Company, Inc., and Whispering Oaks Development Corp. are wholly owned subsidiaries of Pathfinder Bank.</w:t>
      </w:r>
    </w:p>
    <w:p>
      <w:pPr>
        <w:spacing w:after="0" w:line="71"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On October 16, 2014, Pathfinder Bancorp, MHC converted from the mutual holding company form of organization to the stock holding company form of organization (the “Conversion”). Following the completion of the Conversion, the Company was created substantially in its current form and Pathfinder Bancorp, MHC ceased to exist. The Company had 6,125,649 and 6,099,571 shares of voting and non-voting common stock in aggregate outstanding at December 31, 2024 and December 31, 2023, respectively.</w:t>
      </w:r>
    </w:p>
    <w:p>
      <w:pPr>
        <w:spacing w:after="0" w:line="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Since the Conversion, we have substantially transformed our business activities from those of a traditional savings bank to those of a commercial bank. This transformation of activities has significantly affected the overall composition of our balance sheet. While not reducing our role as a leading originator of one-to-four family residential real estate loans within our marketplace, which had been our primary focus as a savings bank, we have substantially grown our commercial business and commercial real estate loan portfolios since the Conversion. As a commercial bank, we have been able to offer customized products and services to meet individual commercial customer needs and thereby more definitively differentiate our services from those offered by our competitors. As a result, we have been able to create a substantially more diversified loan portfolio than the one that was in place before the completion of the Conversion. When compared to the Bank’s loan portfolio composition prior to the Conversion, it is our view that our current asset portfolio (1) significantly improves upon the distribution of credit risk across a broader range of borrowers, industries and collateral types, and (2) is more likely to generate consistent net interest margin in a broader range of interest rate environments due to the portfolio’s increased percentage of shorter-term and/or adjustable-rate assets. In a concurrent effort, the Bank has been able to fund the majority of the high level of growth in our loan portfolios primarily with deposits gathered from our local community. We believe that we have gathered these deposits at a reasonable overall cost in terms of deposit interest rates, as well as at a reasonable overall level of related infrastructure and customer support service expenses.</w:t>
      </w:r>
    </w:p>
    <w:p>
      <w:pPr>
        <w:spacing w:after="0" w:line="23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4"/>
          <w:szCs w:val="14"/>
          <w:color w:val="auto"/>
        </w:rPr>
        <w:t>On May 8, 2019, the Company entered into a Securities Purchase Agreement (the “Securities Purchase Agreement”) with Castle Creek Capital Partners VII, L.P. (“Castle Creek”), pursuant to which the Company sold: (i) 37,700 shares of the Company’s common stock, par value $0.01 per share, at a purchase price of $14.25 per share (the “Common Stock”); (ii) 1,155,283 shares of a new series of preferred stock, Series B convertible perpetual preferred stock, par value $ 0.01 per share, at a purchase price of $14.25 per share (the “Series B Preferred Stock”); and (iii) a warrant, with an approximate fair value of $373,000, to purchase 125,000 shares of Common Stock at an exercise price equal to $14.25 per share (the “Warrant”), in a private placement transaction (the “Private Placement”) for gross proceeds of approximately $17.0 million. The Securities Purchase Agreement contains significant representations, warranties, and covenants of the Company and Castle Creek.</w:t>
      </w:r>
    </w:p>
    <w:p>
      <w:pPr>
        <w:spacing w:after="0" w:line="4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On May 8, 2019, the Company filed Articles Supplementary with the Maryland Department of Assessments and Taxation to issue 1,155,283 shares of Series B Preferred Stock to Castle Creek. Each share of the Series B Preferred Stock was convertible on a one-for-one basis into either (i) Common Stock under certain circumstances or</w:t>
      </w:r>
    </w:p>
    <w:p>
      <w:pPr>
        <w:spacing w:after="0" w:line="1" w:lineRule="exact"/>
        <w:rPr>
          <w:sz w:val="20"/>
          <w:szCs w:val="20"/>
          <w:color w:val="auto"/>
        </w:rPr>
      </w:pPr>
    </w:p>
    <w:p>
      <w:pPr>
        <w:ind w:right="220" w:firstLine="6"/>
        <w:spacing w:after="0" w:line="238" w:lineRule="auto"/>
        <w:tabs>
          <w:tab w:leader="none" w:pos="23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non-voting common stock, par value $0.01 per share (which will also be convertible into Common Stock), subject to approval of the creation of such class of non-voting common stock by the Company’s stockholders.</w:t>
      </w:r>
    </w:p>
    <w:p>
      <w:pPr>
        <w:spacing w:after="0" w:line="7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Company also entered into subscription agreements dated as of May 8, 2019 (the “Subscription Agreements”) with certain directors and executive officers of the Company as well as other accredited investors. Pursuant to the Subscription Agreements, the investors purchased an aggregate of 269,277 shares of Common Stock at $14.25 per share for gross proceeds of approximately $3.8 million, before payment of placement fees and related costs and expenses. The Subscription Agreements contain representations, warranties, and covenants of the purchasers and the Company that are customary in private placement transactions. The subscription agreements were also part of the Private Placement, and the term “Private Placement” includes both transactions.</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total, therefore, the Company issued 306,977 shares of Common Stock, 1,155,283 shares of Series B Preferred Stock and the Warrant at the conclusion of the Private Placement. The transaction raised $20.8 million in gross proceeds and the final net cash received from the Private Placement, after all issuance expenses, including placement fees and all other issuance/due diligence costs of $927,000 and $342,000, respectively, was $19.6 million. The fair value of the Warrant at the time of issuance was $373,000.</w:t>
      </w:r>
    </w:p>
    <w:p>
      <w:pPr>
        <w:spacing w:after="0" w:line="7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Pursuant to NASDAQ rules, Castle Creek could not convert the Series B Preferred Stock or, in the future, the non-voting common stock into Common Stock, or exercise the Warrant if doing so would cause Castle Creek, when combined with the purchases of certain directors and executive officers of the Company as well as other accredited investors in the Private Placement, to own more than 19.99% of the Common Stock outstanding immediately prior to the execution of the Securities Purchase Agreement (the “Exchange Cap”). The Company was required to request stockholder approval to eliminate the Exchange Cap no later than at the 2021 annual meeting of Company shareholders. In addition, at the same meeting, the Company was required to seek shareholder approval to create a class of</w:t>
      </w:r>
    </w:p>
    <w:p>
      <w:pPr>
        <w:spacing w:after="0" w:line="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7" w:name="page28"/>
    <w:bookmarkEnd w:id="27"/>
    <w:p>
      <w:pPr>
        <w:spacing w:after="0" w:line="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non-voting convertible common stock. Castle Creek will need the approval or non-objection of the Board of Governors of the Federal Reserve System and the New York State Department of Financial Services if it seeks to increase its ownership of shares of Common Stock in excess of 9.9% of the outstanding shares of Common Stock.</w:t>
      </w:r>
    </w:p>
    <w:p>
      <w:pPr>
        <w:spacing w:after="0" w:line="6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Holders of the Series B Preferred Stock were entitled to receive dividends if declared by the Company’s Board of Directors, in the same per share amount as paid on the Common Stock. No dividends would be payable on the Common Stock unless a dividend identical to that paid on the Common Stock was payable at the same time on the Series B Preferred Stock. The Series B Preferred Stock would rank, as to payments of dividends and distribution of assets upon dissolution, liquidation or winding up of the Company,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Common Stock pro rata. Holders of Series B Preferred Stock had no voting rights except as was required by law. The Series B Preferred Stock was not redeemable by either the Company or by the holder.</w:t>
      </w:r>
    </w:p>
    <w:p>
      <w:pPr>
        <w:spacing w:after="0" w:line="7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As discussed above, pursuant to the Securities Purchase Agreement, on May 8, 2019, the Company issued a Warrant to Castle Creek to purchase 125,000 shares of non-voting common stock at an exercise price equal to $14.25 per share. At the same time, the Company entered into a Warrant Agreement with Castle Creek, to, among other things, authorize and establish the terms of the Warrant. The Warrant is exercisable at any time after May 8, 2019, and from time to time, in whole or in part, until May 8, 2026. However, the exercise of such Warrant remains subject to certain contractual provisions, and regulatory approval if Castle Creek’s ownership of Common Stock would exceed 9.9%. At December 31, 2024, Castle Creek owned approximately 9.9% of the Company’s common voting stock. The Warrant will receive dividends equal to the amount paid on the Company’s common stock. The dividend payment shall be calculated on (1) the unexercised portion of the 125,000 notional shares encompassed within the terms of the Warrant, less (2) any exercised portion of the 125,000 shares, times (3) the amount of the quarterly dividend paid to common shareholders. Dividend payments, if declared on the Company’s common stock, will be made on the Warrant until its expiration date.</w:t>
      </w:r>
    </w:p>
    <w:p>
      <w:pPr>
        <w:spacing w:after="0" w:line="23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Following the Private Placement, the Company used the net cash received from the transaction to strengthen the Company’s general capital and liquidity positions, fund growth within our marketplace, purchase certain loan assets, and increase the regulatory capital position of the Bank. The Company will continue to use the additional capital raised through the Private Placement primarily to support the realization of continued growth opportunities within our marketplace and, to a lesser extent, for general corporate purposes.</w:t>
      </w:r>
    </w:p>
    <w:p>
      <w:pPr>
        <w:spacing w:after="0" w:line="7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Pursuant to the terms of the Securities Purchase Agreement, Castle Creek is entitled to have one representative appointed to the Company’s Board of Directors for so long as Castle Creek, together with its respective affiliates, owns, in the aggregate, 4.9% or more of all of the outstanding shares of the Company’s Common Voting Stock. If Castle Creek, together with its respective affiliates, owns, in the aggregate, 4.9% or more of all of the outstanding shares of the Company’s Common Voting Stock and does not have a board representative appointed to the Company’s Board of Directors, the Company will invite a person designated by Castle Creek to attend meetings of the Company’s Board of Directors as an observer. On June 30, 2023, the Company’s Board of Directors appointed Anthony R. Scavuzzo, a representative of Castle Creek, to the Board of Directors.</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November 13, 2020, the Company entered into an agreement (the “Exchange Agreement”) with Castle Creek providing for the exchange of 225,000 shares of the Company’s Common stock owned by Castle Creek for 225,000 shares of the Company’s Series B Preferred Stock. The exchange was consummated simultaneously with the execution and delivery of the Exchange Agreement. The Company and Castle Creek entered into the Exchange Agreement to enable the equity ownership of Castle Creek to comply with applicable banking laws and regulations.</w:t>
      </w:r>
    </w:p>
    <w:p>
      <w:pPr>
        <w:spacing w:after="0" w:line="7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As a result of the Exchange Agreement, on November 13, 2020, the Company issued to Castle Creek 225,000 shares of its Series B Preferred Stock in exchange for an equivalent number of shares of Company Common Stock held by Castle Creek in a transaction exempt from registration under Section 3(a)(9) of the Securities Act of 1933, as amended. Castle Creek was the only stockholder of the Series B Preferred Stock. The Company received no cash proceeds as a result of the exchange. In addition, the Company did not pay any commission or remuneration for the solicitation of the exchange.</w:t>
      </w:r>
    </w:p>
    <w:p>
      <w:pPr>
        <w:spacing w:after="0" w:line="7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On November 13, 2020, the Company filed an amendment to the Articles Supplementary to the Articles of Incorporation of the Company designating the Series B Preferred Stock with the Maryland Department of Assessments and Taxation to increase the classified number of shares of the Series B Preferred Stock from 1,155,283 to 1,506,000 to allow for the additional issuance of Series B Preferred Stock to Castle Creek. There were no other changes made to the preferences, limitations, powers and relative rights of the Series B Preferred Stock.</w:t>
      </w:r>
    </w:p>
    <w:p>
      <w:pPr>
        <w:spacing w:after="0" w:line="7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June 4, 2021, shareholders of the Company approved an amendment to the Company’s Articles of Incorporation to authorize Non-Voting Common Stock, and to eliminate the Exchange Cap. On June 9, 2021, the Company filed Articles Supplementary to the Articles of Incorporation of the Company (the “Articles Supplementary”) with the Maryland State Department of Assessments and Taxation creating a Class A Non-Voting Common Stock, par value $0.01 per share (“Non-Voting Common Stock”). The Articles Supplementary authorized 1,505,283 shares of the Non-Voting Common Stock which Castle Creek received in exchange for the Company’s outstanding Series B Preferred Stock on a one for one basis and allowed for the issuance of 125,000 shares of Non-Voting Common Stock that may be issued upon the exercise of the Warrant.</w:t>
      </w:r>
    </w:p>
    <w:p>
      <w:pPr>
        <w:spacing w:after="0" w:line="3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 w:name="page29"/>
    <w:bookmarkEnd w:id="28"/>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preferences, limitations, powers and relative rights of the Non-Voting Common Stock are set forth in the Articles Supplementary, a summary of which follows:</w:t>
      </w:r>
    </w:p>
    <w:p>
      <w:pPr>
        <w:spacing w:after="0" w:line="9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 xml:space="preserve">Ranking: The Non -Voting Common Stock will rank, as to the payment of dividends and distribution of assets upon dissolution, liquidation or winding up of the Company, (i)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Company’s Common Stock, and (ii) subordinate and junior to all other securities of the Company which, by their respective terms, are senior to the Non-Voting Common Stock or the Company’s Common Stock.</w:t>
      </w:r>
    </w:p>
    <w:p>
      <w:pPr>
        <w:spacing w:after="0" w:line="6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Dividend Rights: Holders of the Non-Voting Common Stock will be entitled to receive dividends when, as and if declared by the Company’s Board of Directors, in the same per share amount as paid on Company’s Common Stock. No dividends will be payable on the Company’s Common Stock unless a dividend identical to that paid on the Company’s Common Stock is payable at the same time on the Non-Voting Common Stock in an amount per share equal to the product of (i) the per share dividend declared and paid in respect of each share of the Company’s Common Stock and (ii) the number of shares of the Company’s Common Stock into which such share of Non-Voting Common Stock is then convertible (without regard to limitations on conversion of such Non-Voting Common Stock); provided that if any stock dividend is declared on the Company’s Common Stock, the holders of Non-Voting Common Stock will be entitled to receive such dividend payable in shares of Non-Voting Common Stock.</w:t>
      </w:r>
    </w:p>
    <w:p>
      <w:pPr>
        <w:spacing w:after="0" w:line="7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Voting: The holders of shares of Non- Voting Common Stock have no voting rights, except as may be required by Maryland law and as set forth in the Articles Supplementary. So long as any shares of Non-Voting Common Stock are issued and outstanding, the Company will not (including by means of merger, consolidation or otherwise) without obtaining the approval of the holders of a majority of the issued and outstanding shares of Non-Voting Common Stock:</w:t>
      </w:r>
    </w:p>
    <w:p>
      <w:pPr>
        <w:spacing w:after="0" w:line="68" w:lineRule="exact"/>
        <w:rPr>
          <w:sz w:val="20"/>
          <w:szCs w:val="20"/>
          <w:color w:val="auto"/>
        </w:rPr>
      </w:pPr>
    </w:p>
    <w:p>
      <w:pPr>
        <w:ind w:left="700"/>
        <w:spacing w:after="0" w:line="259" w:lineRule="auto"/>
        <w:rPr>
          <w:sz w:val="20"/>
          <w:szCs w:val="20"/>
          <w:color w:val="auto"/>
        </w:rPr>
      </w:pPr>
      <w:r>
        <w:rPr>
          <w:rFonts w:ascii="Times New Roman" w:cs="Times New Roman" w:eastAsia="Times New Roman" w:hAnsi="Times New Roman"/>
          <w:sz w:val="16"/>
          <w:szCs w:val="16"/>
          <w:color w:val="auto"/>
        </w:rPr>
        <w:t>•alter or change the rights, preferences, privileges or restrictions provided for the benefit of the holders of the Non-Voting Common Stock so as to affect them adversely;</w:t>
      </w:r>
    </w:p>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•increase or decrease the authorized number of shares of Non-Voting Common Stock; or</w:t>
      </w:r>
    </w:p>
    <w:p>
      <w:pPr>
        <w:spacing w:after="0" w:line="92" w:lineRule="exact"/>
        <w:rPr>
          <w:sz w:val="20"/>
          <w:szCs w:val="20"/>
          <w:color w:val="auto"/>
        </w:rPr>
      </w:pPr>
    </w:p>
    <w:p>
      <w:pPr>
        <w:ind w:left="700" w:right="340"/>
        <w:spacing w:after="0" w:line="259" w:lineRule="auto"/>
        <w:rPr>
          <w:sz w:val="20"/>
          <w:szCs w:val="20"/>
          <w:color w:val="auto"/>
        </w:rPr>
      </w:pPr>
      <w:r>
        <w:rPr>
          <w:rFonts w:ascii="Times New Roman" w:cs="Times New Roman" w:eastAsia="Times New Roman" w:hAnsi="Times New Roman"/>
          <w:sz w:val="16"/>
          <w:szCs w:val="16"/>
          <w:color w:val="auto"/>
        </w:rPr>
        <w:t>•enter into any agreement, merger or business combination, or engage in any other transaction, or take any action that would have the effect of adversely changing any preference or any relative or other right provided for the benefit of the holders of the Non-Voting Common Stock.</w:t>
      </w:r>
    </w:p>
    <w:p>
      <w:pPr>
        <w:spacing w:after="0" w:line="5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Redemption and Repurchase: The Non-Voting Common Stock is not redeemable by the Company or the holder. However, in the event that the Company offers to repurchase shares of the Company’s Common Stock, the Company must offer to repurchase shares of the Non-Voting Common Stock pro rata based upon the number of shares of the Company’s Common Stock such holders would be entitled to receive if such shares were converted into shares of the Company’s Common Stock immediately prior to such repurchase.</w:t>
      </w:r>
    </w:p>
    <w:p>
      <w:pPr>
        <w:spacing w:after="0" w:line="7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Conversion: Each share of Non -Voting Common Stock will be convertible into one share of the Company’s Common Stock (i) at any time and from time to time at the request of the holder thereof or at the written request of the Company; provided that upon such conversion, the holder, together with all affiliates of the holder, will not own or control in the aggregate more than 9.9% of the Company’s Common Stock (or of any class of the Company’s voting securities), excluding for the purpose of this calculation any reduction in the ownership resulting from transfers by such holder of voting securities (which, for the avoidance of doubt, does not included the Non-Voting Common Stock); or (ii) automatically, without any further action of the part of the holder, on the date that the holder transfers such share of Non-Voting Common Stock to a non-affiliate of the holder in a permissible transfer.</w:t>
      </w:r>
    </w:p>
    <w:p>
      <w:pPr>
        <w:spacing w:after="0" w:line="3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 w:name="page30"/>
    <w:bookmarkEnd w:id="29"/>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SELECTED FINANCIAL DATA</w:t>
      </w:r>
    </w:p>
    <w:p>
      <w:pPr>
        <w:spacing w:after="0" w:line="96"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The following selected consolidated financial data sets forth certain financial highlights of the Company and should be read in conjunction with the consolidated financial statements and related notes: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2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color w:val="auto"/>
              </w:rPr>
              <w:t>At or for the year ended December 31,</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1,474,874</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1,465,798</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1,399,921</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1,285,177</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1,227,443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269,331</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258,716</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191,726</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190,598</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128,261</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158,683</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179,286</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194,402</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160,923</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171,224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901,743</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881,232</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882,435</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819,524</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812,718</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1,204,524</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1,120,067</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1,125,430</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1,055,346</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995,907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Borrowings and subordinated debt</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118,175</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205,513</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145,730</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106,661</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121,450</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121,483</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120,256</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111,582</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110,633</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97,722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78,357</w:t>
            </w:r>
          </w:p>
        </w:tc>
        <w:tc>
          <w:tcPr>
            <w:tcW w:w="4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67,663</w:t>
            </w: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51,098</w:t>
            </w:r>
          </w:p>
        </w:tc>
        <w:tc>
          <w:tcPr>
            <w:tcW w:w="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45,827</w:t>
            </w:r>
          </w:p>
        </w:tc>
        <w:tc>
          <w:tcPr>
            <w:tcW w:w="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42,507</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37,368</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28,744</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9,695</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7,532</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10,864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40,989</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38,919</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41,403</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38,295</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31,643</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10,973</w:t>
            </w:r>
          </w:p>
        </w:tc>
        <w:tc>
          <w:tcPr>
            <w:tcW w:w="46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2,930</w:t>
            </w:r>
          </w:p>
        </w:tc>
        <w:tc>
          <w:tcPr>
            <w:tcW w:w="4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2,754</w:t>
            </w:r>
          </w:p>
        </w:tc>
        <w:tc>
          <w:tcPr>
            <w:tcW w:w="44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1,022</w:t>
            </w:r>
          </w:p>
        </w:tc>
        <w:tc>
          <w:tcPr>
            <w:tcW w:w="44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4,707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2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30,016</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35,989</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38,649</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37,273</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26,936</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9,561</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5,190</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5,914</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6,231</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6,485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34,417</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29,395</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28,874</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27,495</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25,080</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5,160</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11,784</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15,689</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16,009</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8,341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2,362</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2,656</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3,499</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1,295</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1,445</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Pathfinder Bancorp, Inc.</w:t>
            </w:r>
          </w:p>
        </w:tc>
        <w:tc>
          <w:tcPr>
            <w:tcW w:w="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3,383</w:t>
            </w:r>
          </w:p>
        </w:tc>
        <w:tc>
          <w:tcPr>
            <w:tcW w:w="4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9,293</w:t>
            </w: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12,932</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12,407</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6,950</w:t>
            </w:r>
          </w:p>
        </w:tc>
        <w:tc>
          <w:tcPr>
            <w:tcW w:w="24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Convertible preferred stock dividends</w:t>
            </w:r>
          </w:p>
        </w:tc>
        <w:tc>
          <w:tcPr>
            <w:tcW w:w="440" w:type="dxa"/>
            <w:vAlign w:val="bottom"/>
          </w:tcPr>
          <w:p>
            <w:pPr>
              <w:spacing w:after="0"/>
              <w:rPr>
                <w:sz w:val="12"/>
                <w:szCs w:val="12"/>
                <w:color w:val="auto"/>
              </w:rPr>
            </w:pPr>
          </w:p>
        </w:tc>
        <w:tc>
          <w:tcPr>
            <w:tcW w:w="780" w:type="dxa"/>
            <w:vAlign w:val="bottom"/>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780" w:type="dxa"/>
            <w:vAlign w:val="bottom"/>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760" w:type="dxa"/>
            <w:vAlign w:val="bottom"/>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97</w:t>
            </w:r>
          </w:p>
        </w:tc>
        <w:tc>
          <w:tcPr>
            <w:tcW w:w="440" w:type="dxa"/>
            <w:vAlign w:val="bottom"/>
          </w:tcPr>
          <w:p>
            <w:pPr>
              <w:spacing w:after="0"/>
              <w:rPr>
                <w:sz w:val="12"/>
                <w:szCs w:val="12"/>
                <w:color w:val="auto"/>
              </w:rPr>
            </w:pPr>
          </w:p>
        </w:tc>
        <w:tc>
          <w:tcPr>
            <w:tcW w:w="760" w:type="dxa"/>
            <w:vAlign w:val="bottom"/>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291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1,729</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2,666</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2,699</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3,117</w:t>
            </w:r>
          </w:p>
        </w:tc>
        <w:tc>
          <w:tcPr>
            <w:tcW w:w="4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7,519</w:t>
            </w: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10,221</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9,576</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5,405</w:t>
            </w:r>
          </w:p>
        </w:tc>
        <w:tc>
          <w:tcPr>
            <w:tcW w:w="24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per share - basic</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0.54</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per share - diluted</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0.54</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Book value per common share</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19.83</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19.59</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18.40</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18.43</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Tangible book value per common share (a)</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18.03</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18.83</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17.63</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17.66</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16.53</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0.40</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0.36</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0.36</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0.28</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assets</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0.23</w:t>
            </w:r>
          </w:p>
        </w:tc>
        <w:tc>
          <w:tcPr>
            <w:tcW w:w="4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0.67</w:t>
            </w:r>
          </w:p>
        </w:tc>
        <w:tc>
          <w:tcPr>
            <w:tcW w:w="4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0.96</w:t>
            </w:r>
          </w:p>
        </w:tc>
        <w:tc>
          <w:tcPr>
            <w:tcW w:w="4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0.98</w:t>
            </w:r>
          </w:p>
        </w:tc>
        <w:tc>
          <w:tcPr>
            <w:tcW w:w="4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0.60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equity</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8.09</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11.77</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11.91</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equity to average assets</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8.47</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8.26</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8.17</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8.26</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8.02</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 to total assets at end of year</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8.24</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8.15</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7.93</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rate spread</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2.37</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3.05</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3.06</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interest-earning assets to average interest-bearing liabilities</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122.58</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121.63</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124.03</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124.61</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120.49</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Efficiency ratio (a) (b)</w:t>
            </w:r>
          </w:p>
        </w:tc>
        <w:tc>
          <w:tcPr>
            <w:tcW w:w="440" w:type="dxa"/>
            <w:vAlign w:val="bottom"/>
            <w:shd w:val="clear" w:color="auto" w:fill="CFF0FC"/>
          </w:tcPr>
          <w:p>
            <w:pPr>
              <w:spacing w:after="0"/>
              <w:rPr>
                <w:sz w:val="24"/>
                <w:szCs w:val="2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72.53</w:t>
            </w:r>
          </w:p>
        </w:tc>
        <w:tc>
          <w:tcPr>
            <w:tcW w:w="460" w:type="dxa"/>
            <w:vAlign w:val="bottom"/>
            <w:shd w:val="clear" w:color="auto" w:fill="CFF0FC"/>
          </w:tcPr>
          <w:p>
            <w:pPr>
              <w:spacing w:after="0"/>
              <w:rPr>
                <w:sz w:val="24"/>
                <w:szCs w:val="2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66.74</w:t>
            </w:r>
          </w:p>
        </w:tc>
        <w:tc>
          <w:tcPr>
            <w:tcW w:w="48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60.81</w:t>
            </w:r>
          </w:p>
        </w:tc>
        <w:tc>
          <w:tcPr>
            <w:tcW w:w="44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61.80</w:t>
            </w:r>
          </w:p>
        </w:tc>
        <w:tc>
          <w:tcPr>
            <w:tcW w:w="44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67.69</w:t>
            </w:r>
          </w:p>
        </w:tc>
        <w:tc>
          <w:tcPr>
            <w:tcW w:w="2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payout ratio</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78.28</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28.95</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20.87</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16.17</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common equity</w:t>
            </w:r>
          </w:p>
        </w:tc>
        <w:tc>
          <w:tcPr>
            <w:tcW w:w="4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8.09</w:t>
            </w: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11.77</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11.91</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8.92</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8"/>
        </w:trPr>
        <w:tc>
          <w:tcPr>
            <w:tcW w:w="4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At December 31,</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 Ratios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0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Nonperforming loans to year end loans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5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50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0.66</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year end loans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52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1.78</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4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50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2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nonperforming loans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78.08</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92.73</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169.93</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155.99</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59.89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 Ratios (Bank Only)</w:t>
            </w: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14.65</w:t>
            </w:r>
          </w:p>
        </w:tc>
        <w:tc>
          <w:tcPr>
            <w:tcW w:w="5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15.05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15.14</w:t>
            </w:r>
          </w:p>
        </w:tc>
        <w:tc>
          <w:tcPr>
            <w:tcW w:w="4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50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13.13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13.40</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13.88</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Tier 1 capital (to adjusted assets)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9.67</w:t>
            </w:r>
          </w:p>
        </w:tc>
        <w:tc>
          <w:tcPr>
            <w:tcW w:w="5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10.11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9.67</w:t>
            </w:r>
          </w:p>
        </w:tc>
        <w:tc>
          <w:tcPr>
            <w:tcW w:w="4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8.63</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Common Equity (to risk-weighted assets)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13.40</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13.88</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Banking offices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4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Fulltime equivalent employees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5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5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5"/>
          <w:szCs w:val="15"/>
          <w:color w:val="auto"/>
        </w:rPr>
        <w:t>See table below for reconciliation of the non-GAAP financial measures.</w:t>
      </w:r>
    </w:p>
    <w:p>
      <w:pPr>
        <w:spacing w:after="0" w:line="1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5"/>
          <w:szCs w:val="15"/>
          <w:color w:val="auto"/>
        </w:rPr>
        <w:t>The efficiency ratio is calculated as noninterest expense divided by the sum of net interest income and noninterest income, excluding net gains on sales, redemptions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and impairment of investment securities and net gains (losses) on sales of loans and foreclosed real estate.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INFORMATION</w:t>
      </w:r>
    </w:p>
    <w:p>
      <w:pPr>
        <w:spacing w:after="0" w:line="9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Regulation G, a rule adopted by the Securities and Exchange Commission (SEC), applies to certain SEC filings,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 -GAAP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and are not easily reconcilable to the closest comparable GAAP financial measures, even in those cases where a comparable measure exists. The Company follows industry practice in disclosing its financial condition under these various regulatory capital measures, including period-end regulatory capital ratios for its subsidiary bank, in its periodic reports filed with the SEC, and does so without compliance with Regulation G, on the widely-shared assumption that the SEC regards such non-GAAP measures to be exempt from Regulation G. The Company uses in this regulatory filing additional non-GAAP financial measures that are commonly utilized by financial institutions and have not been specifically exempted by the SEC from Regulation G. The Company provides, as supplemental information, such non-GAAP measures included in this document as described immediately below.</w:t>
      </w:r>
    </w:p>
    <w:p>
      <w:pPr>
        <w:spacing w:after="0" w:line="7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3" w:right="68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color w:val="auto"/>
              </w:rPr>
              <w:t>At or for the year ended December 31,</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Book value per common share</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4"/>
                <w:szCs w:val="14"/>
                <w:color w:val="auto"/>
              </w:rPr>
              <w:t>Total Pathfinder Bancorp, Inc. shareholders' equity (book value)</w:t>
            </w:r>
          </w:p>
        </w:tc>
        <w:tc>
          <w:tcPr>
            <w:tcW w:w="6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(GAAP)</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121,483</w:t>
            </w: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119,495</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110,997</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110,287</w:t>
            </w:r>
          </w:p>
        </w:tc>
        <w:tc>
          <w:tcPr>
            <w:tcW w:w="4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97,456</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Preferred stock</w:t>
            </w:r>
          </w:p>
        </w:tc>
        <w:tc>
          <w:tcPr>
            <w:tcW w:w="6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17,901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shares outstanding</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6,126</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6,100</w:t>
            </w: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6,032</w:t>
            </w: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4,531</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Book value per common share</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19.83</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19.59</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18.40</w:t>
            </w: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17.56</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common equity</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Total equity (GAAP)</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121,483</w:t>
            </w: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119,495</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110,997</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110,287</w:t>
            </w:r>
          </w:p>
        </w:tc>
        <w:tc>
          <w:tcPr>
            <w:tcW w:w="4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79,555</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66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5,056</w:t>
            </w:r>
          </w:p>
        </w:tc>
        <w:tc>
          <w:tcPr>
            <w:tcW w:w="36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4,536</w:t>
            </w:r>
          </w:p>
        </w:tc>
        <w:tc>
          <w:tcPr>
            <w:tcW w:w="4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4,536</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46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5,989</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Tangible common equity</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110,438</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114,874</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106,360</w:t>
            </w: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105,634</w:t>
            </w:r>
          </w:p>
        </w:tc>
        <w:tc>
          <w:tcPr>
            <w:tcW w:w="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74,886</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Tangible book value per common share</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Tangible common equity</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110,438</w:t>
            </w: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114,874</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106,360</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105,634</w:t>
            </w:r>
          </w:p>
        </w:tc>
        <w:tc>
          <w:tcPr>
            <w:tcW w:w="4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74,886</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shares outstanding</w:t>
            </w:r>
          </w:p>
        </w:tc>
        <w:tc>
          <w:tcPr>
            <w:tcW w:w="6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6,126</w:t>
            </w:r>
          </w:p>
        </w:tc>
        <w:tc>
          <w:tcPr>
            <w:tcW w:w="3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6,100</w:t>
            </w:r>
          </w:p>
        </w:tc>
        <w:tc>
          <w:tcPr>
            <w:tcW w:w="4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6,032</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4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18.03</w:t>
            </w:r>
          </w:p>
        </w:tc>
        <w:tc>
          <w:tcPr>
            <w:tcW w:w="3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18.83</w:t>
            </w:r>
          </w:p>
        </w:tc>
        <w:tc>
          <w:tcPr>
            <w:tcW w:w="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17.63</w:t>
            </w:r>
          </w:p>
        </w:tc>
        <w:tc>
          <w:tcPr>
            <w:tcW w:w="3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4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16.53</w:t>
            </w:r>
          </w:p>
        </w:tc>
        <w:tc>
          <w:tcPr>
            <w:tcW w:w="2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Efficiency ratio</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Operating expenses (numerator)</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34,417</w:t>
            </w: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29,395</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28,874</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27,495</w:t>
            </w:r>
          </w:p>
        </w:tc>
        <w:tc>
          <w:tcPr>
            <w:tcW w:w="4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25,080</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interest income</w:t>
            </w:r>
          </w:p>
        </w:tc>
        <w:tc>
          <w:tcPr>
            <w:tcW w:w="6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40,989</w:t>
            </w:r>
          </w:p>
        </w:tc>
        <w:tc>
          <w:tcPr>
            <w:tcW w:w="3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38,919</w:t>
            </w:r>
          </w:p>
        </w:tc>
        <w:tc>
          <w:tcPr>
            <w:tcW w:w="4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41,403</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38,295</w:t>
            </w:r>
          </w:p>
        </w:tc>
        <w:tc>
          <w:tcPr>
            <w:tcW w:w="4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31,643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Noninterest income</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9,561</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5,190</w:t>
            </w: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5,914</w:t>
            </w: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6,231</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6,485</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Less: (Losses) gains on the sales and redemptions of investment securities</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3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Less: Gain on asset sale</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3,169</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Denominator</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47,452</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44,047</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47,486</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44,489</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37,052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Efficiency ratio</w:t>
            </w:r>
          </w:p>
        </w:tc>
        <w:tc>
          <w:tcPr>
            <w:tcW w:w="6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72.53</w:t>
            </w:r>
          </w:p>
        </w:tc>
        <w:tc>
          <w:tcPr>
            <w:tcW w:w="36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66.74</w:t>
            </w:r>
          </w:p>
        </w:tc>
        <w:tc>
          <w:tcPr>
            <w:tcW w:w="4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60.81</w:t>
            </w:r>
          </w:p>
        </w:tc>
        <w:tc>
          <w:tcPr>
            <w:tcW w:w="38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4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67.69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Dividend payout ratio</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Dividends declared (numerator)</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2,440</w:t>
            </w: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2,177</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2,143</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4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1,102</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available to common shareholders (denominator)</w:t>
            </w:r>
          </w:p>
        </w:tc>
        <w:tc>
          <w:tcPr>
            <w:tcW w:w="6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3,117</w:t>
            </w:r>
          </w:p>
        </w:tc>
        <w:tc>
          <w:tcPr>
            <w:tcW w:w="3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7,519</w:t>
            </w:r>
          </w:p>
        </w:tc>
        <w:tc>
          <w:tcPr>
            <w:tcW w:w="4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10,221</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4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5,405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Dividend payout ratio</w:t>
            </w:r>
          </w:p>
        </w:tc>
        <w:tc>
          <w:tcPr>
            <w:tcW w:w="6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78.28</w:t>
            </w:r>
          </w:p>
        </w:tc>
        <w:tc>
          <w:tcPr>
            <w:tcW w:w="36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28.95</w:t>
            </w:r>
          </w:p>
        </w:tc>
        <w:tc>
          <w:tcPr>
            <w:tcW w:w="4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20.97</w:t>
            </w:r>
          </w:p>
        </w:tc>
        <w:tc>
          <w:tcPr>
            <w:tcW w:w="38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4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20.39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Return on average common equity</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Net income attributable to Pathfinder Bancorp Inc. (GAAP)</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(numerator)</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3,383</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9,293</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12,932</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6,950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Average equity</w:t>
            </w:r>
          </w:p>
        </w:tc>
        <w:tc>
          <w:tcPr>
            <w:tcW w:w="6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122,901</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114,824</w:t>
            </w: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109,898</w:t>
            </w: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104,131</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93,586</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Average preferred stock</w:t>
            </w:r>
          </w:p>
        </w:tc>
        <w:tc>
          <w:tcPr>
            <w:tcW w:w="6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Denominator</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122,901</w:t>
            </w: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114,824</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109,898</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104,131</w:t>
            </w:r>
          </w:p>
        </w:tc>
        <w:tc>
          <w:tcPr>
            <w:tcW w:w="4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77,877</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Return on average common equity</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8.09</w:t>
            </w:r>
          </w:p>
        </w:tc>
        <w:tc>
          <w:tcPr>
            <w:tcW w:w="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11.77</w:t>
            </w: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4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3" w:right="68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7"/>
          </w:tcPr>
          <w:p>
            <w:pPr>
              <w:jc w:val="right"/>
              <w:ind w:right="348"/>
              <w:spacing w:after="0"/>
              <w:rPr>
                <w:sz w:val="20"/>
                <w:szCs w:val="20"/>
                <w:color w:val="auto"/>
              </w:rPr>
            </w:pPr>
            <w:r>
              <w:rPr>
                <w:rFonts w:ascii="Times New Roman" w:cs="Times New Roman" w:eastAsia="Times New Roman" w:hAnsi="Times New Roman"/>
                <w:sz w:val="14"/>
                <w:szCs w:val="14"/>
                <w:color w:val="auto"/>
              </w:rPr>
              <w:t>At or for the year ended 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 Ratios (Bank Only)</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 (to risk-weighted assets)</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equity (GAAP)</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140,641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137,943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126,148</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121,896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106,720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(5,989 )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Addback: Accumulated other comprehensive income</w:t>
            </w:r>
          </w:p>
        </w:tc>
        <w:tc>
          <w:tcPr>
            <w:tcW w:w="1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9,144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9,605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Tier 1 Capital</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138,740</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104,287</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1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13,007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12,995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12,076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Tier 2 Capital</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13,007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12,995</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12,076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10,655</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11,002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Tier 1 plus Tier 2 Capital (numerator)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151,747</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155,922</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145,759</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129,166</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115,289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1,035,557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1,035,747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962,861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850,157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878,380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14.65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Tier 1 capital (to risk-weighted assets)</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138,740</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104,287</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1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1,035,557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1,035,747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962,861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850,157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878,380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6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13.40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13.94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Tier 1 capital (to adjusted assets)</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138,740</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104,287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average assets</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1,445,991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1,418,313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1,387,480</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1,249,752</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1,212,512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(5,989 )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Adjusted assets (denominator)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1,434,946</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1,413,692</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1,382,843</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1,245,099</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1,207,843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6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Total capital to adjusted assets</w:t>
            </w:r>
          </w:p>
        </w:tc>
        <w:tc>
          <w:tcPr>
            <w:tcW w:w="1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9.67</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10.11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9.67</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9.52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Tier 1 Common Equity (to risk-weighted assets)</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138,740</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104,287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1,035,557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1,035,747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962,861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850,157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878,380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Tier 1 Common Equity to risk-weighted assets</w:t>
            </w:r>
          </w:p>
        </w:tc>
        <w:tc>
          <w:tcPr>
            <w:tcW w:w="1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11.87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ESTIMATES</w:t>
      </w:r>
    </w:p>
    <w:p>
      <w:pPr>
        <w:spacing w:after="0" w:line="9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other third-party sources, when available. When third party information is not available, valuation adjustments are estimated in good faith by management.</w:t>
      </w:r>
    </w:p>
    <w:p>
      <w:pPr>
        <w:spacing w:after="0" w:line="2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most significant accounting policies followed by the Company are presented in Note 1 to the consolidated financial statements. These policies, along with the disclosures presented in the other financial statement notes and in this discussion, provide information on how significant assets and liabilities are valued in the consolidated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 assets and liabilities, pension obligations, the annual evaluation of the Company’s goodwill for possible impairment, and the estimation of fair values for accounting and disclosure purposes to be the accounting areas that require the most subjective and complex judgments. These areas could be the most subject to revision as new information becomes available.</w:t>
      </w:r>
    </w:p>
    <w:p>
      <w:pPr>
        <w:spacing w:after="0" w:line="70"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Credit Losses. </w:t>
      </w:r>
      <w:r>
        <w:rPr>
          <w:rFonts w:ascii="Times New Roman" w:cs="Times New Roman" w:eastAsia="Times New Roman" w:hAnsi="Times New Roman"/>
          <w:sz w:val="14"/>
          <w:szCs w:val="14"/>
          <w:color w:val="auto"/>
        </w:rPr>
        <w:t>On January 1, 2023 the Company adopted the Current Expected Credit Loss ("CECL") model, as required under Accounting Standards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Update (ASU) 2016-13, </w:t>
      </w:r>
      <w:r>
        <w:rPr>
          <w:rFonts w:ascii="Times New Roman" w:cs="Times New Roman" w:eastAsia="Times New Roman" w:hAnsi="Times New Roman"/>
          <w:sz w:val="14"/>
          <w:szCs w:val="14"/>
          <w:i w:val="1"/>
          <w:iCs w:val="1"/>
          <w:color w:val="auto"/>
        </w:rPr>
        <w:t>Financial Instruments—Credit Losses (Topic 326): Measurement of Credit Losses on Financial Instruments</w:t>
      </w:r>
      <w:r>
        <w:rPr>
          <w:rFonts w:ascii="Times New Roman" w:cs="Times New Roman" w:eastAsia="Times New Roman" w:hAnsi="Times New Roman"/>
          <w:sz w:val="14"/>
          <w:szCs w:val="14"/>
          <w:color w:val="auto"/>
        </w:rPr>
        <w:t>. The Company adopted the standard, which replaced the incurred loss methodology with CECL for financial instruments measured at amortized cost and other commitments to extend credit. The allowance for credit losses on loans and unfunded commitments is a valuation allowance for management’s estimate of expected credit losses in the loan portfolio and commitments to extend credit. Determining the amount of the allowance for credit losses is considered a critical accounting estimate because it requires</w:t>
      </w:r>
    </w:p>
    <w:p>
      <w:pPr>
        <w:spacing w:after="0" w:line="4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1373" w:right="600" w:bottom="1440" w:gutter="0" w:footer="0" w:header="0"/>
        </w:sectPr>
      </w:pPr>
    </w:p>
    <w:bookmarkStart w:id="33" w:name="page34"/>
    <w:bookmarkEnd w:id="33"/>
    <w:p>
      <w:pPr>
        <w:spacing w:after="0" w:line="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significant judgment on the use of estimates related to the amount and timing of expected future cash flows on individually evaluated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$ 300,000 identified as being individually evaluated which are on nonaccrual and have been risk rated under the Company’s risk rating system as substandard, doubtful, or loss. The Company also establishes a specific allowance, regardless of the size of the loan, for modified loans due to borrowers experiencing financial difficulties. In addition, an accruing substandard loan could be identified as being individually evaluated. 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At December 31, 2024, the Bank’s position in individually evaluated loans consisted of 45 loans totaling $20.0 million. Of these loans, 15 loans, totaling $3.0 million, were valued using the present value of future cash flows method; and 30 loans, totaling $17.0 million, were valued based on a collateral analysis. For all other loans, the Company uses the general allocation methodology that establishes an allowance to estimate the lifetime loss for each risk- rating category. Note 1 to the consolidated financial statements describes the methodology used to determine the allowance for credit losses and a discussion of the factors driving changes in the amount of the allowance for credit losses is included in this report.</w:t>
      </w:r>
    </w:p>
    <w:p>
      <w:pPr>
        <w:spacing w:after="0" w:line="2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As noted above, the allowance for credit losses (“ACL”) represents management’s estimate of lifetime losses in the Bank’s loan portfolio. Determining the amount of the ACL requires significant judgment on the part of management and the use of estimates related to the amount and timing of expected future cash flows on individually evaluated loans, estimated losses on pools of homogeneous loans based on historical loss experience, as correlated to historical economic metrics and in consideration of current economic trends and conditions, and other qualitative factors, all of which may be susceptible to significant change.</w:t>
      </w:r>
    </w:p>
    <w:p>
      <w:pPr>
        <w:spacing w:after="0" w:line="7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Company utilizes the Discounted Cash Flow (“DCF”) method for its pooled segment calculation. The DCF method implements a probability of default and loss given default and loss exposure at default estimation. The probability of default and loss given default are applied to future cash flows that are adjusted to present value and these discounted expected losses become the Allowance for Credit Losses.</w:t>
      </w:r>
    </w:p>
    <w:p>
      <w:pPr>
        <w:spacing w:after="0" w:line="6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quarterly assesses the magnitude of QF adjustments necessary to be applied to the quantitatively-derived ACL in order to incorporate forward-looking projections in its final evaluation of current expected credit losses.</w:t>
      </w:r>
    </w:p>
    <w:p>
      <w:pPr>
        <w:spacing w:after="0" w:line="7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In estimating the ACL on loans, management considers the sensitivity of the model and significant judgments and assumptions that could result in an amount that is materially different from management’s estimate. At December 31, 2024, the Bank held $535.0 million in commercial real estate and commercial &amp; industrial loans (collectively, commercial loans) representing 58.2% of the Bank’s entire loan portfolio. The Bank allocated $10.4 million to the ACL for these loans, including $4.3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$1.1 million,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December 31, 2024 in the final recorded estimation of the ACL on loans recognized on the Statement of Financial Condition.</w:t>
      </w:r>
    </w:p>
    <w:p>
      <w:pPr>
        <w:spacing w:after="0" w:line="7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If the assumptions underlying the determination of the ACL prove to be incorrect, the ACL may not be sufficient to cover actual credit losses and an increase to the ACL may be necessary in future periods to allow for different assumptions or adverse developments. In addition, future problems with one or more individually evaluated loans or one or more individually evaluated borrower relationships could require a significant increase to the ACL.</w:t>
      </w:r>
    </w:p>
    <w:p>
      <w:pPr>
        <w:spacing w:after="0" w:line="6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Management’s methodology and policy in determining the allowance for credit losses can be found in Note 1 to the consolidated financial statements included in Item 8 of this Annual Report on Form 10-K. The activity in the allowance for credit losses is depicted in supporting tables in Note 6 to the consolidated financial statements included in Item 8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Income Tax Assets and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Deferred income tax assets and liabilities are determined using the liability method. Under this method, the net deferred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 or liability is recognized for the future tax consequences. This is attributable to the differences 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from a change in tax rates is recognized in income tax expense in the period that includes the enactment date. If current available evidence about the future raises doubt about the likelihood of a deferred tax asset being realized, a valuation allowance is established. The</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 w:name="page35"/>
    <w:bookmarkEnd w:id="34"/>
    <w:p>
      <w:pPr>
        <w:spacing w:after="0" w:line="5"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judgment about the level of future taxable income, including that which is considered capital, is inherently subjective and is reviewed on a continual basis as regulatory and business factors change. For additional information regarding the Company's deferred income taxes, see Note 17 to the consolidated financial statements.</w:t>
      </w:r>
    </w:p>
    <w:p>
      <w:pPr>
        <w:spacing w:after="0" w:line="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Pension Obligations. </w:t>
      </w:r>
      <w:r>
        <w:rPr>
          <w:rFonts w:ascii="Times New Roman" w:cs="Times New Roman" w:eastAsia="Times New Roman" w:hAnsi="Times New Roman"/>
          <w:sz w:val="16"/>
          <w:szCs w:val="16"/>
          <w:color w:val="auto"/>
        </w:rPr>
        <w:t>Pension and postretirement benefit plan liabilities and expenses are based upon actuarial assumptions of future events, including fair value of plan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interest rates, and the length of time the Company will have to provide those benefits. The assumptions used by management are discussed in Note 14 to the consolidated financial statements contained herein.</w:t>
      </w:r>
    </w:p>
    <w:p>
      <w:pPr>
        <w:spacing w:after="0" w:line="6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Evaluation of Goodwill</w:t>
      </w:r>
      <w:r>
        <w:rPr>
          <w:rFonts w:ascii="Times New Roman" w:cs="Times New Roman" w:eastAsia="Times New Roman" w:hAnsi="Times New Roman"/>
          <w:sz w:val="16"/>
          <w:szCs w:val="16"/>
          <w:color w:val="auto"/>
        </w:rPr>
        <w:t>. Management performs an annual evaluation of the Company’s goodwill for possible impairment. Based on the results of the 2023 evaluation,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has determined that the carrying value of goodwill is not impaired as of December 31, 2024. The evaluation approach is described in Note 10 of the consolidated financial statements contained herein.</w:t>
      </w:r>
    </w:p>
    <w:p>
      <w:pPr>
        <w:spacing w:after="0" w:line="64"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Estimation of Fair Value. </w:t>
      </w:r>
      <w:r>
        <w:rPr>
          <w:rFonts w:ascii="Times New Roman" w:cs="Times New Roman" w:eastAsia="Times New Roman" w:hAnsi="Times New Roman"/>
          <w:sz w:val="16"/>
          <w:szCs w:val="16"/>
          <w:color w:val="auto"/>
        </w:rPr>
        <w:t>The estimation of fair value is significant to several of our assets; including investment securities available-for-sale, interest rate derivative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(discussed in detail in Note 22 of the consolidated financial statements),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consolidated financial statements. Fair values on our available-for-sale securities may be influenced by a number of factors; including market interest rates, prepayment speeds, discount rates, and the shape of yield curves.</w:t>
      </w:r>
    </w:p>
    <w:p>
      <w:pPr>
        <w:spacing w:after="0" w:line="7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Fair values for securities available-for-sale are obtained from an independent third party pricing service.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 The fair values of foreclosed real estate and the underlying collateral value of individually analyzed loans are typically determined based on evaluations by third parties, less estimated costs to sell. When necessary, appraisals are updated to reflect changes in market conditions.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EVENTS</w:t>
      </w:r>
    </w:p>
    <w:p>
      <w:pPr>
        <w:spacing w:after="0" w:line="9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On July 19, 2024, the Bank completed the purchase and assumption of the East Syracuse, New York branch of Berkshire Bank. In connection with the purchase, the Bank assumed approximately $186 million in deposit liabilities and acquired approximately $30 million in loans.</w:t>
      </w:r>
    </w:p>
    <w:p>
      <w:pPr>
        <w:spacing w:after="0" w:line="5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On October 15, 2024, the Bank announced that it sold its interest in the FitzGibbons Agency to Marshall &amp; Sterling Enterprises, Inc. The Bank received $1.2 million from the sale in October 2024, and per the closing agreement the Company expects to receive $1.6 million in September 2025. The Company recognized a pre-tax gain of $3.2 million and a net gain of $1.5 million in the fourth quarter of 2024, which are inclusive of the deferred income expected in September 2025.</w:t>
      </w:r>
    </w:p>
    <w:p>
      <w:pPr>
        <w:spacing w:after="0" w:line="6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On December 23, 2024, the Company announced that its Board of Directors had declared a cash dividend of $0.10 per share on the Company’s voting common and non-voting common stock, and a cash dividend of $0.10 per notional share for the issued Warrant relating to the fiscal quarter ended December 31, 2024. The dividend was paid on February 7, 2025 to shareholders of record on January 17,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SUMMARY AND RESULTS OF OPERATIONS</w:t>
      </w:r>
    </w:p>
    <w:p>
      <w:pPr>
        <w:spacing w:after="0" w:line="9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Company reported net income of $3.4 million for 2024, a decrease of $5.9 million as compared to net income of $9.3 million in 2023. Net income decreased during 2024, as compared to the previous year, primarily due to an $8.1 million increase in provision for credit losses that reflected a comprehensive loan portfolio review that the Bank elected to undertake as part of its ongoing commitment to continuously improve its credit risk management approach, as well as a $5.0 million increase in noninterest expense that reflected transaction-related costs associated with the Company’s July 2024 East Syracuse branch acquisition and October 2024 insurance agency asset sale. The 2024 decrease in net income was partially offset by a $4.3 million increase in noninterest income, a $2.1 million increase in net interest income before provision for credit losses, a $2.0 million decrease in provision for income taxes, and a $1.3 million increase in net income attributable to the noncontrolling interest. Basic and diluted earnings per share in 2024 were both $0.54 per share, as compared to $1.51 per share in 2023.</w:t>
      </w:r>
    </w:p>
    <w:p>
      <w:pPr>
        <w:spacing w:after="0" w:line="7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Return on average assets decreased 44 basis points to 0.23% in 2024 from 0.67% in 2023. Return on average equity decreased 534 basis points to 2.75% in 2024 as compared to 8.09% in 2023. The decreases in return on average assets and return on average equity in 2024, as compared to the previous year, were both primarily due to the aforementioned decrease in net income. Average assets increased in 2024 by $60.7 million, or 4.4%, as the Company grew its total assets by $9.1 million from December 31, 2023 to $1.47 billion at December 31, 2024.</w:t>
      </w:r>
    </w:p>
    <w:p>
      <w:pPr>
        <w:spacing w:after="0" w:line="71"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Net interest income before provision for credit losses increased $2.1 million, or 5.3%, to $41.0 million in 2024 on average interest earning assets of $1.37 billion, as compared to net interest income before provision for loan losses of $38.9 million in 2023 on average</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5" w:name="page36"/>
    <w:bookmarkEnd w:id="35"/>
    <w:p>
      <w:pPr>
        <w:spacing w:after="0" w:line="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interest earning assets of $1.32 billion. Interest and dividend income increased $10.7 million in 2024 to $78.4 million, as compared to $67.7 million in 2023. The income effects of the $53.4 million aggregate increase in the average balance of interest-earning assets were enhanced by an increase of 58 basis points in the overall average yield earned on those assets. These increases in interest income were partially offset by increases in interest expense, as interest expense increased $8.6 million due to an increase in the average rate paid on interest-bearing liabilities of 68 basis points in 2024 as compared to 2023, enhanced by an increase in the average balance of interest-bearing liabilities of $35.1 million during the same time period.</w:t>
      </w:r>
    </w:p>
    <w:p>
      <w:pPr>
        <w:spacing w:after="0" w:line="7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4"/>
          <w:szCs w:val="14"/>
          <w:color w:val="auto"/>
        </w:rPr>
        <w:t>The Company recorded a provision for credit losses of $11.0 million in 2024 as compared to $2.9 million in the prior year. The $8.1 million year-over-year increase in provision for credit losses primarily resulted from a comprehensive loan portfolio review during 2024 that the Bank elected to undertake as part of its commitment to continuously improve its credit risk management approach. Additionally, the provision for credit losses in 2024 reflected an increase in nonperforming loans of $4.9 million at December 31, 2024, as compared to December 31, 2023. The Company recorded $10.2 million in total loan charge-offs in 2024 as compared to $4.2 million in 2023. The increase in charge-off activity in 2024, as compared to the previous year, was primarily related to the aforementioned comprehensive loan portfolio review during the third quarter. The charge-offs in 2024 involved loans for which the charged-off amounts had been fully reserved for in prior periods.</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Total noninterest income was $9.6 million in 2024, an increase of $4.4 million, or 84.2%, from $5.2 million in 2023. This increase was primarily due to a gross, pre-tax gain of $3.2 million on the October 2024 sale of the Company’s insurance agency assets. The increase was also due in part to a $452,000 increase in net realized gains on marketable equity securities, a $259,000 increase in debit card interchange fees, a $224,000 increase in earnings and gain on bank owned life insurance, and a $187,000 increase in service charges on deposit accounts. All other components of noninterest income had an aggregate increase of $80,000.</w:t>
      </w:r>
    </w:p>
    <w:p>
      <w:pPr>
        <w:spacing w:after="0" w:line="7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Noninterest expenses totaled $34.4 million for 2024, which was an increase of $5.0 million, or 17.1%, from the $29.4 million reported for the previous year. This increase can be primarily attributed to expenses associated with the Company's growth activities, including the branch acquisition and operating costs related to the new East Syracuse location, and investments in technology to enhance digital banking services, which align with the Company’s long-term strategic plans.</w:t>
      </w:r>
    </w:p>
    <w:p>
      <w:pPr>
        <w:spacing w:after="0" w:line="68"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6"/>
          <w:szCs w:val="16"/>
          <w:color w:val="auto"/>
        </w:rPr>
        <w:t>Salaries and employee benefits, constituting the largest component of noninterest expenses, saw a year-over-year increase of $1.9 million, primarily attributed to increased headcount including staff associated with the East Syracuse branch acquired in July 2024, higher salaries and benefits costs associated with merit increases, and wage inflation. Professional and other services expense increased $1.7 million in 2024, as compared to 2023. This increase was primarily attributed to branch acquisition -related expenses, as well as an increase in technology project implementation services and other outsourced consulting services. An increase of $555,000 in occupancy and equipment expenses contributed to the annual increase in overall noninterest expenses, reflecting the Bank's investment in physical infrastructure and branch network expansion. Other increases in overall noninterest expense included a $ 453,000 increase in data processing primarily related to the opening of the new East Syracuse branch, and a $ 248,000 increase in insurance agency expense primarily associated with transaction-related expenses related to the Company's insurance agency assets sale in October 2024.</w:t>
      </w:r>
    </w:p>
    <w:p>
      <w:pPr>
        <w:spacing w:after="0" w:line="7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Net loan charge- offs to average loans were 1.09% for 2024, as compared to 0.43% for 2023. Nonperforming loans to total loans increased to 2.40% at December 31, 2024, compared to 1.92% at December 31, 2023. The allowance for credit losses to non-performing loans at December 31, 2024 was 78.08%, compared with 92.73% at December 31, 2023. Total nonperforming assets increased $4.7 million, or 27.1%, between December 31, 2023 and December 31, 2024, largely driven by an increase of $5.9 million in nonperforming commercial and commercial real estate loans, in addition to an increase of $1.4 million in nonperforming residential real estate loans, offset by a decrease in nonperforming consumer loans of $2.4 million.</w:t>
      </w:r>
    </w:p>
    <w:p>
      <w:pPr>
        <w:spacing w:after="0" w:line="7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Management monitors its loan portfolio closely and has incorporated our current estimate of the ultimate collectability of all loans into the reported allowance for credit losses at December 31, 2024. Overall, the ratio of the allowance for credit losses to year end loans increased to 1.88% at December 31, 2024 from 1.78% at December 31, 2023.</w:t>
      </w:r>
    </w:p>
    <w:p>
      <w:pPr>
        <w:spacing w:after="0" w:line="6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6"/>
          <w:szCs w:val="16"/>
          <w:color w:val="auto"/>
        </w:rPr>
        <w:t>Total past due loans measured as a percent of total loans, increased from 3.79% at December 31, 2023 to 3.81% at December 31, 2024, primarily due to increases of $2.0 million in past due commercial loans and $728,000 in past due residential loans, offset by a $1.7 million decrease in past due consumer loans. The level of nonperforming loans increased in aggregate by $4.9 million led by an increase of $5.9 million in nonperforming commercial and commercial real estate loans, in addition to an increase of $1.4 million in nonperforming residential real estate loans, and a decrease in nonperforming consumer loans of $2.4 million. Commensurate with the increase in nonperforming loans to year end loans, the ratio of nonperforming assets to total assets increased to 1.50% at December 31, 2024 from 1.19% at December 31, 2023.</w:t>
      </w:r>
    </w:p>
    <w:p>
      <w:pPr>
        <w:spacing w:after="0" w:line="7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The Company’s shareholders’ equity increased $2.0 million, or 1.7%, to $121.5 million at December 31, 2024 from $119.5 million at December 31, 2023. This increase was primarily due to a $1.8 million increase in retained earnings, a $461,000 decrease in accumulated other comprehensive loss, a $364,000 decrease in additional paid in capital, and a $135,000 increase in ESOP shares earned. The increase in retained earnings resulted from $3.4 million in net income recorded in 2024, and $863,000 from the deconsolidation of a subsidiary related to the insurance agency assets sale. Partially offsetting these increases in retained earnings were $1.9 million for cash dividends declared on our voting common stock, $552,000 for cash dividends declared on our non-voting common stock and $50,000 for cash</w:t>
      </w:r>
    </w:p>
    <w:p>
      <w:pPr>
        <w:spacing w:after="0" w:line="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6" w:name="page37"/>
    <w:bookmarkEnd w:id="36"/>
    <w:p>
      <w:pPr>
        <w:spacing w:after="0" w:line="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dividends declared on our issued warrant. Comprehensive loss decreased primarily as the result of a $363,000 gain on derivatives and hedging activities, an $82,000 adjustment to pension and post-retirement benefits, and a gain of $16,000 on available-for-sale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p>
      <w:pPr>
        <w:spacing w:after="0" w:line="9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Net interest income is the Company's primary source of operating income. It is the amount by which interest earned on interest-earning deposits, loans and investment securities exceeds the interest paid on deposits and borrowed money. Changes in net interest income and the net interest margin ratio resulted from the interaction between the volume and composition of interest-earning assets, interest-bearing liabilities, and their respective yields and funding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comments refer to the table of Average Balances and Rates and the Rate/Volume Analysis, both of which follow below.</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Net interest income, before provision for credit losses, increased $2.1 million, or 5.3%, to $41.0 million in 2024 as compared to $38.9 million in the previous year. Our net interest margin for the year ended December 31, 2024 increased to 2.98% from 2.95% for the comparable prior year. The increase in net interest income was primarily due to an increase in interest and dividend income of $10.7 million, or 15.8%, offset by a lesser increase in interest expense of $8.6 million, or 30.0%. The $1.2 million increase in interest and dividend income was primarily driven by the $ 21.8 million increase in loan balances, combined with a 57 basis points increase in average yield. The increase in interest expense was the result of an increase in average balances of deposit accounts, as well as an increase in average cost of deposits resulting from the high interest rate environment and increased competition.</w:t>
      </w:r>
    </w:p>
    <w:p>
      <w:pPr>
        <w:spacing w:after="0" w:line="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 w:name="page38"/>
    <w:bookmarkEnd w:id="37"/>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Average Balances and Rates</w:t>
      </w:r>
    </w:p>
    <w:p>
      <w:pPr>
        <w:spacing w:after="0" w:line="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following table sets forth information concerning average interest-earning assets and interest-bearing liabilities and the yields and rates thereon. Interest income and resultant yield information in the table has not been adjusted for tax equivalency. Averages are computed on the daily average balance for each month in the period divided by the number of days in the period. Yields and amounts earned include loan fees. Nonaccrual loans have been included in interest-earning assets for purposes of these calculations.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w w:val="99"/>
              </w:rPr>
              <w:t>2024</w:t>
            </w:r>
          </w:p>
        </w:tc>
        <w:tc>
          <w:tcPr>
            <w:tcW w:w="23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00" w:type="dxa"/>
            <w:vAlign w:val="bottom"/>
          </w:tcPr>
          <w:p>
            <w:pPr>
              <w:spacing w:after="0"/>
              <w:rPr>
                <w:sz w:val="16"/>
                <w:szCs w:val="16"/>
                <w:color w:val="auto"/>
              </w:rPr>
            </w:pPr>
          </w:p>
        </w:tc>
        <w:tc>
          <w:tcPr>
            <w:tcW w:w="9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Average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Average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Yield /</w:t>
            </w:r>
          </w:p>
        </w:tc>
        <w:tc>
          <w:tcPr>
            <w:tcW w:w="2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Average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Yield /</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Balance</w:t>
            </w:r>
          </w:p>
        </w:tc>
        <w:tc>
          <w:tcPr>
            <w:tcW w:w="18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Interest</w:t>
            </w: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Cost</w:t>
            </w:r>
          </w:p>
        </w:tc>
        <w:tc>
          <w:tcPr>
            <w:tcW w:w="2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Balance</w:t>
            </w:r>
          </w:p>
        </w:tc>
        <w:tc>
          <w:tcPr>
            <w:tcW w:w="2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Interest</w:t>
            </w: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903,941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52,705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899,605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47,348</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7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423,475</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22,939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2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379,600</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18,073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Tax-exempt investment securities</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30,861</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1,920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30,318</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1,947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6.42 %</w:t>
            </w: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 funds sold and interest-earning deposits</w:t>
            </w:r>
          </w:p>
        </w:tc>
        <w:tc>
          <w:tcPr>
            <w:tcW w:w="7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16,379</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793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2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11,730</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295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0" w:type="dxa"/>
            <w:vAlign w:val="bottom"/>
          </w:tcPr>
          <w:p>
            <w:pPr>
              <w:spacing w:after="0"/>
              <w:rPr>
                <w:sz w:val="1"/>
                <w:szCs w:val="1"/>
                <w:color w:val="auto"/>
              </w:rPr>
            </w:pPr>
          </w:p>
        </w:tc>
      </w:tr>
      <w:tr>
        <w:trPr>
          <w:trHeight w:val="188"/>
        </w:trPr>
        <w:tc>
          <w:tcPr>
            <w:tcW w:w="32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76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1,374,656</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78,357</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1,321,253</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67,663</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0" w:type="dxa"/>
            <w:vAlign w:val="bottom"/>
          </w:tcPr>
          <w:p>
            <w:pPr>
              <w:spacing w:after="0"/>
              <w:rPr>
                <w:sz w:val="1"/>
                <w:szCs w:val="1"/>
                <w:color w:val="auto"/>
              </w:rPr>
            </w:pPr>
          </w:p>
        </w:tc>
      </w:tr>
      <w:tr>
        <w:trPr>
          <w:trHeight w:val="136"/>
        </w:trPr>
        <w:tc>
          <w:tcPr>
            <w:tcW w:w="3200" w:type="dxa"/>
            <w:vAlign w:val="bottom"/>
            <w:vMerge w:val="continue"/>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12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14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Noninterest-earning assets: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102,582</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100,319</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7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(16,670 )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(17,870 )</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4"/>
                <w:szCs w:val="14"/>
                <w:color w:val="auto"/>
              </w:rPr>
              <w:t>Net unrealized losses</w:t>
            </w:r>
          </w:p>
        </w:tc>
        <w:tc>
          <w:tcPr>
            <w:tcW w:w="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on available-for-sale securities</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(9,769 )</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(13,600 )</w:t>
            </w: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1,450,799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1,390,102</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2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7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 accounts</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101,336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1,111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92,223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538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0.58 %</w:t>
            </w: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11,679</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14,116</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MMDA accounts</w:t>
            </w:r>
          </w:p>
        </w:tc>
        <w:tc>
          <w:tcPr>
            <w:tcW w:w="7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227,597</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8,020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2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239,182</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6,695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Savings and club accounts</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118,965</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0.26 %</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124,617</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274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7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517,352</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21,042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2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480,867</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15,743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Subordinated debt</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30,002</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1,966</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29,815</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1,941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7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114,471</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4,909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4.29 %</w:t>
            </w:r>
          </w:p>
        </w:tc>
        <w:tc>
          <w:tcPr>
            <w:tcW w:w="2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105,471</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3,538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1,121,402</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37,368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1,086,291</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28,744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Noninterest-bearing liabilities: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Demand deposits</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184,572</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172,950</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21,924</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16,037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1,327,898</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1,275,278</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7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122,901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114,824</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liabilities &amp; shareholders' equity</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1,450,799</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1,390,102</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Net interest income</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40,989</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68"/>
              <w:spacing w:after="0" w:line="144" w:lineRule="exact"/>
              <w:rPr>
                <w:sz w:val="20"/>
                <w:szCs w:val="20"/>
                <w:color w:val="auto"/>
              </w:rPr>
            </w:pPr>
            <w:r>
              <w:rPr>
                <w:rFonts w:ascii="Times New Roman" w:cs="Times New Roman" w:eastAsia="Times New Roman" w:hAnsi="Times New Roman"/>
                <w:sz w:val="14"/>
                <w:szCs w:val="14"/>
                <w:color w:val="auto"/>
              </w:rPr>
              <w:t>38,919</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rate spread</w:t>
            </w:r>
          </w:p>
        </w:tc>
        <w:tc>
          <w:tcPr>
            <w:tcW w:w="7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156"/>
        </w:trPr>
        <w:tc>
          <w:tcPr>
            <w:tcW w:w="32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Ratio of average interest-earning assets</w:t>
            </w:r>
          </w:p>
        </w:tc>
        <w:tc>
          <w:tcPr>
            <w:tcW w:w="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average interest-bearing liabilities</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122.58 %</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121.63 %</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 w:name="page39"/>
    <w:bookmarkEnd w:id="38"/>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Rate/Volume Analysis</w:t>
      </w:r>
    </w:p>
    <w:p>
      <w:pPr>
        <w:spacing w:after="0" w:line="9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Net interest income can also be analyzed in terms of the impact of changing interest rates on interest-earning assets and interest- bearing liabilities, and changes in the volume or amount of these assets and liabilities. The following table represents the extent to which changes in interest rates and changes in the volume of interest-earning assets and interest- bearing liabilities have affected the Company’s interest income and interest expense during the years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2024 vs 2023</w:t>
            </w:r>
          </w:p>
        </w:tc>
        <w:tc>
          <w:tcPr>
            <w:tcW w:w="200" w:type="dxa"/>
            <w:vAlign w:val="bottom"/>
          </w:tcPr>
          <w:p>
            <w:pPr>
              <w:spacing w:after="0"/>
              <w:rPr>
                <w:sz w:val="16"/>
                <w:szCs w:val="16"/>
                <w:color w:val="auto"/>
              </w:rPr>
            </w:pPr>
          </w:p>
        </w:tc>
        <w:tc>
          <w:tcPr>
            <w:tcW w:w="210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color w:val="auto"/>
              </w:rPr>
              <w:t>Years Ended December 31,</w:t>
            </w: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2023 vs 2022</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Increase/(Decrease) Due to</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Increase/(Decrease) Due to</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Increase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80"/>
        </w:trPr>
        <w:tc>
          <w:tcPr>
            <w:tcW w:w="30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Volume</w:t>
            </w:r>
          </w:p>
        </w:tc>
        <w:tc>
          <w:tcPr>
            <w:tcW w:w="4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Rate</w:t>
            </w:r>
          </w:p>
        </w:tc>
        <w:tc>
          <w:tcPr>
            <w:tcW w:w="2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(Decrease)</w:t>
            </w:r>
          </w:p>
        </w:tc>
        <w:tc>
          <w:tcPr>
            <w:tcW w:w="3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Volume</w:t>
            </w:r>
          </w:p>
        </w:tc>
        <w:tc>
          <w:tcPr>
            <w:tcW w:w="38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Rate</w:t>
            </w:r>
          </w:p>
        </w:tc>
        <w:tc>
          <w:tcPr>
            <w:tcW w:w="20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229</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5,128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5,357</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1,601</w:t>
            </w:r>
          </w:p>
        </w:tc>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(305 )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68"/>
        </w:trPr>
        <w:tc>
          <w:tcPr>
            <w:tcW w:w="3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1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2,220</w:t>
            </w: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2,646</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4,866</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1,132</w:t>
            </w: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1,746</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2,878</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Tax-exempt investment securities</w:t>
            </w:r>
          </w:p>
        </w:tc>
        <w:tc>
          <w:tcPr>
            <w:tcW w:w="12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4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(61 )</w:t>
            </w:r>
          </w:p>
        </w:tc>
        <w:tc>
          <w:tcPr>
            <w:tcW w:w="2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(27 )</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494</w:t>
            </w:r>
          </w:p>
        </w:tc>
        <w:tc>
          <w:tcPr>
            <w:tcW w:w="38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463</w:t>
            </w:r>
          </w:p>
        </w:tc>
        <w:tc>
          <w:tcPr>
            <w:tcW w:w="2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68"/>
        </w:trPr>
        <w:tc>
          <w:tcPr>
            <w:tcW w:w="3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Interest-earning deposits</w:t>
            </w:r>
          </w:p>
        </w:tc>
        <w:tc>
          <w:tcPr>
            <w:tcW w:w="1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349</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498</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144</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12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2,632</w:t>
            </w:r>
          </w:p>
        </w:tc>
        <w:tc>
          <w:tcPr>
            <w:tcW w:w="4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8,062</w:t>
            </w:r>
          </w:p>
        </w:tc>
        <w:tc>
          <w:tcPr>
            <w:tcW w:w="2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10,694</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3,223</w:t>
            </w:r>
          </w:p>
        </w:tc>
        <w:tc>
          <w:tcPr>
            <w:tcW w:w="38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2,048</w:t>
            </w:r>
          </w:p>
        </w:tc>
        <w:tc>
          <w:tcPr>
            <w:tcW w:w="2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5,271</w:t>
            </w:r>
          </w:p>
        </w:tc>
        <w:tc>
          <w:tcPr>
            <w:tcW w:w="0" w:type="dxa"/>
            <w:vAlign w:val="bottom"/>
          </w:tcPr>
          <w:p>
            <w:pPr>
              <w:spacing w:after="0"/>
              <w:rPr>
                <w:sz w:val="1"/>
                <w:szCs w:val="1"/>
                <w:color w:val="auto"/>
              </w:rPr>
            </w:pPr>
          </w:p>
        </w:tc>
      </w:tr>
      <w:tr>
        <w:trPr>
          <w:trHeight w:val="168"/>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 accounts</w:t>
            </w:r>
          </w:p>
        </w:tc>
        <w:tc>
          <w:tcPr>
            <w:tcW w:w="12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c>
          <w:tcPr>
            <w:tcW w:w="4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515</w:t>
            </w:r>
          </w:p>
        </w:tc>
        <w:tc>
          <w:tcPr>
            <w:tcW w:w="2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573</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8"/>
        </w:trPr>
        <w:tc>
          <w:tcPr>
            <w:tcW w:w="3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124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(3 )</w:t>
            </w:r>
          </w:p>
        </w:tc>
        <w:tc>
          <w:tcPr>
            <w:tcW w:w="42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(2 )</w:t>
            </w:r>
          </w:p>
        </w:tc>
        <w:tc>
          <w:tcPr>
            <w:tcW w:w="36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12"/>
        </w:trPr>
        <w:tc>
          <w:tcPr>
            <w:tcW w:w="30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70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MMDA accounts</w:t>
            </w:r>
          </w:p>
        </w:tc>
        <w:tc>
          <w:tcPr>
            <w:tcW w:w="12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(338 )</w:t>
            </w:r>
          </w:p>
        </w:tc>
        <w:tc>
          <w:tcPr>
            <w:tcW w:w="4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1,663</w:t>
            </w:r>
          </w:p>
        </w:tc>
        <w:tc>
          <w:tcPr>
            <w:tcW w:w="2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1,325</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886</w:t>
            </w:r>
          </w:p>
        </w:tc>
        <w:tc>
          <w:tcPr>
            <w:tcW w:w="2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951</w:t>
            </w:r>
          </w:p>
        </w:tc>
        <w:tc>
          <w:tcPr>
            <w:tcW w:w="0" w:type="dxa"/>
            <w:vAlign w:val="bottom"/>
          </w:tcPr>
          <w:p>
            <w:pPr>
              <w:spacing w:after="0"/>
              <w:rPr>
                <w:sz w:val="1"/>
                <w:szCs w:val="1"/>
                <w:color w:val="auto"/>
              </w:rPr>
            </w:pPr>
          </w:p>
        </w:tc>
      </w:tr>
      <w:tr>
        <w:trPr>
          <w:trHeight w:val="168"/>
        </w:trPr>
        <w:tc>
          <w:tcPr>
            <w:tcW w:w="3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Savings and club accounts</w:t>
            </w:r>
          </w:p>
        </w:tc>
        <w:tc>
          <w:tcPr>
            <w:tcW w:w="1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(13 )</w:t>
            </w: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2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1,263</w:t>
            </w:r>
          </w:p>
        </w:tc>
        <w:tc>
          <w:tcPr>
            <w:tcW w:w="4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4,036</w:t>
            </w:r>
          </w:p>
        </w:tc>
        <w:tc>
          <w:tcPr>
            <w:tcW w:w="2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5,299</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441</w:t>
            </w:r>
          </w:p>
        </w:tc>
        <w:tc>
          <w:tcPr>
            <w:tcW w:w="38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881</w:t>
            </w:r>
          </w:p>
        </w:tc>
        <w:tc>
          <w:tcPr>
            <w:tcW w:w="2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1,322</w:t>
            </w:r>
          </w:p>
        </w:tc>
        <w:tc>
          <w:tcPr>
            <w:tcW w:w="0" w:type="dxa"/>
            <w:vAlign w:val="bottom"/>
          </w:tcPr>
          <w:p>
            <w:pPr>
              <w:spacing w:after="0"/>
              <w:rPr>
                <w:sz w:val="1"/>
                <w:szCs w:val="1"/>
                <w:color w:val="auto"/>
              </w:rPr>
            </w:pPr>
          </w:p>
        </w:tc>
      </w:tr>
      <w:tr>
        <w:trPr>
          <w:trHeight w:val="168"/>
        </w:trPr>
        <w:tc>
          <w:tcPr>
            <w:tcW w:w="3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Subordinated debt</w:t>
            </w:r>
          </w:p>
        </w:tc>
        <w:tc>
          <w:tcPr>
            <w:tcW w:w="1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68"/>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2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322</w:t>
            </w:r>
          </w:p>
        </w:tc>
        <w:tc>
          <w:tcPr>
            <w:tcW w:w="4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1,049</w:t>
            </w:r>
          </w:p>
        </w:tc>
        <w:tc>
          <w:tcPr>
            <w:tcW w:w="2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1,371</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3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(51 )</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0" w:type="dxa"/>
            <w:vAlign w:val="bottom"/>
          </w:tcPr>
          <w:p>
            <w:pPr>
              <w:spacing w:after="0"/>
              <w:rPr>
                <w:sz w:val="1"/>
                <w:szCs w:val="1"/>
                <w:color w:val="auto"/>
              </w:rPr>
            </w:pPr>
          </w:p>
        </w:tc>
      </w:tr>
      <w:tr>
        <w:trPr>
          <w:trHeight w:val="168"/>
        </w:trPr>
        <w:tc>
          <w:tcPr>
            <w:tcW w:w="3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1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1,301</w:t>
            </w: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7,323</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8,624</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275</w:t>
            </w: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1,888</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16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change in net interest income</w:t>
            </w: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1,331</w:t>
            </w:r>
          </w:p>
        </w:tc>
        <w:tc>
          <w:tcPr>
            <w:tcW w:w="4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2,070</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2,948</w:t>
            </w:r>
          </w:p>
        </w:tc>
        <w:tc>
          <w:tcPr>
            <w:tcW w:w="3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3,108</w:t>
            </w:r>
          </w:p>
        </w:tc>
        <w:tc>
          <w:tcPr>
            <w:tcW w:w="0" w:type="dxa"/>
            <w:vAlign w:val="bottom"/>
          </w:tcPr>
          <w:p>
            <w:pPr>
              <w:spacing w:after="0"/>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Income</w:t>
      </w:r>
    </w:p>
    <w:p>
      <w:pPr>
        <w:spacing w:after="0" w:line="94"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Changes in interest income result from changes in the average balances of loans, securities, and interest-earning deposits and the related average yields on those balances.</w:t>
      </w:r>
    </w:p>
    <w:p>
      <w:pPr>
        <w:spacing w:after="0" w:line="5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Interest and dividend income increased $10.7 million, or 15.8%, to $78.4 million in 2024 as compared to $67.7 million in 2023 due principally to the $53.4 million, or 4.0%, increase in average interest-earning assets and a 58 basis points increase in the average yield on average interest-earning assets. The average yield earned on loans increased 57 basis points in 2024, when compared to 2023, as a result of higher interest rates associated with variable rate loans. The average balance of loans increased $4.3 million, or 0.5%, in 2024, as compared to the previous year mostly due to the increase in average commercial real estate loans and home equity and junior liens.</w:t>
      </w:r>
    </w:p>
    <w:p>
      <w:pPr>
        <w:jc w:val="both"/>
        <w:ind w:right="100"/>
        <w:spacing w:after="0" w:line="236" w:lineRule="auto"/>
        <w:rPr>
          <w:sz w:val="20"/>
          <w:szCs w:val="20"/>
          <w:color w:val="auto"/>
        </w:rPr>
      </w:pPr>
      <w:r>
        <w:rPr>
          <w:rFonts w:ascii="Times New Roman" w:cs="Times New Roman" w:eastAsia="Times New Roman" w:hAnsi="Times New Roman"/>
          <w:sz w:val="16"/>
          <w:szCs w:val="16"/>
          <w:color w:val="auto"/>
        </w:rPr>
        <w:t>The average yield earned on taxable investment securities increased 66 basis points to 5.42% in 2024 as compared to 4.76% in 2023, primarily as a result of the higher interest rate environment in 2024. In addition, the average balance of taxable investment securities increased $43.9 million, or 11.6%, when compared to the prior year primarily due to increased purchases of securities in 2024 intended to take advantage of certain dynamics in the interest rate environment. In combination, these factors resulted in a $4.9 million increase in interest income associated with taxable investment securities in 2024, as compared to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9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Interest expense increased $8.6 million, or 30.0%, to $37.4 million in 2024, as compared to $28.7 million in the previous year. The year-over-year increase in interest expense was primarily driven by the higher interest rate environment in 2024 and continued competition for deposits. The average rate paid on interest-bearing deposits increased by 90 basis points to 4.16% in 2024 as compared to 3.26% in the previous year. The average cost of all interest -bearing liabilities increased from 2.65% in 2023 to 3.33% in 2024. In addition, the year-over- year increase in interest expense resulted from increases in the average balances of deposits and borrowings. The average balance of total interest -bearing liabilities increased $35.1 million, or 3.2%, in 2024, as compared to 2023, and the average balance of all deposits increased by $37.5 million, or 3.3% in 2024, as compared to the previous year, primarily due to the East Syracuse branch acquisition.</w:t>
      </w:r>
    </w:p>
    <w:p>
      <w:pPr>
        <w:spacing w:after="0" w:line="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p>
      <w:pPr>
        <w:spacing w:after="0" w:line="9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We establish a provision for credit losses, which is recorded to operations, at a level management believes is appropriate to absorb lifetime credit losses in the loan portfolio. In evaluating the level of the allowance for credit losses, management considers historical loss experience, the types and amount of loans in the loan portfolio, adverse situations that may affect a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73"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The Company recorded a provision for credit losses of $11.0 million in 2024 as compared to $2.9 million in the prior year. The $8.1 million year-over-year increase in provision for credit losses was primarily due to a comprehensive loan portfolio review during 2024 that the Bank elected to undertake as part of its commitment to continuously improve its credit risk management approach. The Company recorded $9.8 million in net charge- offs in 2024 as compared to $ 4.2 million in net charge-offs in 2023. The ratio of net charge-offs to average loans therefore increased to 1.09% in 2024 from 0.47% in 2023. Further information on earnings per share can be found in Note 1 to the consolidated financial statements of this Form 10-K.</w:t>
      </w:r>
    </w:p>
    <w:p>
      <w:pPr>
        <w:spacing w:after="0" w:line="73"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Nonperforming loans to total loans increased to 2.40% at December 31, 2024 as compared to 1.92% at December 31, 2023. The allowance for credit losses to non-performing loans at December 31, 2024 was 78.1%, compared with 92.7% at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p>
      <w:pPr>
        <w:spacing w:after="0" w:line="9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Company's noninterest income is primarily comprised of fees on deposit account balances and transactions, loan servicing, commissions and net gains or losses on sales of securities, loans, and foreclosed real estate.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certain information on noninterest income for the years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For the years ended,</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Change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1,436</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1,249</w:t>
            </w:r>
          </w:p>
        </w:tc>
        <w:tc>
          <w:tcPr>
            <w:tcW w:w="8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187</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Earnings and gain on bank owned life insurance</w:t>
            </w:r>
          </w:p>
        </w:tc>
        <w:tc>
          <w:tcPr>
            <w:tcW w:w="1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854</w:t>
            </w:r>
          </w:p>
        </w:tc>
        <w:tc>
          <w:tcPr>
            <w:tcW w:w="5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630</w:t>
            </w:r>
          </w:p>
        </w:tc>
        <w:tc>
          <w:tcPr>
            <w:tcW w:w="8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224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w:t>
            </w:r>
          </w:p>
        </w:tc>
        <w:tc>
          <w:tcPr>
            <w:tcW w:w="11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375</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307</w:t>
            </w:r>
          </w:p>
        </w:tc>
        <w:tc>
          <w:tcPr>
            <w:tcW w:w="800" w:type="dxa"/>
            <w:vAlign w:val="bottom"/>
          </w:tcPr>
          <w:p>
            <w:pPr>
              <w:spacing w:after="0"/>
              <w:rPr>
                <w:sz w:val="14"/>
                <w:szCs w:val="14"/>
                <w:color w:val="auto"/>
              </w:rPr>
            </w:pPr>
          </w:p>
        </w:tc>
        <w:tc>
          <w:tcPr>
            <w:tcW w:w="13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68</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Debit card interchange fees</w:t>
            </w:r>
          </w:p>
        </w:tc>
        <w:tc>
          <w:tcPr>
            <w:tcW w:w="1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875</w:t>
            </w:r>
          </w:p>
        </w:tc>
        <w:tc>
          <w:tcPr>
            <w:tcW w:w="5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616</w:t>
            </w:r>
          </w:p>
        </w:tc>
        <w:tc>
          <w:tcPr>
            <w:tcW w:w="8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259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agency revenue</w:t>
            </w:r>
          </w:p>
        </w:tc>
        <w:tc>
          <w:tcPr>
            <w:tcW w:w="11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1,073</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1,304</w:t>
            </w:r>
          </w:p>
        </w:tc>
        <w:tc>
          <w:tcPr>
            <w:tcW w:w="80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(231)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charges, commissions and fees</w:t>
            </w:r>
          </w:p>
        </w:tc>
        <w:tc>
          <w:tcPr>
            <w:tcW w:w="1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1,234</w:t>
            </w:r>
          </w:p>
        </w:tc>
        <w:tc>
          <w:tcPr>
            <w:tcW w:w="5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138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 before gains and losses</w:t>
            </w:r>
          </w:p>
        </w:tc>
        <w:tc>
          <w:tcPr>
            <w:tcW w:w="11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5,847</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5,202</w:t>
            </w:r>
          </w:p>
        </w:tc>
        <w:tc>
          <w:tcPr>
            <w:tcW w:w="800" w:type="dxa"/>
            <w:vAlign w:val="bottom"/>
          </w:tcPr>
          <w:p>
            <w:pPr>
              <w:spacing w:after="0"/>
              <w:rPr>
                <w:sz w:val="14"/>
                <w:szCs w:val="14"/>
                <w:color w:val="auto"/>
              </w:rPr>
            </w:pPr>
          </w:p>
        </w:tc>
        <w:tc>
          <w:tcPr>
            <w:tcW w:w="13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645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Gains on sales and redemptions of investment securities</w:t>
            </w:r>
          </w:p>
        </w:tc>
        <w:tc>
          <w:tcPr>
            <w:tcW w:w="1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w:t>
            </w:r>
          </w:p>
        </w:tc>
        <w:tc>
          <w:tcPr>
            <w:tcW w:w="5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62</w:t>
            </w:r>
          </w:p>
        </w:tc>
        <w:tc>
          <w:tcPr>
            <w:tcW w:w="8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(133)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w:t>
            </w:r>
          </w:p>
        </w:tc>
        <w:tc>
          <w:tcPr>
            <w:tcW w:w="11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3,169</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13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3,169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rPr>
              <w:t>187</w:t>
            </w:r>
          </w:p>
        </w:tc>
        <w:tc>
          <w:tcPr>
            <w:tcW w:w="5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rPr>
              <w:t>181</w:t>
            </w:r>
          </w:p>
        </w:tc>
        <w:tc>
          <w:tcPr>
            <w:tcW w:w="8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4"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 on sales of loans and foreclosed real estate</w:t>
            </w:r>
          </w:p>
        </w:tc>
        <w:tc>
          <w:tcPr>
            <w:tcW w:w="1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premises and equipment</w:t>
            </w:r>
          </w:p>
        </w:tc>
        <w:tc>
          <w:tcPr>
            <w:tcW w:w="1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Non-recurring gain on lease renegotiations</w:t>
            </w:r>
          </w:p>
        </w:tc>
        <w:tc>
          <w:tcPr>
            <w:tcW w:w="1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245</w:t>
            </w:r>
          </w:p>
        </w:tc>
        <w:tc>
          <w:tcPr>
            <w:tcW w:w="5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245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on marketable equity securities</w:t>
            </w:r>
          </w:p>
        </w:tc>
        <w:tc>
          <w:tcPr>
            <w:tcW w:w="11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197</w:t>
            </w:r>
          </w:p>
        </w:tc>
        <w:tc>
          <w:tcPr>
            <w:tcW w:w="5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w:t>
            </w:r>
          </w:p>
        </w:tc>
        <w:tc>
          <w:tcPr>
            <w:tcW w:w="800" w:type="dxa"/>
            <w:vAlign w:val="bottom"/>
          </w:tcPr>
          <w:p>
            <w:pPr>
              <w:spacing w:after="0"/>
              <w:rPr>
                <w:sz w:val="14"/>
                <w:szCs w:val="14"/>
                <w:color w:val="auto"/>
              </w:rPr>
            </w:pPr>
          </w:p>
        </w:tc>
        <w:tc>
          <w:tcPr>
            <w:tcW w:w="13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452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208"/>
        </w:trPr>
        <w:tc>
          <w:tcPr>
            <w:tcW w:w="3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10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9,561</w:t>
            </w:r>
          </w:p>
        </w:tc>
        <w:tc>
          <w:tcPr>
            <w:tcW w:w="580" w:type="dxa"/>
            <w:vAlign w:val="bottom"/>
            <w:tcBorders>
              <w:bottom w:val="single" w:sz="8" w:color="auto"/>
            </w:tcBorders>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5,190</w:t>
            </w:r>
          </w:p>
        </w:tc>
        <w:tc>
          <w:tcPr>
            <w:tcW w:w="80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4,371</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Total noninterest income was $9.6 million in 2024, an increase of $4.4 million, or 84.2%, from $5.2 million in 2023. This increase was primarily due to a gross, pre-tax gain of $3.2 million on the October 2024 sale of the Company’s insurance agency assets. The increase was also due in part to a $452,000 increase in net realized gains on marketable equity securities, and a non-recurring gain of $245,000 during the first quarter of 2024 related to refunds received from cumulative lessor related pass-through operating expense charges for a single leased branch location.</w:t>
      </w:r>
    </w:p>
    <w:p>
      <w:pPr>
        <w:spacing w:after="0" w:line="7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Noninterest income before recorded gains and losses, increased $645,000, or 12.4%, to $5.8 million in 2024 as compared to $5.2 million in 2023. Factors contributing to this year -over-year increase included a $259,000 increase in debit card interchange fees due to an increase in transactional revenues volume, as well as a $224,000 increase in earnings and gain on bank owned life insurance ("BOLI") which was primarily attributable to the recording of a $175,000 third quarter net death benefit on BOLI. Additionally, the $138,000 increase in other charges, commissions and fees can be mostly attributed to New York State cumulative mortgage recording tax refunds recorded in the first quarter of 2024 in the amount of $141,000 and other miscellaneous fees.</w:t>
      </w:r>
    </w:p>
    <w:p>
      <w:pPr>
        <w:spacing w:after="0" w:line="34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0" w:name="page41"/>
    <w:bookmarkEnd w:id="40"/>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certain information on noninterest expense for the years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For the years ended,</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Pr>
          <w:p>
            <w:pPr>
              <w:spacing w:after="0"/>
              <w:rPr>
                <w:sz w:val="15"/>
                <w:szCs w:val="15"/>
                <w:color w:val="auto"/>
              </w:rPr>
            </w:pP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Change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76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17,810</w:t>
            </w:r>
          </w:p>
        </w:tc>
        <w:tc>
          <w:tcPr>
            <w:tcW w:w="60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15,920</w:t>
            </w:r>
          </w:p>
        </w:tc>
        <w:tc>
          <w:tcPr>
            <w:tcW w:w="840" w:type="dxa"/>
            <w:vAlign w:val="bottom"/>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1,890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occupancy</w:t>
            </w:r>
          </w:p>
        </w:tc>
        <w:tc>
          <w:tcPr>
            <w:tcW w:w="17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4,118</w:t>
            </w:r>
          </w:p>
        </w:tc>
        <w:tc>
          <w:tcPr>
            <w:tcW w:w="6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3,563</w:t>
            </w:r>
          </w:p>
        </w:tc>
        <w:tc>
          <w:tcPr>
            <w:tcW w:w="840" w:type="dxa"/>
            <w:vAlign w:val="bottom"/>
          </w:tcPr>
          <w:p>
            <w:pPr>
              <w:spacing w:after="0"/>
              <w:rPr>
                <w:sz w:val="14"/>
                <w:szCs w:val="14"/>
                <w:color w:val="auto"/>
              </w:rPr>
            </w:pPr>
          </w:p>
        </w:tc>
        <w:tc>
          <w:tcPr>
            <w:tcW w:w="14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555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16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Data processing</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2,471</w:t>
            </w:r>
          </w:p>
        </w:tc>
        <w:tc>
          <w:tcPr>
            <w:tcW w:w="6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2,018</w:t>
            </w:r>
          </w:p>
        </w:tc>
        <w:tc>
          <w:tcPr>
            <w:tcW w:w="8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453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17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3,686</w:t>
            </w:r>
          </w:p>
        </w:tc>
        <w:tc>
          <w:tcPr>
            <w:tcW w:w="6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2,019</w:t>
            </w:r>
          </w:p>
        </w:tc>
        <w:tc>
          <w:tcPr>
            <w:tcW w:w="840" w:type="dxa"/>
            <w:vAlign w:val="bottom"/>
          </w:tcPr>
          <w:p>
            <w:pPr>
              <w:spacing w:after="0"/>
              <w:rPr>
                <w:sz w:val="14"/>
                <w:szCs w:val="14"/>
                <w:color w:val="auto"/>
              </w:rPr>
            </w:pPr>
          </w:p>
        </w:tc>
        <w:tc>
          <w:tcPr>
            <w:tcW w:w="14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1,667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82.6 %</w:t>
            </w:r>
          </w:p>
        </w:tc>
        <w:tc>
          <w:tcPr>
            <w:tcW w:w="0" w:type="dxa"/>
            <w:vAlign w:val="bottom"/>
          </w:tcPr>
          <w:p>
            <w:pPr>
              <w:spacing w:after="0"/>
              <w:rPr>
                <w:sz w:val="1"/>
                <w:szCs w:val="1"/>
                <w:color w:val="auto"/>
              </w:rPr>
            </w:pPr>
          </w:p>
        </w:tc>
      </w:tr>
      <w:tr>
        <w:trPr>
          <w:trHeight w:val="28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17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604</w:t>
            </w:r>
          </w:p>
        </w:tc>
        <w:tc>
          <w:tcPr>
            <w:tcW w:w="60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840" w:type="dxa"/>
            <w:vAlign w:val="bottom"/>
            <w:shd w:val="clear" w:color="auto" w:fill="CFF0FC"/>
          </w:tcPr>
          <w:p>
            <w:pPr>
              <w:spacing w:after="0"/>
              <w:rPr>
                <w:sz w:val="24"/>
                <w:szCs w:val="24"/>
                <w:color w:val="auto"/>
              </w:rPr>
            </w:pPr>
          </w:p>
        </w:tc>
        <w:tc>
          <w:tcPr>
            <w:tcW w:w="140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(67 )</w:t>
            </w:r>
          </w:p>
        </w:tc>
        <w:tc>
          <w:tcPr>
            <w:tcW w:w="900" w:type="dxa"/>
            <w:vAlign w:val="bottom"/>
            <w:shd w:val="clear" w:color="auto" w:fill="CFF0FC"/>
          </w:tcPr>
          <w:p>
            <w:pPr>
              <w:jc w:val="right"/>
              <w:spacing w:after="0" w:line="288" w:lineRule="exact"/>
              <w:rPr>
                <w:sz w:val="20"/>
                <w:szCs w:val="20"/>
                <w:color w:val="auto"/>
              </w:rPr>
            </w:pPr>
            <w:r>
              <w:rPr>
                <w:rFonts w:ascii="Times New Roman" w:cs="Times New Roman" w:eastAsia="Times New Roman" w:hAnsi="Times New Roman"/>
                <w:sz w:val="14"/>
                <w:szCs w:val="14"/>
                <w:color w:val="auto"/>
              </w:rPr>
              <w:t xml:space="preserve">-10.0 </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17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916</w:t>
            </w:r>
          </w:p>
        </w:tc>
        <w:tc>
          <w:tcPr>
            <w:tcW w:w="6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c>
          <w:tcPr>
            <w:tcW w:w="840" w:type="dxa"/>
            <w:vAlign w:val="bottom"/>
          </w:tcPr>
          <w:p>
            <w:pPr>
              <w:spacing w:after="0"/>
              <w:rPr>
                <w:sz w:val="14"/>
                <w:szCs w:val="14"/>
                <w:color w:val="auto"/>
              </w:rPr>
            </w:pPr>
          </w:p>
        </w:tc>
        <w:tc>
          <w:tcPr>
            <w:tcW w:w="14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6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Audits and exams</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539</w:t>
            </w:r>
          </w:p>
        </w:tc>
        <w:tc>
          <w:tcPr>
            <w:tcW w:w="6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735</w:t>
            </w:r>
          </w:p>
        </w:tc>
        <w:tc>
          <w:tcPr>
            <w:tcW w:w="8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(196 )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agency expense</w:t>
            </w:r>
          </w:p>
        </w:tc>
        <w:tc>
          <w:tcPr>
            <w:tcW w:w="17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1,281</w:t>
            </w:r>
          </w:p>
        </w:tc>
        <w:tc>
          <w:tcPr>
            <w:tcW w:w="6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1,033</w:t>
            </w:r>
          </w:p>
        </w:tc>
        <w:tc>
          <w:tcPr>
            <w:tcW w:w="840" w:type="dxa"/>
            <w:vAlign w:val="bottom"/>
          </w:tcPr>
          <w:p>
            <w:pPr>
              <w:spacing w:after="0"/>
              <w:rPr>
                <w:sz w:val="14"/>
                <w:szCs w:val="14"/>
                <w:color w:val="auto"/>
              </w:rPr>
            </w:pPr>
          </w:p>
        </w:tc>
        <w:tc>
          <w:tcPr>
            <w:tcW w:w="14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248</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0" w:type="dxa"/>
            <w:vAlign w:val="bottom"/>
          </w:tcPr>
          <w:p>
            <w:pPr>
              <w:spacing w:after="0"/>
              <w:rPr>
                <w:sz w:val="1"/>
                <w:szCs w:val="1"/>
                <w:color w:val="auto"/>
              </w:rPr>
            </w:pPr>
          </w:p>
        </w:tc>
      </w:tr>
      <w:tr>
        <w:trPr>
          <w:trHeight w:val="16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Community service activities</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130</w:t>
            </w:r>
          </w:p>
        </w:tc>
        <w:tc>
          <w:tcPr>
            <w:tcW w:w="6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8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(70 )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expenses</w:t>
            </w:r>
          </w:p>
        </w:tc>
        <w:tc>
          <w:tcPr>
            <w:tcW w:w="17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w:t>
            </w:r>
          </w:p>
        </w:tc>
        <w:tc>
          <w:tcPr>
            <w:tcW w:w="6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840" w:type="dxa"/>
            <w:vAlign w:val="bottom"/>
          </w:tcPr>
          <w:p>
            <w:pPr>
              <w:spacing w:after="0"/>
              <w:rPr>
                <w:sz w:val="14"/>
                <w:szCs w:val="14"/>
                <w:color w:val="auto"/>
              </w:rPr>
            </w:pPr>
          </w:p>
        </w:tc>
        <w:tc>
          <w:tcPr>
            <w:tcW w:w="140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(9 )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16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2,760</w:t>
            </w:r>
          </w:p>
        </w:tc>
        <w:tc>
          <w:tcPr>
            <w:tcW w:w="6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2,240</w:t>
            </w:r>
          </w:p>
        </w:tc>
        <w:tc>
          <w:tcPr>
            <w:tcW w:w="8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520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168"/>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1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34,417</w:t>
            </w:r>
          </w:p>
        </w:tc>
        <w:tc>
          <w:tcPr>
            <w:tcW w:w="6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29,395</w:t>
            </w:r>
          </w:p>
        </w:tc>
        <w:tc>
          <w:tcPr>
            <w:tcW w:w="8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5,022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Noninterest expenses totaled $34.4 million for 2024, which was an increase of $5.0 million, or 17.1%, from the $29.4 million reported for the previous year. This increase can be primarily attributed to expenses associated with the Company's growth activities, including branch acquisition and operating costs related to the new East Syracuse location, and investments in technology to enhance digital banking services, which align with the Company’s long-term strategic plans.</w:t>
      </w:r>
    </w:p>
    <w:p>
      <w:pPr>
        <w:spacing w:after="0" w:line="16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Salaries and employee benefits, constituting the largest component of noninterest expenses, saw a year-over-year increase of $1.9 million, primarily attributed to increased headcount including staff associated with the East Syracuse branch acquired in July 2024, higher salaries, and benefits costs associated with merit increases and wage inflation. Professional and other services expense increased $1.7 million in 2024, as compared to 2023. This increase was primarily attributed to branch acquisition -related expenses, as well as an increase in technology project implementation services and other outsourced consulting services. An increase of $555,000 in occupancy and equipment expenses contributed to the annual increase in overall noninterest expense, reflecting the Bank's investment in physical infrastructure and branch network expansion. Other increases in overall noninterest expense included a $453,000 increase in data processing mostly related to the opening of the new East Syracuse branch, and a $248,000 increase in insurance agency expense primarily associated with transaction-related expenses related to the Company's insurance agency assets sale in October 2024. The increase in other expenses of $520,000 was primarily due to amortization expenses of a core deposit intangible related to the East Syracuse branch acquisition, in addition to increased costs associated with opening and operating the new location in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Company reported income tax expense of $ 332,000 in 2024 and $2.4 million in 2023, a decrease of $2.1 million when compared to the previous year. This decrease was primarily the result of a decrease in income before income taxes.</w:t>
      </w:r>
    </w:p>
    <w:p>
      <w:pPr>
        <w:spacing w:after="0" w:line="59"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The Company’s effective tax rate was 8.9% in 2024, as compared to 20.8% in 2023. The effective tax rate for 2024 decreased 11.9% from 2023 due to a larger proportional effect of favorable permanent tax differences on lower pretax income.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Maryland business corporation, the Company is required to file an annual report with, and pay franchise taxes to, the State of Maryland.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17 to the consolidated financial statements for the reconciliation of the statutory tax rate to the effective tax 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94"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Basic and diluted earnings per share for the year ended December 31, 2024 were both $0.54, as compared to basic and diluted earnings per share of $1.51 for the year ended December 31, 2023. The decrease in earnings per share between these two years was due to the decrease in net income available to common shareholders between these two time periods. Further information on earnings per share can be found in Note 3 to the consolidated financial statements of this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FINANCIAL CONDITION</w:t>
      </w:r>
    </w:p>
    <w:p>
      <w:pPr>
        <w:spacing w:after="0" w:line="9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The Company's total assets were $1.47 billion at December 31, 2024, an increase of $9.1 million, or 0.6% from December 31, 2023. The increase was primarily the result of a $20.5 million increase in loans receivable, net, a $12.6 million increase in finance lease right- of-use assets, and a $10.6 million increase in available-for-sale securities, partially offset by a $20.6 million decrease in held-to-maturity securities, and a $18.8 million decrease in interest-earning deposits. All other asset categories had a net decrease of $4.8 million.</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 w:name="page42"/>
    <w:bookmarkEnd w:id="41"/>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Securities</w:t>
      </w:r>
    </w:p>
    <w:p>
      <w:pPr>
        <w:spacing w:after="0" w:line="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4"/>
          <w:szCs w:val="14"/>
          <w:color w:val="auto"/>
        </w:rPr>
        <w:t>The average balance of the investment portfolio represented 33.1% of the Company’s average interest-earning assets in 2024 and is designed to generate a favorable rate of return in consideration of all risk factors associated with debt securities while assisting the Company in meeting its liquidity needs and interest rate risk strategies. All of the Company’s investments, with the exception of marketable equity securities, are classified as either available-for-sale or held-to-maturity. The Company does not hold any trading securities. The Company invests in securities issued by United States Government agencies and sponsored enterprises (“GSE”), mortgage-backed securities, collateralized mortgage obligations, state and municipal obligations, mutual funds, equity securities, investment grade corporate debt instruments, and common stock issued by the FHLBNY. By investing in these types of assets, the Company reduces the credit risk of its asset base through geographical and collateral-type diversification but must accept lower yields than would typically be available on loan products. Our mortgage-backed securities and collateralized mortgage obligation portfolios include privately-issued but substantially collateralized pass-through securities as well as pass-through securities guaranteed by GSEs.</w:t>
      </w:r>
    </w:p>
    <w:p>
      <w:pPr>
        <w:spacing w:after="0" w:line="5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At December 31, 2024, available-for-sale investment securities increased 4.1% to $ 269.3 million and held-to-maturity investment securities decreased 11.5% to $158.7 million as compared to December 31, 2023. There were no securities that exceeded 10% of consolidated shareholders’ equity.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available-for-sale investment securities are carried at fair value and our held-to-maturity investment securities are carried at amortized cost.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carrying value of the Company's investment portfolio at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7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70,425</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80,083</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29,364</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3,760</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3,852</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7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33,322</w:t>
            </w: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32,924</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45,385</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17,153</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16,576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15,211</w:t>
            </w: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42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10,919</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11,829</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43,628</w:t>
            </w:r>
          </w:p>
        </w:tc>
        <w:tc>
          <w:tcPr>
            <w:tcW w:w="40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45,427</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45,086</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Asset backed securities</w:t>
            </w:r>
          </w:p>
        </w:tc>
        <w:tc>
          <w:tcPr>
            <w:tcW w:w="7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18,487</w:t>
            </w: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19,892</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15,400</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13,050</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16,860</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19,158</w:t>
            </w: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39,171</w:t>
            </w:r>
          </w:p>
        </w:tc>
        <w:tc>
          <w:tcPr>
            <w:tcW w:w="42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24,418</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16,400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40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6,974</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7,489</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7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13,530</w:t>
            </w: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12,179</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11,708</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11,940</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13,221</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15,109</w:t>
            </w:r>
          </w:p>
        </w:tc>
        <w:tc>
          <w:tcPr>
            <w:tcW w:w="0" w:type="dxa"/>
            <w:vAlign w:val="bottom"/>
          </w:tcPr>
          <w:p>
            <w:pPr>
              <w:spacing w:after="0"/>
              <w:rPr>
                <w:sz w:val="1"/>
                <w:szCs w:val="1"/>
                <w:color w:val="auto"/>
              </w:rPr>
            </w:pPr>
          </w:p>
        </w:tc>
      </w:tr>
      <w:tr>
        <w:trPr>
          <w:trHeight w:val="168"/>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83,309</w:t>
            </w:r>
          </w:p>
        </w:tc>
        <w:tc>
          <w:tcPr>
            <w:tcW w:w="42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78,095</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61,434</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59,946</w:t>
            </w:r>
          </w:p>
        </w:tc>
        <w:tc>
          <w:tcPr>
            <w:tcW w:w="40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76,819</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88,497</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 financial services industry</w:t>
            </w:r>
          </w:p>
        </w:tc>
        <w:tc>
          <w:tcPr>
            <w:tcW w:w="7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206</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269,331</w:t>
            </w:r>
          </w:p>
        </w:tc>
        <w:tc>
          <w:tcPr>
            <w:tcW w:w="4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258,716</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191,726</w:t>
            </w: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158,940</w:t>
            </w:r>
          </w:p>
        </w:tc>
        <w:tc>
          <w:tcPr>
            <w:tcW w:w="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179,637</w:t>
            </w:r>
          </w:p>
        </w:tc>
        <w:tc>
          <w:tcPr>
            <w:tcW w:w="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194,402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The following table sets forth the scheduled maturities, amortized cost, fair values and average yields for the Company's investment securities at December 31, 2024. Average yield is calculated on the amortized cost to maturity. Adjustable rate mortgage-backed securities are included in the period in which interest rates are next scheduled to be reset.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FOR SALE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color w:val="auto"/>
              </w:rPr>
              <w:t>More Than One</w:t>
            </w:r>
          </w:p>
        </w:tc>
        <w:tc>
          <w:tcPr>
            <w:tcW w:w="260" w:type="dxa"/>
            <w:vAlign w:val="bottom"/>
          </w:tcPr>
          <w:p>
            <w:pPr>
              <w:spacing w:after="0"/>
              <w:rPr>
                <w:sz w:val="14"/>
                <w:szCs w:val="14"/>
                <w:color w:val="auto"/>
              </w:rPr>
            </w:pPr>
          </w:p>
        </w:tc>
        <w:tc>
          <w:tcPr>
            <w:tcW w:w="21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color w:val="auto"/>
              </w:rPr>
              <w:t>More Than Five</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8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One Year or Less</w:t>
            </w:r>
          </w:p>
        </w:tc>
        <w:tc>
          <w:tcPr>
            <w:tcW w:w="220" w:type="dxa"/>
            <w:vAlign w:val="bottom"/>
          </w:tcPr>
          <w:p>
            <w:pPr>
              <w:spacing w:after="0"/>
              <w:rPr>
                <w:sz w:val="14"/>
                <w:szCs w:val="14"/>
                <w:color w:val="auto"/>
              </w:rPr>
            </w:pPr>
          </w:p>
        </w:tc>
        <w:tc>
          <w:tcPr>
            <w:tcW w:w="196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to Five Years</w:t>
            </w: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 Ten 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Annualized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Annualized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Annualized</w:t>
            </w:r>
          </w:p>
        </w:tc>
        <w:tc>
          <w:tcPr>
            <w:tcW w:w="0" w:type="dxa"/>
            <w:vAlign w:val="bottom"/>
          </w:tcPr>
          <w:p>
            <w:pPr>
              <w:spacing w:after="0"/>
              <w:rPr>
                <w:sz w:val="1"/>
                <w:szCs w:val="1"/>
                <w:color w:val="auto"/>
              </w:rPr>
            </w:pPr>
          </w:p>
        </w:tc>
      </w:tr>
      <w:tr>
        <w:trPr>
          <w:trHeight w:val="16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Amortized</w:t>
            </w: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Amortized</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Weighted</w:t>
            </w:r>
          </w:p>
        </w:tc>
        <w:tc>
          <w:tcPr>
            <w:tcW w:w="260" w:type="dxa"/>
            <w:vAlign w:val="bottom"/>
          </w:tcPr>
          <w:p>
            <w:pPr>
              <w:spacing w:after="0"/>
              <w:rPr>
                <w:sz w:val="14"/>
                <w:szCs w:val="14"/>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Amortized</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Cost</w:t>
            </w: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Avg Yield</w:t>
            </w:r>
          </w:p>
        </w:tc>
        <w:tc>
          <w:tcPr>
            <w:tcW w:w="22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Cost</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Avg Yield</w:t>
            </w:r>
          </w:p>
        </w:tc>
        <w:tc>
          <w:tcPr>
            <w:tcW w:w="260" w:type="dxa"/>
            <w:vAlign w:val="bottom"/>
          </w:tcPr>
          <w:p>
            <w:pPr>
              <w:spacing w:after="0"/>
              <w:rPr>
                <w:sz w:val="15"/>
                <w:szCs w:val="15"/>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Cost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Avg Yield</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31,483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4,863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988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416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4,678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5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4,068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5,963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260" w:type="dxa"/>
            <w:vAlign w:val="bottom"/>
          </w:tcPr>
          <w:p>
            <w:pPr>
              <w:spacing w:after="0"/>
              <w:rPr>
                <w:sz w:val="14"/>
                <w:szCs w:val="14"/>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5,003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0" w:type="dxa"/>
            <w:vAlign w:val="bottom"/>
          </w:tcPr>
          <w:p>
            <w:pPr>
              <w:spacing w:after="0"/>
              <w:rPr>
                <w:sz w:val="1"/>
                <w:szCs w:val="1"/>
                <w:color w:val="auto"/>
              </w:rPr>
            </w:pPr>
          </w:p>
        </w:tc>
      </w:tr>
      <w:tr>
        <w:trPr>
          <w:trHeight w:val="188"/>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5,056</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37,862</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14,544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0" w:type="dxa"/>
            <w:vAlign w:val="bottom"/>
          </w:tcPr>
          <w:p>
            <w:pPr>
              <w:spacing w:after="0"/>
              <w:rPr>
                <w:sz w:val="1"/>
                <w:szCs w:val="1"/>
                <w:color w:val="auto"/>
              </w:rPr>
            </w:pPr>
          </w:p>
        </w:tc>
      </w:tr>
      <w:tr>
        <w:trPr>
          <w:trHeight w:val="76"/>
        </w:trPr>
        <w:tc>
          <w:tcPr>
            <w:tcW w:w="3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2,366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0.99 %</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2,043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1,483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4,899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5.66 %</w:t>
            </w: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5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6,413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9,876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260" w:type="dxa"/>
            <w:vAlign w:val="bottom"/>
          </w:tcPr>
          <w:p>
            <w:pPr>
              <w:spacing w:after="0"/>
              <w:rPr>
                <w:sz w:val="14"/>
                <w:szCs w:val="14"/>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8,307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6,413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7.98 %</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13,725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15,249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non-maturity investments:</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206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68"/>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208"/>
        </w:trPr>
        <w:tc>
          <w:tcPr>
            <w:tcW w:w="33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11,675</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2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51,587</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29,793</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2" w:name="page43"/>
    <w:bookmarkEnd w:id="42"/>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More Than Ten Years</w:t>
            </w:r>
          </w:p>
        </w:tc>
        <w:tc>
          <w:tcPr>
            <w:tcW w:w="220" w:type="dxa"/>
            <w:vAlign w:val="bottom"/>
          </w:tcPr>
          <w:p>
            <w:pPr>
              <w:spacing w:after="0"/>
              <w:rPr>
                <w:sz w:val="14"/>
                <w:szCs w:val="14"/>
                <w:color w:val="auto"/>
              </w:rPr>
            </w:pPr>
          </w:p>
        </w:tc>
        <w:tc>
          <w:tcPr>
            <w:tcW w:w="23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Annualized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Annualized</w:t>
            </w:r>
          </w:p>
        </w:tc>
        <w:tc>
          <w:tcPr>
            <w:tcW w:w="0" w:type="dxa"/>
            <w:vAlign w:val="bottom"/>
          </w:tcPr>
          <w:p>
            <w:pPr>
              <w:spacing w:after="0"/>
              <w:rPr>
                <w:sz w:val="1"/>
                <w:szCs w:val="1"/>
                <w:color w:val="auto"/>
              </w:rPr>
            </w:pPr>
          </w:p>
        </w:tc>
      </w:tr>
      <w:tr>
        <w:trPr>
          <w:trHeight w:val="168"/>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Amortized</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Amortized</w:t>
            </w:r>
          </w:p>
        </w:tc>
        <w:tc>
          <w:tcPr>
            <w:tcW w:w="34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Fair</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80"/>
        </w:trPr>
        <w:tc>
          <w:tcPr>
            <w:tcW w:w="39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Cost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Avg Yield</w:t>
            </w: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Cost</w:t>
            </w:r>
          </w:p>
        </w:tc>
        <w:tc>
          <w:tcPr>
            <w:tcW w:w="340" w:type="dxa"/>
            <w:vAlign w:val="bottom"/>
          </w:tcPr>
          <w:p>
            <w:pPr>
              <w:spacing w:after="0"/>
              <w:rPr>
                <w:sz w:val="15"/>
                <w:szCs w:val="15"/>
                <w:color w:val="auto"/>
              </w:rPr>
            </w:pP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Value</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Avg Yield</w:t>
            </w:r>
          </w:p>
        </w:tc>
        <w:tc>
          <w:tcPr>
            <w:tcW w:w="0" w:type="dxa"/>
            <w:vAlign w:val="bottom"/>
          </w:tcPr>
          <w:p>
            <w:pPr>
              <w:spacing w:after="0"/>
              <w:rPr>
                <w:sz w:val="1"/>
                <w:szCs w:val="1"/>
                <w:color w:val="auto"/>
              </w:rPr>
            </w:pPr>
          </w:p>
        </w:tc>
      </w:tr>
      <w:tr>
        <w:trPr>
          <w:trHeight w:val="168"/>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37,542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73,888</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70,425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0" w:type="dxa"/>
            <w:vAlign w:val="bottom"/>
          </w:tcPr>
          <w:p>
            <w:pPr>
              <w:spacing w:after="0"/>
              <w:rPr>
                <w:sz w:val="1"/>
                <w:szCs w:val="1"/>
                <w:color w:val="auto"/>
              </w:rPr>
            </w:pPr>
          </w:p>
        </w:tc>
      </w:tr>
      <w:tr>
        <w:trPr>
          <w:trHeight w:val="168"/>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29,046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35,128</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33,322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0" w:type="dxa"/>
            <w:vAlign w:val="bottom"/>
          </w:tcPr>
          <w:p>
            <w:pPr>
              <w:spacing w:after="0"/>
              <w:rPr>
                <w:sz w:val="1"/>
                <w:szCs w:val="1"/>
                <w:color w:val="auto"/>
              </w:rPr>
            </w:pPr>
          </w:p>
        </w:tc>
      </w:tr>
      <w:tr>
        <w:trPr>
          <w:trHeight w:val="16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1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925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10,956</w:t>
            </w:r>
          </w:p>
        </w:tc>
        <w:tc>
          <w:tcPr>
            <w:tcW w:w="3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10,881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0" w:type="dxa"/>
            <w:vAlign w:val="bottom"/>
          </w:tcPr>
          <w:p>
            <w:pPr>
              <w:spacing w:after="0"/>
              <w:rPr>
                <w:sz w:val="1"/>
                <w:szCs w:val="1"/>
                <w:color w:val="auto"/>
              </w:rPr>
            </w:pPr>
          </w:p>
        </w:tc>
      </w:tr>
      <w:tr>
        <w:trPr>
          <w:trHeight w:val="168"/>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13,931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6.23 %</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18,934</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18,487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0" w:type="dxa"/>
            <w:vAlign w:val="bottom"/>
          </w:tcPr>
          <w:p>
            <w:pPr>
              <w:spacing w:after="0"/>
              <w:rPr>
                <w:sz w:val="1"/>
                <w:szCs w:val="1"/>
                <w:color w:val="auto"/>
              </w:rPr>
            </w:pPr>
          </w:p>
        </w:tc>
      </w:tr>
      <w:tr>
        <w:trPr>
          <w:trHeight w:val="168"/>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81,444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138,906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133,115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0" w:type="dxa"/>
            <w:vAlign w:val="bottom"/>
          </w:tcPr>
          <w:p>
            <w:pPr>
              <w:spacing w:after="0"/>
              <w:rPr>
                <w:sz w:val="1"/>
                <w:szCs w:val="1"/>
                <w:color w:val="auto"/>
              </w:rPr>
            </w:pPr>
          </w:p>
        </w:tc>
      </w:tr>
      <w:tr>
        <w:trPr>
          <w:trHeight w:val="168"/>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36,227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40,636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39,171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4.65 %</w:t>
            </w:r>
          </w:p>
        </w:tc>
        <w:tc>
          <w:tcPr>
            <w:tcW w:w="0" w:type="dxa"/>
            <w:vAlign w:val="bottom"/>
          </w:tcPr>
          <w:p>
            <w:pPr>
              <w:spacing w:after="0"/>
              <w:rPr>
                <w:sz w:val="1"/>
                <w:szCs w:val="1"/>
                <w:color w:val="auto"/>
              </w:rPr>
            </w:pPr>
          </w:p>
        </w:tc>
      </w:tr>
      <w:tr>
        <w:trPr>
          <w:trHeight w:val="168"/>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7,994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14,376</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13,530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0" w:type="dxa"/>
            <w:vAlign w:val="bottom"/>
          </w:tcPr>
          <w:p>
            <w:pPr>
              <w:spacing w:after="0"/>
              <w:rPr>
                <w:sz w:val="1"/>
                <w:szCs w:val="1"/>
                <w:color w:val="auto"/>
              </w:rPr>
            </w:pPr>
          </w:p>
        </w:tc>
      </w:tr>
      <w:tr>
        <w:trPr>
          <w:trHeight w:val="16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11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60,830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85,426</w:t>
            </w:r>
          </w:p>
        </w:tc>
        <w:tc>
          <w:tcPr>
            <w:tcW w:w="3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83,309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0" w:type="dxa"/>
            <w:vAlign w:val="bottom"/>
          </w:tcPr>
          <w:p>
            <w:pPr>
              <w:spacing w:after="0"/>
              <w:rPr>
                <w:sz w:val="1"/>
                <w:szCs w:val="1"/>
                <w:color w:val="auto"/>
              </w:rPr>
            </w:pPr>
          </w:p>
        </w:tc>
      </w:tr>
      <w:tr>
        <w:trPr>
          <w:trHeight w:val="168"/>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105,051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2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140,438</w:t>
            </w:r>
          </w:p>
        </w:tc>
        <w:tc>
          <w:tcPr>
            <w:tcW w:w="3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136,010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0" w:type="dxa"/>
            <w:vAlign w:val="bottom"/>
          </w:tcPr>
          <w:p>
            <w:pPr>
              <w:spacing w:after="0"/>
              <w:rPr>
                <w:sz w:val="1"/>
                <w:szCs w:val="1"/>
                <w:color w:val="auto"/>
              </w:rPr>
            </w:pPr>
          </w:p>
        </w:tc>
      </w:tr>
      <w:tr>
        <w:trPr>
          <w:trHeight w:val="168"/>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non-maturity investments:</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3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206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0" w:type="dxa"/>
            <w:vAlign w:val="bottom"/>
          </w:tcPr>
          <w:p>
            <w:pPr>
              <w:spacing w:after="0"/>
              <w:rPr>
                <w:sz w:val="1"/>
                <w:szCs w:val="1"/>
                <w:color w:val="auto"/>
              </w:rPr>
            </w:pPr>
          </w:p>
        </w:tc>
      </w:tr>
      <w:tr>
        <w:trPr>
          <w:trHeight w:val="168"/>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0" w:type="dxa"/>
            <w:vAlign w:val="bottom"/>
          </w:tcPr>
          <w:p>
            <w:pPr>
              <w:spacing w:after="0"/>
              <w:rPr>
                <w:sz w:val="1"/>
                <w:szCs w:val="1"/>
                <w:color w:val="auto"/>
              </w:rPr>
            </w:pPr>
          </w:p>
        </w:tc>
      </w:tr>
      <w:tr>
        <w:trPr>
          <w:trHeight w:val="208"/>
        </w:trPr>
        <w:tc>
          <w:tcPr>
            <w:tcW w:w="392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1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186,495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4.79 %</w:t>
            </w:r>
          </w:p>
        </w:tc>
        <w:tc>
          <w:tcPr>
            <w:tcW w:w="2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279,550</w:t>
            </w:r>
          </w:p>
        </w:tc>
        <w:tc>
          <w:tcPr>
            <w:tcW w:w="3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269,331</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4.65 %</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HELD-TO-MATURITY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color w:val="auto"/>
              </w:rPr>
              <w:t>More Than One</w:t>
            </w:r>
          </w:p>
        </w:tc>
        <w:tc>
          <w:tcPr>
            <w:tcW w:w="320" w:type="dxa"/>
            <w:vAlign w:val="bottom"/>
          </w:tcPr>
          <w:p>
            <w:pPr>
              <w:spacing w:after="0"/>
              <w:rPr>
                <w:sz w:val="14"/>
                <w:szCs w:val="14"/>
                <w:color w:val="auto"/>
              </w:rPr>
            </w:pPr>
          </w:p>
        </w:tc>
        <w:tc>
          <w:tcPr>
            <w:tcW w:w="21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color w:val="auto"/>
              </w:rPr>
              <w:t>More Than Five</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One Year or Less</w:t>
            </w:r>
          </w:p>
        </w:tc>
        <w:tc>
          <w:tcPr>
            <w:tcW w:w="280" w:type="dxa"/>
            <w:vAlign w:val="bottom"/>
          </w:tcPr>
          <w:p>
            <w:pPr>
              <w:spacing w:after="0"/>
              <w:rPr>
                <w:sz w:val="14"/>
                <w:szCs w:val="14"/>
                <w:color w:val="auto"/>
              </w:rPr>
            </w:pPr>
          </w:p>
        </w:tc>
        <w:tc>
          <w:tcPr>
            <w:tcW w:w="190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color w:val="auto"/>
              </w:rPr>
              <w:t>to Five Years</w:t>
            </w: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 Ten 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Annualized</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Annualized</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Annualized</w:t>
            </w:r>
          </w:p>
        </w:tc>
        <w:tc>
          <w:tcPr>
            <w:tcW w:w="0" w:type="dxa"/>
            <w:vAlign w:val="bottom"/>
          </w:tcPr>
          <w:p>
            <w:pPr>
              <w:spacing w:after="0"/>
              <w:rPr>
                <w:sz w:val="1"/>
                <w:szCs w:val="1"/>
                <w:color w:val="auto"/>
              </w:rPr>
            </w:pPr>
          </w:p>
        </w:tc>
      </w:tr>
      <w:tr>
        <w:trPr>
          <w:trHeight w:val="16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Amortized</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Weighted</w:t>
            </w:r>
          </w:p>
        </w:tc>
        <w:tc>
          <w:tcPr>
            <w:tcW w:w="2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Amortized</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Weighted</w:t>
            </w:r>
          </w:p>
        </w:tc>
        <w:tc>
          <w:tcPr>
            <w:tcW w:w="320" w:type="dxa"/>
            <w:vAlign w:val="bottom"/>
          </w:tcPr>
          <w:p>
            <w:pPr>
              <w:spacing w:after="0"/>
              <w:rPr>
                <w:sz w:val="14"/>
                <w:szCs w:val="14"/>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Amortized</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Cost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Avg Yield</w:t>
            </w:r>
          </w:p>
        </w:tc>
        <w:tc>
          <w:tcPr>
            <w:tcW w:w="28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Cost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Avg Yield</w:t>
            </w:r>
          </w:p>
        </w:tc>
        <w:tc>
          <w:tcPr>
            <w:tcW w:w="320" w:type="dxa"/>
            <w:vAlign w:val="bottom"/>
          </w:tcPr>
          <w:p>
            <w:pPr>
              <w:spacing w:after="0"/>
              <w:rPr>
                <w:sz w:val="15"/>
                <w:szCs w:val="15"/>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Cost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Avg Yield</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1,498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2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4,916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8,120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5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280" w:type="dxa"/>
            <w:vAlign w:val="bottom"/>
          </w:tcPr>
          <w:p>
            <w:pPr>
              <w:spacing w:after="0"/>
              <w:rPr>
                <w:sz w:val="14"/>
                <w:szCs w:val="14"/>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27,559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320" w:type="dxa"/>
            <w:vAlign w:val="bottom"/>
          </w:tcPr>
          <w:p>
            <w:pPr>
              <w:spacing w:after="0"/>
              <w:rPr>
                <w:sz w:val="14"/>
                <w:szCs w:val="14"/>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12,068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3,390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4.63 %</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68"/>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3.83 %</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37,363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4.79 %</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20,188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5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3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4,146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r>
        <w:trPr>
          <w:trHeight w:val="112"/>
        </w:trPr>
        <w:tc>
          <w:tcPr>
            <w:tcW w:w="3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2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4,699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5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280" w:type="dxa"/>
            <w:vAlign w:val="bottom"/>
          </w:tcPr>
          <w:p>
            <w:pPr>
              <w:spacing w:after="0"/>
              <w:rPr>
                <w:sz w:val="14"/>
                <w:szCs w:val="14"/>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9,058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320" w:type="dxa"/>
            <w:vAlign w:val="bottom"/>
          </w:tcPr>
          <w:p>
            <w:pPr>
              <w:spacing w:after="0"/>
              <w:rPr>
                <w:sz w:val="14"/>
                <w:szCs w:val="14"/>
                <w:color w:val="auto"/>
              </w:rPr>
            </w:pP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10,213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13,784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14,359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5.59 %</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51,147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34,547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More Than Ten Years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Annualized</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Annualized</w:t>
            </w:r>
          </w:p>
        </w:tc>
        <w:tc>
          <w:tcPr>
            <w:tcW w:w="0" w:type="dxa"/>
            <w:vAlign w:val="bottom"/>
          </w:tcPr>
          <w:p>
            <w:pPr>
              <w:spacing w:after="0"/>
              <w:rPr>
                <w:sz w:val="1"/>
                <w:szCs w:val="1"/>
                <w:color w:val="auto"/>
              </w:rPr>
            </w:pPr>
          </w:p>
        </w:tc>
      </w:tr>
      <w:tr>
        <w:trPr>
          <w:trHeight w:val="16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80" w:type="dxa"/>
            <w:vAlign w:val="bottom"/>
          </w:tcPr>
          <w:p>
            <w:pPr>
              <w:spacing w:after="0"/>
              <w:rPr>
                <w:sz w:val="14"/>
                <w:szCs w:val="14"/>
                <w:color w:val="auto"/>
              </w:rPr>
            </w:pPr>
          </w:p>
        </w:tc>
        <w:tc>
          <w:tcPr>
            <w:tcW w:w="200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color w:val="auto"/>
              </w:rPr>
              <w:t>Amortized</w:t>
            </w: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Weighted</w:t>
            </w:r>
          </w:p>
        </w:tc>
        <w:tc>
          <w:tcPr>
            <w:tcW w:w="36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Amortized</w:t>
            </w:r>
          </w:p>
        </w:tc>
        <w:tc>
          <w:tcPr>
            <w:tcW w:w="320" w:type="dxa"/>
            <w:vAlign w:val="bottom"/>
          </w:tcPr>
          <w:p>
            <w:pPr>
              <w:spacing w:after="0"/>
              <w:rPr>
                <w:sz w:val="14"/>
                <w:szCs w:val="14"/>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Fair</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Cost</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Avg Yield</w:t>
            </w:r>
          </w:p>
        </w:tc>
        <w:tc>
          <w:tcPr>
            <w:tcW w:w="36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Cost</w:t>
            </w:r>
          </w:p>
        </w:tc>
        <w:tc>
          <w:tcPr>
            <w:tcW w:w="320" w:type="dxa"/>
            <w:vAlign w:val="bottom"/>
          </w:tcPr>
          <w:p>
            <w:pPr>
              <w:spacing w:after="0"/>
              <w:rPr>
                <w:sz w:val="15"/>
                <w:szCs w:val="15"/>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Value</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Avg Yield</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5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2,150</w:t>
            </w:r>
          </w:p>
        </w:tc>
        <w:tc>
          <w:tcPr>
            <w:tcW w:w="2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2.57 %</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3,648</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3,648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1,690</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2.56 %</w:t>
            </w: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17,153</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17,153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0.00 %</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43,628</w:t>
            </w:r>
          </w:p>
        </w:tc>
        <w:tc>
          <w:tcPr>
            <w:tcW w:w="320" w:type="dxa"/>
            <w:vAlign w:val="bottom"/>
          </w:tcPr>
          <w:p>
            <w:pPr>
              <w:spacing w:after="0"/>
              <w:rPr>
                <w:sz w:val="14"/>
                <w:szCs w:val="14"/>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43,628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0" w:type="dxa"/>
            <w:vAlign w:val="bottom"/>
          </w:tcPr>
          <w:p>
            <w:pPr>
              <w:spacing w:after="0"/>
              <w:rPr>
                <w:sz w:val="1"/>
                <w:szCs w:val="1"/>
                <w:color w:val="auto"/>
              </w:rPr>
            </w:pPr>
          </w:p>
        </w:tc>
      </w:tr>
      <w:tr>
        <w:trPr>
          <w:trHeight w:val="18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5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9,660</w:t>
            </w:r>
          </w:p>
        </w:tc>
        <w:tc>
          <w:tcPr>
            <w:tcW w:w="28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4.35 %</w:t>
            </w:r>
          </w:p>
        </w:tc>
        <w:tc>
          <w:tcPr>
            <w:tcW w:w="36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13,050</w:t>
            </w:r>
          </w:p>
        </w:tc>
        <w:tc>
          <w:tcPr>
            <w:tcW w:w="320" w:type="dxa"/>
            <w:vAlign w:val="bottom"/>
            <w:shd w:val="clear" w:color="auto" w:fill="CFF0FC"/>
          </w:tcPr>
          <w:p>
            <w:pPr>
              <w:spacing w:after="0"/>
              <w:rPr>
                <w:sz w:val="16"/>
                <w:szCs w:val="16"/>
                <w:color w:val="auto"/>
              </w:rPr>
            </w:pPr>
          </w:p>
        </w:tc>
        <w:tc>
          <w:tcPr>
            <w:tcW w:w="1280" w:type="dxa"/>
            <w:vAlign w:val="bottom"/>
            <w:vMerge w:val="restart"/>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13,050</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0" w:type="dxa"/>
            <w:vAlign w:val="bottom"/>
          </w:tcPr>
          <w:p>
            <w:pPr>
              <w:spacing w:after="0"/>
              <w:rPr>
                <w:sz w:val="1"/>
                <w:szCs w:val="1"/>
                <w:color w:val="auto"/>
              </w:rPr>
            </w:pPr>
          </w:p>
        </w:tc>
      </w:tr>
      <w:tr>
        <w:trPr>
          <w:trHeight w:val="76"/>
        </w:trPr>
        <w:tc>
          <w:tcPr>
            <w:tcW w:w="33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040" w:type="dxa"/>
            <w:vAlign w:val="bottom"/>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280" w:type="dxa"/>
            <w:vAlign w:val="bottom"/>
            <w:vMerge w:val="continue"/>
            <w:shd w:val="clear" w:color="auto" w:fill="CFF0FC"/>
          </w:tcPr>
          <w:p>
            <w:pPr>
              <w:spacing w:after="0"/>
              <w:rPr>
                <w:sz w:val="6"/>
                <w:szCs w:val="6"/>
                <w:color w:val="auto"/>
              </w:rPr>
            </w:pPr>
          </w:p>
        </w:tc>
        <w:tc>
          <w:tcPr>
            <w:tcW w:w="84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13,500</w:t>
            </w:r>
          </w:p>
        </w:tc>
        <w:tc>
          <w:tcPr>
            <w:tcW w:w="2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3.84 %</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77,479</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77,479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5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4,202</w:t>
            </w:r>
          </w:p>
        </w:tc>
        <w:tc>
          <w:tcPr>
            <w:tcW w:w="2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5.25 %</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9,575</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9,575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6,099</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2.87 %</w:t>
            </w: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11,940</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11,940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0" w:type="dxa"/>
            <w:vAlign w:val="bottom"/>
          </w:tcPr>
          <w:p>
            <w:pPr>
              <w:spacing w:after="0"/>
              <w:rPr>
                <w:sz w:val="1"/>
                <w:szCs w:val="1"/>
                <w:color w:val="auto"/>
              </w:rPr>
            </w:pPr>
          </w:p>
        </w:tc>
      </w:tr>
      <w:tr>
        <w:trPr>
          <w:trHeight w:val="16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30,905</w:t>
            </w:r>
          </w:p>
        </w:tc>
        <w:tc>
          <w:tcPr>
            <w:tcW w:w="2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4.17 %</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59,946</w:t>
            </w:r>
          </w:p>
        </w:tc>
        <w:tc>
          <w:tcPr>
            <w:tcW w:w="320" w:type="dxa"/>
            <w:vAlign w:val="bottom"/>
          </w:tcPr>
          <w:p>
            <w:pPr>
              <w:spacing w:after="0"/>
              <w:rPr>
                <w:sz w:val="14"/>
                <w:szCs w:val="14"/>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59,946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41,206</w:t>
            </w: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4.09 %</w:t>
            </w:r>
          </w:p>
        </w:tc>
        <w:tc>
          <w:tcPr>
            <w:tcW w:w="3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81,461</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81,461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54,706</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4.03 %</w:t>
            </w:r>
          </w:p>
        </w:tc>
        <w:tc>
          <w:tcPr>
            <w:tcW w:w="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158,940</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158,940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700"/>
        <w:spacing w:after="0" w:line="259" w:lineRule="auto"/>
        <w:rPr>
          <w:sz w:val="20"/>
          <w:szCs w:val="20"/>
          <w:color w:val="auto"/>
        </w:rPr>
      </w:pPr>
      <w:r>
        <w:rPr>
          <w:rFonts w:ascii="Times New Roman" w:cs="Times New Roman" w:eastAsia="Times New Roman" w:hAnsi="Times New Roman"/>
          <w:sz w:val="16"/>
          <w:szCs w:val="16"/>
          <w:color w:val="auto"/>
        </w:rPr>
        <w:t>The yield information disclosed above does not give effect to changes in fair value that are reflected in accumulated other comprehensive loss in consolidated shareholders’ equity.</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3" w:name="page44"/>
    <w:bookmarkEnd w:id="43"/>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loans receivable represented 65.8% of the Company’s average interest earning assets in 2024 and accounted for the greatest portion of total interest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composition of our loan portfolio, including net deferred costs, in dollar amount and as a percentage of loans.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December 31,</w:t>
            </w: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2024</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2023</w:t>
            </w:r>
          </w:p>
        </w:tc>
        <w:tc>
          <w:tcPr>
            <w:tcW w:w="640" w:type="dxa"/>
            <w:vAlign w:val="bottom"/>
          </w:tcPr>
          <w:p>
            <w:pPr>
              <w:spacing w:after="0"/>
              <w:rPr>
                <w:sz w:val="14"/>
                <w:szCs w:val="14"/>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2022</w:t>
            </w:r>
          </w:p>
        </w:tc>
        <w:tc>
          <w:tcPr>
            <w:tcW w:w="5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2021</w:t>
            </w:r>
          </w:p>
        </w:tc>
        <w:tc>
          <w:tcPr>
            <w:tcW w:w="7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2020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Residential real estate</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255,302</w:t>
            </w: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27.8 %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258,198</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28.8 %</w:t>
            </w:r>
          </w:p>
        </w:tc>
        <w:tc>
          <w:tcPr>
            <w:tcW w:w="110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$ 262,008</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29.2 %</w:t>
            </w:r>
          </w:p>
        </w:tc>
        <w:tc>
          <w:tcPr>
            <w:tcW w:w="8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$ 246,344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29.6 %</w:t>
            </w:r>
          </w:p>
        </w:tc>
        <w:tc>
          <w:tcPr>
            <w:tcW w:w="9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$ 233,094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28.2 %</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 real estate held-for-sale</w:t>
            </w:r>
          </w:p>
        </w:tc>
        <w:tc>
          <w:tcPr>
            <w:tcW w:w="320" w:type="dxa"/>
            <w:vAlign w:val="bottom"/>
          </w:tcPr>
          <w:p>
            <w:pPr>
              <w:spacing w:after="0"/>
              <w:rPr>
                <w:sz w:val="13"/>
                <w:szCs w:val="13"/>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0.0 %</w:t>
            </w:r>
          </w:p>
        </w:tc>
        <w:tc>
          <w:tcPr>
            <w:tcW w:w="160" w:type="dxa"/>
            <w:vAlign w:val="bottom"/>
          </w:tcPr>
          <w:p>
            <w:pPr>
              <w:spacing w:after="0"/>
              <w:rPr>
                <w:sz w:val="13"/>
                <w:szCs w:val="13"/>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19</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513</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9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1,526</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56"/>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377,577</w:t>
            </w: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41.1 %</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358,521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110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344,721</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38.4 %</w:t>
            </w:r>
          </w:p>
        </w:tc>
        <w:tc>
          <w:tcPr>
            <w:tcW w:w="8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287,279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34.5 %</w:t>
            </w:r>
          </w:p>
        </w:tc>
        <w:tc>
          <w:tcPr>
            <w:tcW w:w="9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286,066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34.7 %</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and tax exempt</w:t>
            </w:r>
          </w:p>
        </w:tc>
        <w:tc>
          <w:tcPr>
            <w:tcW w:w="320" w:type="dxa"/>
            <w:vAlign w:val="bottom"/>
          </w:tcPr>
          <w:p>
            <w:pPr>
              <w:spacing w:after="0"/>
              <w:rPr>
                <w:sz w:val="13"/>
                <w:szCs w:val="13"/>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162,059</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17.6 %</w:t>
            </w:r>
          </w:p>
        </w:tc>
        <w:tc>
          <w:tcPr>
            <w:tcW w:w="160" w:type="dxa"/>
            <w:vAlign w:val="bottom"/>
          </w:tcPr>
          <w:p>
            <w:pPr>
              <w:spacing w:after="0"/>
              <w:rPr>
                <w:sz w:val="13"/>
                <w:szCs w:val="13"/>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165,460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18.4 %</w:t>
            </w: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163,806</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18.3 %</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156,167</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18.8 %</w:t>
            </w:r>
          </w:p>
        </w:tc>
        <w:tc>
          <w:tcPr>
            <w:tcW w:w="9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194,963</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23.6 %</w:t>
            </w:r>
          </w:p>
        </w:tc>
        <w:tc>
          <w:tcPr>
            <w:tcW w:w="0" w:type="dxa"/>
            <w:vAlign w:val="bottom"/>
          </w:tcPr>
          <w:p>
            <w:pPr>
              <w:spacing w:after="0"/>
              <w:rPr>
                <w:sz w:val="1"/>
                <w:szCs w:val="1"/>
                <w:color w:val="auto"/>
              </w:rPr>
            </w:pPr>
          </w:p>
        </w:tc>
      </w:tr>
      <w:tr>
        <w:trPr>
          <w:trHeight w:val="156"/>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Home equity and junior liens</w:t>
            </w: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51,338</w:t>
            </w: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5.6 %</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35,231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10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34,349</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32,048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9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38,941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loans</w:t>
            </w:r>
          </w:p>
        </w:tc>
        <w:tc>
          <w:tcPr>
            <w:tcW w:w="320" w:type="dxa"/>
            <w:vAlign w:val="bottom"/>
          </w:tcPr>
          <w:p>
            <w:pPr>
              <w:spacing w:after="0"/>
              <w:rPr>
                <w:sz w:val="13"/>
                <w:szCs w:val="13"/>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72,710</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7.9 %</w:t>
            </w:r>
          </w:p>
        </w:tc>
        <w:tc>
          <w:tcPr>
            <w:tcW w:w="160" w:type="dxa"/>
            <w:vAlign w:val="bottom"/>
          </w:tcPr>
          <w:p>
            <w:pPr>
              <w:spacing w:after="0"/>
              <w:rPr>
                <w:sz w:val="13"/>
                <w:szCs w:val="13"/>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79,797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92,851</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110,108</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70,905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loans receivable</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918,986</w:t>
            </w:r>
          </w:p>
        </w:tc>
        <w:tc>
          <w:tcPr>
            <w:tcW w:w="6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897,207</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100" w:type="dxa"/>
            <w:vAlign w:val="bottom"/>
            <w:tcBorders>
              <w:bottom w:val="single" w:sz="8" w:color="auto"/>
            </w:tcBorders>
            <w:shd w:val="clear" w:color="auto" w:fill="CFF0FC"/>
          </w:tcPr>
          <w:p>
            <w:pPr>
              <w:jc w:val="right"/>
              <w:ind w:right="434"/>
              <w:spacing w:after="0"/>
              <w:rPr>
                <w:sz w:val="20"/>
                <w:szCs w:val="20"/>
                <w:color w:val="auto"/>
              </w:rPr>
            </w:pPr>
            <w:r>
              <w:rPr>
                <w:rFonts w:ascii="Times New Roman" w:cs="Times New Roman" w:eastAsia="Times New Roman" w:hAnsi="Times New Roman"/>
                <w:sz w:val="13"/>
                <w:szCs w:val="13"/>
                <w:color w:val="auto"/>
              </w:rPr>
              <w:t>$ 897,754</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60" w:type="dxa"/>
            <w:vAlign w:val="bottom"/>
            <w:tcBorders>
              <w:bottom w:val="single" w:sz="8" w:color="auto"/>
            </w:tcBorders>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$ 832,459</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900" w:type="dxa"/>
            <w:vAlign w:val="bottom"/>
            <w:tcBorders>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$ 825,495</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following table shows the amount of loans outstanding, including net deferred costs, as of December 31, 2024 which, based on remaining scheduled repayments of principal, are due in the periods indicated. Demand loans having no stated schedule of repayments, no stated maturity, and overdrafts are reported as one year or less. Adjustable and floating rate loans are included in the period on which interest rates are next scheduled to adjust, rather than the period in which they contractually mature. Fixed rate loans are included in the period in which the final contractual repayment is due.</w:t>
      </w:r>
    </w:p>
    <w:p>
      <w:pPr>
        <w:spacing w:after="0" w:line="9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Due &gt; 5</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Years to</w:t>
            </w:r>
          </w:p>
        </w:tc>
        <w:tc>
          <w:tcPr>
            <w:tcW w:w="24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Due Over</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Due Under</w:t>
            </w:r>
          </w:p>
        </w:tc>
        <w:tc>
          <w:tcPr>
            <w:tcW w:w="32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Due 1-5</w:t>
            </w:r>
          </w:p>
        </w:tc>
        <w:tc>
          <w:tcPr>
            <w:tcW w:w="28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Fifteen</w:t>
            </w:r>
          </w:p>
        </w:tc>
        <w:tc>
          <w:tcPr>
            <w:tcW w:w="24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Fifteen</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0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One Year</w:t>
            </w:r>
          </w:p>
        </w:tc>
        <w:tc>
          <w:tcPr>
            <w:tcW w:w="3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Years</w:t>
            </w:r>
          </w:p>
        </w:tc>
        <w:tc>
          <w:tcPr>
            <w:tcW w:w="28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Years</w:t>
            </w:r>
          </w:p>
        </w:tc>
        <w:tc>
          <w:tcPr>
            <w:tcW w:w="240" w:type="dxa"/>
            <w:vAlign w:val="bottom"/>
          </w:tcPr>
          <w:p>
            <w:pPr>
              <w:spacing w:after="0"/>
              <w:rPr>
                <w:sz w:val="16"/>
                <w:szCs w:val="16"/>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Years</w:t>
            </w:r>
          </w:p>
        </w:tc>
        <w:tc>
          <w:tcPr>
            <w:tcW w:w="3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1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11,128</w:t>
            </w:r>
          </w:p>
        </w:tc>
        <w:tc>
          <w:tcPr>
            <w:tcW w:w="3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15,640</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100,010</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250,799</w:t>
            </w:r>
          </w:p>
        </w:tc>
        <w:tc>
          <w:tcPr>
            <w:tcW w:w="3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377,577</w:t>
            </w: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Residential real estate</w:t>
            </w:r>
          </w:p>
        </w:tc>
        <w:tc>
          <w:tcPr>
            <w:tcW w:w="1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3,971</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887</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50,713</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199,731</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255,302</w:t>
            </w:r>
          </w:p>
        </w:tc>
        <w:tc>
          <w:tcPr>
            <w:tcW w:w="0" w:type="dxa"/>
            <w:vAlign w:val="bottom"/>
          </w:tcPr>
          <w:p>
            <w:pPr>
              <w:spacing w:after="0"/>
              <w:rPr>
                <w:sz w:val="1"/>
                <w:szCs w:val="1"/>
                <w:color w:val="auto"/>
              </w:rPr>
            </w:pPr>
          </w:p>
        </w:tc>
      </w:tr>
      <w:tr>
        <w:trPr>
          <w:trHeight w:val="180"/>
        </w:trPr>
        <w:tc>
          <w:tcPr>
            <w:tcW w:w="3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real estate loans</w:t>
            </w:r>
          </w:p>
        </w:tc>
        <w:tc>
          <w:tcPr>
            <w:tcW w:w="138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15,099</w:t>
            </w:r>
          </w:p>
        </w:tc>
        <w:tc>
          <w:tcPr>
            <w:tcW w:w="320" w:type="dxa"/>
            <w:vAlign w:val="bottom"/>
          </w:tcPr>
          <w:p>
            <w:pPr>
              <w:spacing w:after="0"/>
              <w:rPr>
                <w:sz w:val="15"/>
                <w:szCs w:val="15"/>
                <w:color w:val="auto"/>
              </w:rPr>
            </w:pP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16,527</w:t>
            </w:r>
          </w:p>
        </w:tc>
        <w:tc>
          <w:tcPr>
            <w:tcW w:w="280" w:type="dxa"/>
            <w:vAlign w:val="bottom"/>
          </w:tcPr>
          <w:p>
            <w:pPr>
              <w:spacing w:after="0"/>
              <w:rPr>
                <w:sz w:val="15"/>
                <w:szCs w:val="15"/>
                <w:color w:val="auto"/>
              </w:rPr>
            </w:pPr>
          </w:p>
        </w:tc>
        <w:tc>
          <w:tcPr>
            <w:tcW w:w="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150,723</w:t>
            </w:r>
          </w:p>
        </w:tc>
        <w:tc>
          <w:tcPr>
            <w:tcW w:w="24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450,530</w:t>
            </w:r>
          </w:p>
        </w:tc>
        <w:tc>
          <w:tcPr>
            <w:tcW w:w="32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632,879</w:t>
            </w: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tax exempt</w:t>
            </w:r>
          </w:p>
        </w:tc>
        <w:tc>
          <w:tcPr>
            <w:tcW w:w="1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79,590</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36,850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42,009</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3,610</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162,059</w:t>
            </w:r>
          </w:p>
        </w:tc>
        <w:tc>
          <w:tcPr>
            <w:tcW w:w="0" w:type="dxa"/>
            <w:vAlign w:val="bottom"/>
          </w:tcPr>
          <w:p>
            <w:pPr>
              <w:spacing w:after="0"/>
              <w:rPr>
                <w:sz w:val="1"/>
                <w:szCs w:val="1"/>
                <w:color w:val="auto"/>
              </w:rPr>
            </w:pP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38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30,504</w:t>
            </w:r>
          </w:p>
        </w:tc>
        <w:tc>
          <w:tcPr>
            <w:tcW w:w="32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3,165</w:t>
            </w:r>
          </w:p>
        </w:tc>
        <w:tc>
          <w:tcPr>
            <w:tcW w:w="28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14,722</w:t>
            </w:r>
          </w:p>
        </w:tc>
        <w:tc>
          <w:tcPr>
            <w:tcW w:w="24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2,947</w:t>
            </w:r>
          </w:p>
        </w:tc>
        <w:tc>
          <w:tcPr>
            <w:tcW w:w="32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51,338</w:t>
            </w: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w:t>
            </w:r>
          </w:p>
        </w:tc>
        <w:tc>
          <w:tcPr>
            <w:tcW w:w="1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2,203</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9,260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11,627</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49,620</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72,710</w:t>
            </w:r>
          </w:p>
        </w:tc>
        <w:tc>
          <w:tcPr>
            <w:tcW w:w="0" w:type="dxa"/>
            <w:vAlign w:val="bottom"/>
          </w:tcPr>
          <w:p>
            <w:pPr>
              <w:spacing w:after="0"/>
              <w:rPr>
                <w:sz w:val="1"/>
                <w:szCs w:val="1"/>
                <w:color w:val="auto"/>
              </w:rPr>
            </w:pPr>
          </w:p>
        </w:tc>
      </w:tr>
      <w:tr>
        <w:trPr>
          <w:trHeight w:val="180"/>
        </w:trPr>
        <w:tc>
          <w:tcPr>
            <w:tcW w:w="31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127,396</w:t>
            </w:r>
          </w:p>
        </w:tc>
        <w:tc>
          <w:tcPr>
            <w:tcW w:w="32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65,802</w:t>
            </w:r>
          </w:p>
        </w:tc>
        <w:tc>
          <w:tcPr>
            <w:tcW w:w="28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219,081</w:t>
            </w:r>
          </w:p>
        </w:tc>
        <w:tc>
          <w:tcPr>
            <w:tcW w:w="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506,707</w:t>
            </w:r>
          </w:p>
        </w:tc>
        <w:tc>
          <w:tcPr>
            <w:tcW w:w="32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918,986</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fixed- and adjustable-rate loans at December 31, 2024 that are contractually due after December 31, 2025:</w:t>
      </w:r>
    </w:p>
    <w:p>
      <w:pPr>
        <w:spacing w:after="0" w:line="112" w:lineRule="exact"/>
        <w:rPr>
          <w:sz w:val="20"/>
          <w:szCs w:val="20"/>
          <w:color w:val="auto"/>
        </w:rPr>
      </w:pPr>
    </w:p>
    <w:tbl>
      <w:tblPr>
        <w:tblLayout w:type="fixed"/>
        <w:tblInd w:w="2120" w:type="dxa"/>
        <w:tblCellMar>
          <w:top w:w="0" w:type="dxa"/>
          <w:left w:w="0" w:type="dxa"/>
          <w:bottom w:w="0" w:type="dxa"/>
          <w:right w:w="0" w:type="dxa"/>
        </w:tblCellMar>
      </w:tblPr>
      <w:tr>
        <w:trPr>
          <w:trHeight w:val="18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80" w:type="dxa"/>
            <w:vAlign w:val="bottom"/>
          </w:tcPr>
          <w:p>
            <w:pPr>
              <w:spacing w:after="0"/>
              <w:rPr>
                <w:sz w:val="16"/>
                <w:szCs w:val="16"/>
                <w:color w:val="auto"/>
              </w:rPr>
            </w:pPr>
          </w:p>
        </w:tc>
        <w:tc>
          <w:tcPr>
            <w:tcW w:w="10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Due After</w:t>
            </w:r>
          </w:p>
        </w:tc>
        <w:tc>
          <w:tcPr>
            <w:tcW w:w="0" w:type="dxa"/>
            <w:vAlign w:val="bottom"/>
          </w:tcPr>
          <w:p>
            <w:pPr>
              <w:spacing w:after="0"/>
              <w:rPr>
                <w:sz w:val="1"/>
                <w:szCs w:val="1"/>
                <w:color w:val="auto"/>
              </w:rPr>
            </w:pPr>
          </w:p>
        </w:tc>
      </w:tr>
      <w:tr>
        <w:trPr>
          <w:trHeight w:val="193"/>
        </w:trPr>
        <w:tc>
          <w:tcPr>
            <w:tcW w:w="304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One Year</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rates:</w:t>
            </w:r>
          </w:p>
        </w:tc>
        <w:tc>
          <w:tcPr>
            <w:tcW w:w="2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Fixed</w:t>
            </w:r>
          </w:p>
        </w:tc>
        <w:tc>
          <w:tcPr>
            <w:tcW w:w="2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403,580</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Variable</w:t>
            </w:r>
          </w:p>
        </w:tc>
        <w:tc>
          <w:tcPr>
            <w:tcW w:w="2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388,010</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22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791,590</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Total loans receivable, including net deferred costs, increased $21.8 million to $919.0 million at December 31, 2024 when compared to $ 897.2 million at December 31, 2023, due to increases in commercial real estate and home equity and junior liens of $19.1 million and $16.1 million, respectively. These increases in outstanding loan balances were partially offset by decreases in consumer loans, commercial and tax exempt loans, and residential real estate of $7.1 million, $3.4 million, and $2.9 million, respectively.</w:t>
      </w:r>
    </w:p>
    <w:p>
      <w:pPr>
        <w:spacing w:after="0" w:line="7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outstanding balance of commercial real estate loans increased as the Bank continued to benefit from the expanding relationship-derived business activity within the markets that the Bank serves. The increase in home equity and junior liens was primarily the result of such loans acquired from the purchase of the East Syracuse branch in July 2024. The decrease in residential real estate was primarily the result of decreases in the percentage of originated loans allocated to the Bank's portfolio as rates remained elevated throughout 2024.</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Nonperforming Loans and Assets</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7"/>
              </w:rPr>
              <w:t>The following table represents information concerning the aggregate amount of nonperforming assets: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7"/>
              </w:rPr>
              <w:t>December 31</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Pr>
          <w:p>
            <w:pPr>
              <w:spacing w:after="0"/>
              <w:rPr>
                <w:sz w:val="16"/>
                <w:szCs w:val="16"/>
                <w:color w:val="auto"/>
              </w:rPr>
            </w:pPr>
          </w:p>
        </w:tc>
        <w:tc>
          <w:tcPr>
            <w:tcW w:w="10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16"/>
                <w:szCs w:val="16"/>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2022</w:t>
            </w:r>
          </w:p>
        </w:tc>
        <w:tc>
          <w:tcPr>
            <w:tcW w:w="500" w:type="dxa"/>
            <w:vAlign w:val="bottom"/>
          </w:tcPr>
          <w:p>
            <w:pPr>
              <w:spacing w:after="0"/>
              <w:rPr>
                <w:sz w:val="16"/>
                <w:szCs w:val="16"/>
                <w:color w:val="auto"/>
              </w:rPr>
            </w:pP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2021</w:t>
            </w:r>
          </w:p>
        </w:tc>
        <w:tc>
          <w:tcPr>
            <w:tcW w:w="460" w:type="dxa"/>
            <w:vAlign w:val="bottom"/>
          </w:tcPr>
          <w:p>
            <w:pPr>
              <w:spacing w:after="0"/>
              <w:rPr>
                <w:sz w:val="16"/>
                <w:szCs w:val="16"/>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180"/>
        </w:trPr>
        <w:tc>
          <w:tcPr>
            <w:tcW w:w="3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Nonaccrual loans:</w:t>
            </w: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and commercial real estate loans</w:t>
            </w:r>
          </w:p>
        </w:tc>
        <w:tc>
          <w:tcPr>
            <w:tcW w:w="7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18,212</w:t>
            </w:r>
          </w:p>
        </w:tc>
        <w:tc>
          <w:tcPr>
            <w:tcW w:w="46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12,317</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5,720</w:t>
            </w:r>
          </w:p>
        </w:tc>
        <w:tc>
          <w:tcPr>
            <w:tcW w:w="50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6,297</w:t>
            </w:r>
          </w:p>
        </w:tc>
        <w:tc>
          <w:tcPr>
            <w:tcW w:w="46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17,978</w:t>
            </w:r>
          </w:p>
        </w:tc>
        <w:tc>
          <w:tcPr>
            <w:tcW w:w="0" w:type="dxa"/>
            <w:vAlign w:val="bottom"/>
          </w:tcPr>
          <w:p>
            <w:pPr>
              <w:spacing w:after="0"/>
              <w:rPr>
                <w:sz w:val="1"/>
                <w:szCs w:val="1"/>
                <w:color w:val="auto"/>
              </w:rPr>
            </w:pPr>
          </w:p>
        </w:tc>
      </w:tr>
      <w:tr>
        <w:trPr>
          <w:trHeight w:val="180"/>
        </w:trPr>
        <w:tc>
          <w:tcPr>
            <w:tcW w:w="3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Consumer</w:t>
            </w: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710</w:t>
            </w: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3,140</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2,183</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1,104</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720" w:type="dxa"/>
            <w:vAlign w:val="bottom"/>
          </w:tcPr>
          <w:p>
            <w:pPr>
              <w:spacing w:after="0"/>
              <w:rPr>
                <w:sz w:val="15"/>
                <w:szCs w:val="15"/>
                <w:color w:val="auto"/>
              </w:rPr>
            </w:pPr>
          </w:p>
        </w:tc>
        <w:tc>
          <w:tcPr>
            <w:tcW w:w="9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460" w:type="dxa"/>
            <w:vAlign w:val="bottom"/>
          </w:tcPr>
          <w:p>
            <w:pPr>
              <w:spacing w:after="0"/>
              <w:rPr>
                <w:sz w:val="15"/>
                <w:szCs w:val="15"/>
                <w:color w:val="auto"/>
              </w:rPr>
            </w:pPr>
          </w:p>
        </w:tc>
        <w:tc>
          <w:tcPr>
            <w:tcW w:w="100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1,770</w:t>
            </w:r>
          </w:p>
        </w:tc>
        <w:tc>
          <w:tcPr>
            <w:tcW w:w="140" w:type="dxa"/>
            <w:vAlign w:val="bottom"/>
          </w:tcPr>
          <w:p>
            <w:pPr>
              <w:spacing w:after="0"/>
              <w:rPr>
                <w:sz w:val="15"/>
                <w:szCs w:val="15"/>
                <w:color w:val="auto"/>
              </w:rPr>
            </w:pPr>
          </w:p>
        </w:tc>
        <w:tc>
          <w:tcPr>
            <w:tcW w:w="12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1,112</w:t>
            </w:r>
          </w:p>
        </w:tc>
        <w:tc>
          <w:tcPr>
            <w:tcW w:w="500" w:type="dxa"/>
            <w:vAlign w:val="bottom"/>
          </w:tcPr>
          <w:p>
            <w:pPr>
              <w:spacing w:after="0"/>
              <w:rPr>
                <w:sz w:val="15"/>
                <w:szCs w:val="15"/>
                <w:color w:val="auto"/>
              </w:rPr>
            </w:pPr>
          </w:p>
        </w:tc>
        <w:tc>
          <w:tcPr>
            <w:tcW w:w="9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891</w:t>
            </w:r>
          </w:p>
        </w:tc>
        <w:tc>
          <w:tcPr>
            <w:tcW w:w="460" w:type="dxa"/>
            <w:vAlign w:val="bottom"/>
          </w:tcPr>
          <w:p>
            <w:pPr>
              <w:spacing w:after="0"/>
              <w:rPr>
                <w:sz w:val="15"/>
                <w:szCs w:val="15"/>
                <w:color w:val="auto"/>
              </w:rPr>
            </w:pPr>
          </w:p>
        </w:tc>
        <w:tc>
          <w:tcPr>
            <w:tcW w:w="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180"/>
        </w:trPr>
        <w:tc>
          <w:tcPr>
            <w:tcW w:w="3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nonaccrual loans</w:t>
            </w: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17,227</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9,015</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8,292</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21,333</w:t>
            </w: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nonperforming loans</w:t>
            </w:r>
          </w:p>
        </w:tc>
        <w:tc>
          <w:tcPr>
            <w:tcW w:w="720" w:type="dxa"/>
            <w:vAlign w:val="bottom"/>
          </w:tcPr>
          <w:p>
            <w:pPr>
              <w:spacing w:after="0"/>
              <w:rPr>
                <w:sz w:val="15"/>
                <w:szCs w:val="15"/>
                <w:color w:val="auto"/>
              </w:rPr>
            </w:pPr>
          </w:p>
        </w:tc>
        <w:tc>
          <w:tcPr>
            <w:tcW w:w="9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460" w:type="dxa"/>
            <w:vAlign w:val="bottom"/>
          </w:tcPr>
          <w:p>
            <w:pPr>
              <w:spacing w:after="0"/>
              <w:rPr>
                <w:sz w:val="15"/>
                <w:szCs w:val="15"/>
                <w:color w:val="auto"/>
              </w:rPr>
            </w:pPr>
          </w:p>
        </w:tc>
        <w:tc>
          <w:tcPr>
            <w:tcW w:w="100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17,227</w:t>
            </w:r>
          </w:p>
        </w:tc>
        <w:tc>
          <w:tcPr>
            <w:tcW w:w="140" w:type="dxa"/>
            <w:vAlign w:val="bottom"/>
          </w:tcPr>
          <w:p>
            <w:pPr>
              <w:spacing w:after="0"/>
              <w:rPr>
                <w:sz w:val="15"/>
                <w:szCs w:val="15"/>
                <w:color w:val="auto"/>
              </w:rPr>
            </w:pPr>
          </w:p>
        </w:tc>
        <w:tc>
          <w:tcPr>
            <w:tcW w:w="12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9,015</w:t>
            </w:r>
          </w:p>
        </w:tc>
        <w:tc>
          <w:tcPr>
            <w:tcW w:w="500" w:type="dxa"/>
            <w:vAlign w:val="bottom"/>
          </w:tcPr>
          <w:p>
            <w:pPr>
              <w:spacing w:after="0"/>
              <w:rPr>
                <w:sz w:val="15"/>
                <w:szCs w:val="15"/>
                <w:color w:val="auto"/>
              </w:rPr>
            </w:pPr>
          </w:p>
        </w:tc>
        <w:tc>
          <w:tcPr>
            <w:tcW w:w="9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8,292</w:t>
            </w:r>
          </w:p>
        </w:tc>
        <w:tc>
          <w:tcPr>
            <w:tcW w:w="460" w:type="dxa"/>
            <w:vAlign w:val="bottom"/>
          </w:tcPr>
          <w:p>
            <w:pPr>
              <w:spacing w:after="0"/>
              <w:rPr>
                <w:sz w:val="15"/>
                <w:szCs w:val="15"/>
                <w:color w:val="auto"/>
              </w:rPr>
            </w:pPr>
          </w:p>
        </w:tc>
        <w:tc>
          <w:tcPr>
            <w:tcW w:w="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21,333</w:t>
            </w:r>
          </w:p>
        </w:tc>
        <w:tc>
          <w:tcPr>
            <w:tcW w:w="0" w:type="dxa"/>
            <w:vAlign w:val="bottom"/>
          </w:tcPr>
          <w:p>
            <w:pPr>
              <w:spacing w:after="0"/>
              <w:rPr>
                <w:sz w:val="1"/>
                <w:szCs w:val="1"/>
                <w:color w:val="auto"/>
              </w:rPr>
            </w:pPr>
          </w:p>
        </w:tc>
      </w:tr>
      <w:tr>
        <w:trPr>
          <w:trHeight w:val="180"/>
        </w:trPr>
        <w:tc>
          <w:tcPr>
            <w:tcW w:w="3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Foreclosed real estate</w:t>
            </w: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221</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auto"/>
            </w:tcBorders>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nonperforming assets</w:t>
            </w:r>
          </w:p>
        </w:tc>
        <w:tc>
          <w:tcPr>
            <w:tcW w:w="720" w:type="dxa"/>
            <w:vAlign w:val="bottom"/>
            <w:tcBorders>
              <w:bottom w:val="single" w:sz="8" w:color="auto"/>
            </w:tcBorders>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460" w:type="dxa"/>
            <w:vAlign w:val="bottom"/>
            <w:tcBorders>
              <w:bottom w:val="single" w:sz="8" w:color="auto"/>
            </w:tcBorders>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17,378</w:t>
            </w: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9,236</w:t>
            </w:r>
          </w:p>
        </w:tc>
        <w:tc>
          <w:tcPr>
            <w:tcW w:w="500" w:type="dxa"/>
            <w:vAlign w:val="bottom"/>
            <w:tcBorders>
              <w:bottom w:val="single" w:sz="8" w:color="auto"/>
            </w:tcBorders>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8,292</w:t>
            </w:r>
          </w:p>
        </w:tc>
        <w:tc>
          <w:tcPr>
            <w:tcW w:w="460" w:type="dxa"/>
            <w:vAlign w:val="bottom"/>
            <w:tcBorders>
              <w:bottom w:val="single" w:sz="8" w:color="auto"/>
            </w:tcBorders>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21,333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Nonperforming loans to total loans</w:t>
            </w:r>
          </w:p>
        </w:tc>
        <w:tc>
          <w:tcPr>
            <w:tcW w:w="720" w:type="dxa"/>
            <w:vAlign w:val="bottom"/>
          </w:tcPr>
          <w:p>
            <w:pPr>
              <w:spacing w:after="0"/>
              <w:rPr>
                <w:sz w:val="15"/>
                <w:szCs w:val="15"/>
                <w:color w:val="auto"/>
              </w:rPr>
            </w:pPr>
          </w:p>
        </w:tc>
        <w:tc>
          <w:tcPr>
            <w:tcW w:w="9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2.40 %</w:t>
            </w:r>
          </w:p>
        </w:tc>
        <w:tc>
          <w:tcPr>
            <w:tcW w:w="46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1.92 %</w:t>
            </w:r>
          </w:p>
        </w:tc>
        <w:tc>
          <w:tcPr>
            <w:tcW w:w="1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1.00 %</w:t>
            </w:r>
          </w:p>
        </w:tc>
        <w:tc>
          <w:tcPr>
            <w:tcW w:w="50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1.00 %</w:t>
            </w:r>
          </w:p>
        </w:tc>
        <w:tc>
          <w:tcPr>
            <w:tcW w:w="4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2.58 %</w:t>
            </w:r>
          </w:p>
        </w:tc>
        <w:tc>
          <w:tcPr>
            <w:tcW w:w="0" w:type="dxa"/>
            <w:vAlign w:val="bottom"/>
          </w:tcPr>
          <w:p>
            <w:pPr>
              <w:spacing w:after="0"/>
              <w:rPr>
                <w:sz w:val="1"/>
                <w:szCs w:val="1"/>
                <w:color w:val="auto"/>
              </w:rPr>
            </w:pPr>
          </w:p>
        </w:tc>
      </w:tr>
      <w:tr>
        <w:trPr>
          <w:trHeight w:val="180"/>
        </w:trPr>
        <w:tc>
          <w:tcPr>
            <w:tcW w:w="3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Nonperforming assets to total assets</w:t>
            </w: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1.50 %</w:t>
            </w: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1.19 %</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0.66 %</w:t>
            </w:r>
          </w:p>
        </w:tc>
        <w:tc>
          <w:tcPr>
            <w:tcW w:w="5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0.65 %</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Nonperforming assets include nonaccrual loans and foreclosed real estate (“FRE”).</w:t>
      </w:r>
    </w:p>
    <w:p>
      <w:pPr>
        <w:spacing w:after="0" w:line="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Management monitors its loan portfolios closely and has incorporated our current estimate of the ultimate collectability of all loans into the reported allowance for credit losses at December 31, 2024. The ratio of the allowance for credit losses to year end loans was 1.88% and 1.78% at December 31, 2024 and December 31, 2023, respectively.</w:t>
      </w:r>
    </w:p>
    <w:p>
      <w:pPr>
        <w:spacing w:after="0" w:line="6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Total nonperforming assets increased $4.7 million, or 27.1%, between December 31, 2023 and December 31, 2024, driven by an increase of $5.9 million in nonperforming commercial and commercial real estate loans, and an increase of $1.4 million in nonperforming residential real estate loans. These increases were partially offset by decreases in nonperforming consumer loans and foreclosed real estate of $2.4 million and $151,000, respectively. The increase in nonperforming commercial and commercial real estate loans in 2024 was primarily due to two loan relationships in the amount of $ 5.4 million that were placed on non-accrual status. The increase in nonperforming residential real estate loans in 2024 was primarily due to one loan relationship in the amount of $1.5 million that was placed on non-accrual status.</w:t>
      </w:r>
    </w:p>
    <w:p>
      <w:pPr>
        <w:spacing w:after="0" w:line="7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Management believes that the value of the collateral properties underlying the loans is sufficient to preclude any significant losses related to these loans. Management continues to monitor and react to national and local economic trends as well as general portfolio conditions which may impact the quality of the portfolio, and considers these environmental factors in support of the allowance for credit loss reserve. Management believes that the current level of the allowance for credit losses, at $17.2 million at December 31, 2024, adequately addresses the current level of risk within the loan portfolio, particularly considering the types and levels of collateralization supporting the substantial majority of the portfolio. The Company maintains strict loan underwriting standards and carefully monitors the performance of the loan portfolio. See Note 1: Summary of Significant Accounting Policies contained in the financial statements herein.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 balances decreased to zero at December 31, 2024, compared to $151,000 at the prior year end.</w:t>
      </w:r>
    </w:p>
    <w:p>
      <w:pPr>
        <w:spacing w:after="0" w:line="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 generally places a loan on nonaccrual status and ceases accruing interest when loan payment performance is deemed unsatisfactory and the loan is past due 90 days or more. There are no loans that are past due 90 days or more and still accruing interest as set forth in the table above. The Company considers a loan as individually evaluated when, based on current information and events, it is probable that the Company will be unable to collect the scheduled payments of principal and interest when due according to the contractual terms of the loan. Had the loans in nonaccrual status performed in accordance with their original terms, additional interest income of $2.4 million and $989,000 would have been recorded for the years ended December 31, 2024 and December 31, 2023, respectively.</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measurement of individually evaluated loans is based upon the fair value of the collateral or the present value of future cash flows discounted at the historical effective interest rate for individually evaluated loans when the receipt of contractual principal and interest is probable. At December 31, 2024 and December 31, 2023, the Company had $20.0 million and $22.6 million in loans, which were deemed to be individually evaluated, having specific reserves of $2.5 million and $3.7 million, respectively. The $1.2 million year-over-year decrease in individually evaluated loans was principally due to increases of $76,000, and $33,000 in individually evaluated consumer and home equity lines, respectively, offset by decreases of $690,000, $400,000, $116,000 and $96,000 in commercial lines of credit, commercial and industrial loans, commercial mortgage, and residential mortgages, respectively.</w:t>
      </w:r>
    </w:p>
    <w:p>
      <w:pPr>
        <w:spacing w:after="0" w:line="77"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16"/>
          <w:szCs w:val="16"/>
          <w:color w:val="auto"/>
        </w:rPr>
        <w:t>The threshold for individually evaluated commercial real estate or commercial loans remains at $100,000 and for residential mortgage loans remains at $300,000 at December 31, 2024. The thresholds described above do not apply to loans that have been classified as modified due to borrowers experiencing financial difficulties, which are individually evaluated at the time that the restructuring is affected.</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 w:name="page46"/>
    <w:bookmarkEnd w:id="45"/>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Appraisals are obtained at the time a real estate secured loan is originated. For commercial real estate held as collateral, the property is inspected every two years.</w:t>
      </w:r>
    </w:p>
    <w:p>
      <w:pPr>
        <w:spacing w:after="0" w:line="9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increased $13.3 million to $56.4 million at December 31, 2024, compared to $43.1 million at December 31, 2023. These loans have been internally classified as special mention, substandard, or doubtful, yet are not currently considered individually evaluated. The increase in potential problem loans was primarily due to a $8.2 million increase in potential problem commercial real estate loans, a $5.4 million increase in potential problem commercial lines of credit, and a $2.3 million increase in potential problem commercial and industrial loans. These increases were partially offset by a decrease of $1.9 million in potential problem residential mortgage loans.</w:t>
      </w:r>
    </w:p>
    <w:p>
      <w:pPr>
        <w:spacing w:after="0" w:line="77" w:lineRule="exact"/>
        <w:rPr>
          <w:sz w:val="20"/>
          <w:szCs w:val="20"/>
          <w:color w:val="auto"/>
        </w:rPr>
      </w:pPr>
    </w:p>
    <w:p>
      <w:pPr>
        <w:ind w:right="240"/>
        <w:spacing w:after="0" w:line="299" w:lineRule="auto"/>
        <w:rPr>
          <w:sz w:val="20"/>
          <w:szCs w:val="20"/>
          <w:color w:val="auto"/>
        </w:rPr>
      </w:pPr>
      <w:r>
        <w:rPr>
          <w:rFonts w:ascii="Times New Roman" w:cs="Times New Roman" w:eastAsia="Times New Roman" w:hAnsi="Times New Roman"/>
          <w:sz w:val="14"/>
          <w:szCs w:val="14"/>
          <w:color w:val="auto"/>
        </w:rPr>
        <w:t>Total potential problem loans, including individually evaluated loans, were $58.0 million at December 31, 2024, and were comprised of special mention, substandard and doubtful loans of $32.8 million, $23.1 million and $2.1 million, respectively. Total potential problem loans, including individually evaluated loans, were $43.1 million at December 31, 2023, and were comprised of special mention, substandard and doubtful loans of $20.7 million, $20.3 million and $2.1 million, respectively.</w:t>
      </w:r>
    </w:p>
    <w:p>
      <w:pPr>
        <w:spacing w:after="0" w:line="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The Company measures delinquency based on the amount of past due loans as a percentage of total loans. The ratio of delinquent loans to total loans increased to 3.81% at December 31, 2024 as compared to 3.79% at December 31, 2023. This increase was due to an increase of $2.0 million in past due commercial loans, a $728,000</w:t>
      </w:r>
    </w:p>
    <w:p>
      <w:pPr>
        <w:ind w:right="240"/>
        <w:spacing w:after="0" w:line="248" w:lineRule="auto"/>
        <w:rPr>
          <w:sz w:val="20"/>
          <w:szCs w:val="20"/>
          <w:color w:val="auto"/>
        </w:rPr>
      </w:pPr>
      <w:r>
        <w:rPr>
          <w:rFonts w:ascii="Times New Roman" w:cs="Times New Roman" w:eastAsia="Times New Roman" w:hAnsi="Times New Roman"/>
          <w:sz w:val="16"/>
          <w:szCs w:val="16"/>
          <w:color w:val="auto"/>
        </w:rPr>
        <w:t>increase in past due residential loans, partially offset by a $1.7 million decrease in past due consumer loans. At December 31, 2024, there were $35.1 million in loans past due including $8.8 million, $4.2 million and $22.1 million in loans 30-59 days, 60-89 days, and 90 days and over past due, respectively. At December 31, 2023, there were $34.0 million in loans past due including $13.6 million, $3.2 million and $17.2 million in loans 30-59 days, 60-89 days, and 90 days and over past due, respectively.</w:t>
      </w:r>
    </w:p>
    <w:p>
      <w:pPr>
        <w:spacing w:after="0" w:line="6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Loans purchased outside of the Bank’s general market area are subject to substantial pre -purchase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 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7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 See Note 5 for further detail of purchased loan pools.</w:t>
      </w:r>
    </w:p>
    <w:p>
      <w:pPr>
        <w:spacing w:after="0" w:line="73"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6"/>
          <w:szCs w:val="16"/>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6" w:name="page47"/>
    <w:bookmarkEnd w:id="46"/>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allowance for credit losses (ACL) is established through provision for credit losses and reduced by loan charge-offs net of recoveries. The allowance for credit losses represents the amount available for lifetime credit losses in the Company’s loan portfolio as estimated by management.</w:t>
      </w:r>
    </w:p>
    <w:p>
      <w:pPr>
        <w:spacing w:after="0" w:line="5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auto"/>
        </w:rPr>
        <w:t xml:space="preserve">The Company establishes a specific allocation for all commercial loans identified as being specifically-identified with a balance in excess of $100,000 that are also on nonaccrual or have been risk rated under the Company’s risk rating system as substandard, doubtful, or loss. The measurement of </w:t>
      </w:r>
      <w:r>
        <w:rPr>
          <w:rFonts w:ascii="Times New Roman" w:cs="Times New Roman" w:eastAsia="Times New Roman" w:hAnsi="Times New Roman"/>
          <w:sz w:val="18"/>
          <w:szCs w:val="18"/>
          <w:color w:val="auto"/>
        </w:rPr>
        <w:t>individually evaluated</w:t>
      </w:r>
      <w:r>
        <w:rPr>
          <w:rFonts w:ascii="Times New Roman" w:cs="Times New Roman" w:eastAsia="Times New Roman" w:hAnsi="Times New Roman"/>
          <w:sz w:val="16"/>
          <w:szCs w:val="16"/>
          <w:color w:val="auto"/>
        </w:rPr>
        <w:t xml:space="preserve"> loans is based upon either the present value of future cash flows discounted at the historical effective interest rate or the fair value of the collateral, less costs to sell for collateral dependent loans. At December 31, 2024, the Bank’s position in </w:t>
      </w:r>
      <w:r>
        <w:rPr>
          <w:rFonts w:ascii="Times New Roman" w:cs="Times New Roman" w:eastAsia="Times New Roman" w:hAnsi="Times New Roman"/>
          <w:sz w:val="18"/>
          <w:szCs w:val="18"/>
          <w:color w:val="auto"/>
        </w:rPr>
        <w:t>individually evaluated</w:t>
      </w:r>
      <w:r>
        <w:rPr>
          <w:rFonts w:ascii="Times New Roman" w:cs="Times New Roman" w:eastAsia="Times New Roman" w:hAnsi="Times New Roman"/>
          <w:sz w:val="16"/>
          <w:szCs w:val="16"/>
          <w:color w:val="auto"/>
        </w:rPr>
        <w:t xml:space="preserve"> loans consisted of 45 loans totaling $20.0 million. Of these loans, 15 loans, totaling $3.0 million, were valued using the present value of future cash flows method; and 30 loans, totaling $17.0 million, were valued based on a collateral analysis. For all other loans, the Company uses the general allocation methodology that establishes an allowance to estimate the probable lifetime loss for each risk-rating category. The Company uses the fair value of collateral, less costs to sell to measure impairment on commercial and commercial real estate loans. Residential real estate loans in excess of $300,000 will also be included in this individual loan review. Residential real estate loans less than this amount will be included in </w:t>
      </w:r>
      <w:r>
        <w:rPr>
          <w:rFonts w:ascii="Times New Roman" w:cs="Times New Roman" w:eastAsia="Times New Roman" w:hAnsi="Times New Roman"/>
          <w:sz w:val="18"/>
          <w:szCs w:val="18"/>
          <w:color w:val="auto"/>
        </w:rPr>
        <w:t>individually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 xml:space="preserve">evaluated </w:t>
      </w:r>
      <w:r>
        <w:rPr>
          <w:rFonts w:ascii="Times New Roman" w:cs="Times New Roman" w:eastAsia="Times New Roman" w:hAnsi="Times New Roman"/>
          <w:sz w:val="15"/>
          <w:szCs w:val="15"/>
          <w:color w:val="auto"/>
        </w:rPr>
        <w:t>loans if it is part of the total related credit to a previously identified commercial loan. The Company also establishes a specific allowance, regardless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size of the loan, for all loans modified due to borrowers experiencing financial difficulties.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allowance for credit losses and the allowance for loan losses at December 31, 2024 and 2023 was $17.2 million and $16.0 million, respectively, or 1.87% and</w:t>
      </w:r>
    </w:p>
    <w:p>
      <w:pPr>
        <w:spacing w:after="0" w:line="1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6"/>
          <w:szCs w:val="16"/>
          <w:color w:val="auto"/>
        </w:rPr>
        <w:t>1.78% of total year end loans on those dates, respectively. The Company recorded $9.8 million in net charge-offs in 2024, as compared to $4.2 million in net charge-offs in 2023. The ratio of net charge-offs to average loans increased to 1.09% in 2024 from 0.47% in 2023. The increase in charge -off activity in 2024, as compared to the previous year, was primarily related to a comprehensive loan portfolio review that the Bank elected to undertake as part of its ongoing commitment to continuously improve its credit risk management approach.</w:t>
      </w:r>
    </w:p>
    <w:p>
      <w:pPr>
        <w:spacing w:after="0" w:line="75"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For further discussion of our allowance for credit losses procedures, please see “Business-Allowance for Credit Losses” and Note 6 to the consolidated financial statements contained in this Annual Report on Form 10-K.</w:t>
      </w:r>
    </w:p>
    <w:p>
      <w:pPr>
        <w:spacing w:after="0" w:line="5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allocation of allowance for credit losses by loan category for the years indicated. The allocation of the allowance by category is not necessarily indicative of future losses and does not restrict the use of the allowance to absorb losses in any category.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2022</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2021</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2020</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8"/>
              </w:rPr>
              <w:t>Allocation</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c>
          <w:tcPr>
            <w:tcW w:w="120" w:type="dxa"/>
            <w:vAlign w:val="bottom"/>
          </w:tcPr>
          <w:p>
            <w:pPr>
              <w:spacing w:after="0"/>
              <w:rPr>
                <w:sz w:val="12"/>
                <w:szCs w:val="12"/>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8"/>
              </w:rPr>
              <w:t>Allocation</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c>
          <w:tcPr>
            <w:tcW w:w="120" w:type="dxa"/>
            <w:vAlign w:val="bottom"/>
          </w:tcPr>
          <w:p>
            <w:pPr>
              <w:spacing w:after="0"/>
              <w:rPr>
                <w:sz w:val="12"/>
                <w:szCs w:val="12"/>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8"/>
              </w:rPr>
              <w:t>Allocation</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c>
          <w:tcPr>
            <w:tcW w:w="12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Allocation</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Percent of</w:t>
            </w:r>
          </w:p>
        </w:tc>
        <w:tc>
          <w:tcPr>
            <w:tcW w:w="140" w:type="dxa"/>
            <w:vAlign w:val="bottom"/>
          </w:tcPr>
          <w:p>
            <w:pPr>
              <w:spacing w:after="0"/>
              <w:rPr>
                <w:sz w:val="12"/>
                <w:szCs w:val="12"/>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Allocation</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Percent of</w:t>
            </w:r>
          </w:p>
        </w:tc>
        <w:tc>
          <w:tcPr>
            <w:tcW w:w="0" w:type="dxa"/>
            <w:vAlign w:val="bottom"/>
          </w:tcPr>
          <w:p>
            <w:pPr>
              <w:spacing w:after="0"/>
              <w:rPr>
                <w:sz w:val="1"/>
                <w:szCs w:val="1"/>
                <w:color w:val="auto"/>
              </w:rPr>
            </w:pPr>
          </w:p>
        </w:tc>
      </w:tr>
      <w:tr>
        <w:trPr>
          <w:trHeight w:val="144"/>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380" w:type="dxa"/>
            <w:vAlign w:val="bottom"/>
          </w:tcPr>
          <w:p>
            <w:pPr>
              <w:spacing w:after="0"/>
              <w:rPr>
                <w:sz w:val="12"/>
                <w:szCs w:val="12"/>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of the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c>
          <w:tcPr>
            <w:tcW w:w="120" w:type="dxa"/>
            <w:vAlign w:val="bottom"/>
          </w:tcPr>
          <w:p>
            <w:pPr>
              <w:spacing w:after="0"/>
              <w:rPr>
                <w:sz w:val="12"/>
                <w:szCs w:val="12"/>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of the</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c>
          <w:tcPr>
            <w:tcW w:w="120" w:type="dxa"/>
            <w:vAlign w:val="bottom"/>
          </w:tcPr>
          <w:p>
            <w:pPr>
              <w:spacing w:after="0"/>
              <w:rPr>
                <w:sz w:val="12"/>
                <w:szCs w:val="12"/>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of the</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c>
          <w:tcPr>
            <w:tcW w:w="12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of the</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Loans to</w:t>
            </w:r>
          </w:p>
        </w:tc>
        <w:tc>
          <w:tcPr>
            <w:tcW w:w="140" w:type="dxa"/>
            <w:vAlign w:val="bottom"/>
          </w:tcPr>
          <w:p>
            <w:pPr>
              <w:spacing w:after="0"/>
              <w:rPr>
                <w:sz w:val="12"/>
                <w:szCs w:val="12"/>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of the</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Loans to</w:t>
            </w:r>
          </w:p>
        </w:tc>
        <w:tc>
          <w:tcPr>
            <w:tcW w:w="0" w:type="dxa"/>
            <w:vAlign w:val="bottom"/>
          </w:tcPr>
          <w:p>
            <w:pPr>
              <w:spacing w:after="0"/>
              <w:rPr>
                <w:sz w:val="1"/>
                <w:szCs w:val="1"/>
                <w:color w:val="auto"/>
              </w:rPr>
            </w:pPr>
          </w:p>
        </w:tc>
      </w:tr>
      <w:tr>
        <w:trPr>
          <w:trHeight w:val="155"/>
        </w:trPr>
        <w:tc>
          <w:tcPr>
            <w:tcW w:w="17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6"/>
              </w:rPr>
              <w:t>Allowance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Total Loans</w:t>
            </w:r>
          </w:p>
        </w:tc>
        <w:tc>
          <w:tcPr>
            <w:tcW w:w="120" w:type="dxa"/>
            <w:vAlign w:val="bottom"/>
          </w:tcPr>
          <w:p>
            <w:pPr>
              <w:spacing w:after="0"/>
              <w:rPr>
                <w:sz w:val="13"/>
                <w:szCs w:val="13"/>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Allowance</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Total Loans</w:t>
            </w:r>
          </w:p>
        </w:tc>
        <w:tc>
          <w:tcPr>
            <w:tcW w:w="12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Allowance</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Total Loans</w:t>
            </w:r>
          </w:p>
        </w:tc>
        <w:tc>
          <w:tcPr>
            <w:tcW w:w="12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Allowance</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Total Loans</w:t>
            </w:r>
          </w:p>
        </w:tc>
        <w:tc>
          <w:tcPr>
            <w:tcW w:w="140" w:type="dxa"/>
            <w:vAlign w:val="bottom"/>
          </w:tcPr>
          <w:p>
            <w:pPr>
              <w:spacing w:after="0"/>
              <w:rPr>
                <w:sz w:val="13"/>
                <w:szCs w:val="13"/>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Allowance</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Total Loans</w:t>
            </w:r>
          </w:p>
        </w:tc>
        <w:tc>
          <w:tcPr>
            <w:tcW w:w="0" w:type="dxa"/>
            <w:vAlign w:val="bottom"/>
          </w:tcPr>
          <w:p>
            <w:pPr>
              <w:spacing w:after="0"/>
              <w:rPr>
                <w:sz w:val="1"/>
                <w:szCs w:val="1"/>
                <w:color w:val="auto"/>
              </w:rPr>
            </w:pPr>
          </w:p>
        </w:tc>
      </w:tr>
      <w:tr>
        <w:trPr>
          <w:trHeight w:val="14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Residential real estate</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2,059</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2,466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714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872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931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28.2 %</w:t>
            </w:r>
          </w:p>
        </w:tc>
        <w:tc>
          <w:tcPr>
            <w:tcW w:w="0" w:type="dxa"/>
            <w:vAlign w:val="bottom"/>
          </w:tcPr>
          <w:p>
            <w:pPr>
              <w:spacing w:after="0"/>
              <w:rPr>
                <w:sz w:val="1"/>
                <w:szCs w:val="1"/>
                <w:color w:val="auto"/>
              </w:rPr>
            </w:pPr>
          </w:p>
        </w:tc>
      </w:tr>
      <w:tr>
        <w:trPr>
          <w:trHeight w:val="144"/>
        </w:trPr>
        <w:tc>
          <w:tcPr>
            <w:tcW w:w="1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 real estate</w:t>
            </w:r>
          </w:p>
        </w:tc>
        <w:tc>
          <w:tcPr>
            <w:tcW w:w="380" w:type="dxa"/>
            <w:vAlign w:val="bottom"/>
          </w:tcPr>
          <w:p>
            <w:pPr>
              <w:spacing w:after="0"/>
              <w:rPr>
                <w:sz w:val="12"/>
                <w:szCs w:val="12"/>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6,746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41.1 %</w:t>
            </w:r>
          </w:p>
        </w:tc>
        <w:tc>
          <w:tcPr>
            <w:tcW w:w="120" w:type="dxa"/>
            <w:vAlign w:val="bottom"/>
          </w:tcPr>
          <w:p>
            <w:pPr>
              <w:spacing w:after="0"/>
              <w:rPr>
                <w:sz w:val="12"/>
                <w:szCs w:val="12"/>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5,751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20" w:type="dxa"/>
            <w:vAlign w:val="bottom"/>
          </w:tcPr>
          <w:p>
            <w:pPr>
              <w:spacing w:after="0"/>
              <w:rPr>
                <w:sz w:val="12"/>
                <w:szCs w:val="12"/>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5,881</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38.4 %</w:t>
            </w:r>
          </w:p>
        </w:tc>
        <w:tc>
          <w:tcPr>
            <w:tcW w:w="120" w:type="dxa"/>
            <w:vAlign w:val="bottom"/>
          </w:tcPr>
          <w:p>
            <w:pPr>
              <w:spacing w:after="0"/>
              <w:rPr>
                <w:sz w:val="12"/>
                <w:szCs w:val="12"/>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5,308</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34.5 %</w:t>
            </w:r>
          </w:p>
        </w:tc>
        <w:tc>
          <w:tcPr>
            <w:tcW w:w="140" w:type="dxa"/>
            <w:vAlign w:val="bottom"/>
          </w:tcPr>
          <w:p>
            <w:pPr>
              <w:spacing w:after="0"/>
              <w:rPr>
                <w:sz w:val="12"/>
                <w:szCs w:val="12"/>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4,776</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34.7 %</w:t>
            </w:r>
          </w:p>
        </w:tc>
        <w:tc>
          <w:tcPr>
            <w:tcW w:w="0" w:type="dxa"/>
            <w:vAlign w:val="bottom"/>
          </w:tcPr>
          <w:p>
            <w:pPr>
              <w:spacing w:after="0"/>
              <w:rPr>
                <w:sz w:val="1"/>
                <w:szCs w:val="1"/>
                <w:color w:val="auto"/>
              </w:rPr>
            </w:pPr>
          </w:p>
        </w:tc>
      </w:tr>
      <w:tr>
        <w:trPr>
          <w:trHeight w:val="14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Commercial and tax exempt</w:t>
            </w:r>
          </w:p>
        </w:tc>
        <w:tc>
          <w:tcPr>
            <w:tcW w:w="3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3,632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17.6 %</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4,956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18.4 %</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6,937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18.3 %</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3,701</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4,663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23.6 %</w:t>
            </w:r>
          </w:p>
        </w:tc>
        <w:tc>
          <w:tcPr>
            <w:tcW w:w="0" w:type="dxa"/>
            <w:vAlign w:val="bottom"/>
          </w:tcPr>
          <w:p>
            <w:pPr>
              <w:spacing w:after="0"/>
              <w:rPr>
                <w:sz w:val="1"/>
                <w:szCs w:val="1"/>
                <w:color w:val="auto"/>
              </w:rPr>
            </w:pPr>
          </w:p>
        </w:tc>
      </w:tr>
      <w:tr>
        <w:trPr>
          <w:trHeight w:val="144"/>
        </w:trPr>
        <w:tc>
          <w:tcPr>
            <w:tcW w:w="1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Home equity and junior liens</w:t>
            </w:r>
          </w:p>
        </w:tc>
        <w:tc>
          <w:tcPr>
            <w:tcW w:w="380" w:type="dxa"/>
            <w:vAlign w:val="bottom"/>
          </w:tcPr>
          <w:p>
            <w:pPr>
              <w:spacing w:after="0"/>
              <w:rPr>
                <w:sz w:val="12"/>
                <w:szCs w:val="12"/>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715</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5.6 %</w:t>
            </w:r>
          </w:p>
        </w:tc>
        <w:tc>
          <w:tcPr>
            <w:tcW w:w="120" w:type="dxa"/>
            <w:vAlign w:val="bottom"/>
          </w:tcPr>
          <w:p>
            <w:pPr>
              <w:spacing w:after="0"/>
              <w:rPr>
                <w:sz w:val="12"/>
                <w:szCs w:val="12"/>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657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3.9 %</w:t>
            </w:r>
          </w:p>
        </w:tc>
        <w:tc>
          <w:tcPr>
            <w:tcW w:w="120" w:type="dxa"/>
            <w:vAlign w:val="bottom"/>
          </w:tcPr>
          <w:p>
            <w:pPr>
              <w:spacing w:after="0"/>
              <w:rPr>
                <w:sz w:val="12"/>
                <w:szCs w:val="12"/>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741</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12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774</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140" w:type="dxa"/>
            <w:vAlign w:val="bottom"/>
          </w:tcPr>
          <w:p>
            <w:pPr>
              <w:spacing w:after="0"/>
              <w:rPr>
                <w:sz w:val="12"/>
                <w:szCs w:val="12"/>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739</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4.7 %</w:t>
            </w:r>
          </w:p>
        </w:tc>
        <w:tc>
          <w:tcPr>
            <w:tcW w:w="0" w:type="dxa"/>
            <w:vAlign w:val="bottom"/>
          </w:tcPr>
          <w:p>
            <w:pPr>
              <w:spacing w:after="0"/>
              <w:rPr>
                <w:sz w:val="1"/>
                <w:szCs w:val="1"/>
                <w:color w:val="auto"/>
              </w:rPr>
            </w:pPr>
          </w:p>
        </w:tc>
      </w:tr>
      <w:tr>
        <w:trPr>
          <w:trHeight w:val="14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Consumer loans</w:t>
            </w:r>
          </w:p>
        </w:tc>
        <w:tc>
          <w:tcPr>
            <w:tcW w:w="3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4,091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7.9 %</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2,145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8.9 %</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1,046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10.3 %</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1,297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13.2 %</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1,123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8.6 %</w:t>
            </w:r>
          </w:p>
        </w:tc>
        <w:tc>
          <w:tcPr>
            <w:tcW w:w="0" w:type="dxa"/>
            <w:vAlign w:val="bottom"/>
          </w:tcPr>
          <w:p>
            <w:pPr>
              <w:spacing w:after="0"/>
              <w:rPr>
                <w:sz w:val="1"/>
                <w:szCs w:val="1"/>
                <w:color w:val="auto"/>
              </w:rPr>
            </w:pPr>
          </w:p>
        </w:tc>
      </w:tr>
      <w:tr>
        <w:trPr>
          <w:trHeight w:val="144"/>
        </w:trPr>
        <w:tc>
          <w:tcPr>
            <w:tcW w:w="1700" w:type="dxa"/>
            <w:vAlign w:val="bottom"/>
          </w:tcPr>
          <w:p>
            <w:pPr>
              <w:ind w:left="20"/>
              <w:spacing w:after="0" w:line="144" w:lineRule="exact"/>
              <w:rPr>
                <w:sz w:val="20"/>
                <w:szCs w:val="20"/>
                <w:color w:val="auto"/>
              </w:rPr>
            </w:pPr>
            <w:r>
              <w:rPr>
                <w:rFonts w:ascii="Times New Roman" w:cs="Times New Roman" w:eastAsia="Times New Roman" w:hAnsi="Times New Roman"/>
                <w:sz w:val="12"/>
                <w:szCs w:val="12"/>
                <w:color w:val="auto"/>
              </w:rPr>
              <w:t xml:space="preserve">Unallocated </w:t>
            </w:r>
            <w:r>
              <w:rPr>
                <w:rFonts w:ascii="Times New Roman" w:cs="Times New Roman" w:eastAsia="Times New Roman" w:hAnsi="Times New Roman"/>
                <w:sz w:val="16"/>
                <w:szCs w:val="16"/>
                <w:color w:val="auto"/>
                <w:vertAlign w:val="superscript"/>
              </w:rPr>
              <w:t>(1)</w:t>
            </w:r>
          </w:p>
        </w:tc>
        <w:tc>
          <w:tcPr>
            <w:tcW w:w="380" w:type="dxa"/>
            <w:vAlign w:val="bottom"/>
          </w:tcPr>
          <w:p>
            <w:pPr>
              <w:spacing w:after="0"/>
              <w:rPr>
                <w:sz w:val="12"/>
                <w:szCs w:val="12"/>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983</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0.1 %</w:t>
            </w:r>
          </w:p>
        </w:tc>
        <w:tc>
          <w:tcPr>
            <w:tcW w:w="140" w:type="dxa"/>
            <w:vAlign w:val="bottom"/>
          </w:tcPr>
          <w:p>
            <w:pPr>
              <w:spacing w:after="0"/>
              <w:rPr>
                <w:sz w:val="12"/>
                <w:szCs w:val="12"/>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545</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0.2 %</w:t>
            </w:r>
          </w:p>
        </w:tc>
        <w:tc>
          <w:tcPr>
            <w:tcW w:w="0" w:type="dxa"/>
            <w:vAlign w:val="bottom"/>
          </w:tcPr>
          <w:p>
            <w:pPr>
              <w:spacing w:after="0"/>
              <w:rPr>
                <w:sz w:val="1"/>
                <w:szCs w:val="1"/>
                <w:color w:val="auto"/>
              </w:rPr>
            </w:pPr>
          </w:p>
        </w:tc>
      </w:tr>
      <w:tr>
        <w:trPr>
          <w:trHeight w:val="184"/>
        </w:trPr>
        <w:tc>
          <w:tcPr>
            <w:tcW w:w="17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17,243</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15,975</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15,319</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12,935</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12,777</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Includes loans held-for-sale at December 31 for each of the indicated years.</w:t>
      </w:r>
    </w:p>
    <w:p>
      <w:pPr>
        <w:spacing w:after="0" w:line="1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415290</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allowance for credit losses for the years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6"/>
                <w:szCs w:val="16"/>
                <w:color w:val="auto"/>
              </w:rPr>
            </w:pP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spacing w:after="0"/>
              <w:rPr>
                <w:sz w:val="16"/>
                <w:szCs w:val="16"/>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2022</w:t>
            </w:r>
          </w:p>
        </w:tc>
        <w:tc>
          <w:tcPr>
            <w:tcW w:w="600" w:type="dxa"/>
            <w:vAlign w:val="bottom"/>
          </w:tcPr>
          <w:p>
            <w:pPr>
              <w:spacing w:after="0"/>
              <w:rPr>
                <w:sz w:val="16"/>
                <w:szCs w:val="16"/>
                <w:color w:val="auto"/>
              </w:rPr>
            </w:pP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2021</w:t>
            </w:r>
          </w:p>
        </w:tc>
        <w:tc>
          <w:tcPr>
            <w:tcW w:w="38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8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15,975</w:t>
            </w:r>
          </w:p>
        </w:tc>
        <w:tc>
          <w:tcPr>
            <w:tcW w:w="40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15,319</w:t>
            </w:r>
          </w:p>
        </w:tc>
        <w:tc>
          <w:tcPr>
            <w:tcW w:w="38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12,935</w:t>
            </w:r>
          </w:p>
        </w:tc>
        <w:tc>
          <w:tcPr>
            <w:tcW w:w="600" w:type="dxa"/>
            <w:vAlign w:val="bottom"/>
            <w:shd w:val="clear" w:color="auto" w:fill="CFF0FC"/>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12,777</w:t>
            </w:r>
          </w:p>
        </w:tc>
        <w:tc>
          <w:tcPr>
            <w:tcW w:w="38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8,669</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Adoption of New Accounting Standards</w:t>
            </w:r>
          </w:p>
        </w:tc>
        <w:tc>
          <w:tcPr>
            <w:tcW w:w="820" w:type="dxa"/>
            <w:vAlign w:val="bottom"/>
          </w:tcPr>
          <w:p>
            <w:pPr>
              <w:spacing w:after="0"/>
              <w:rPr>
                <w:sz w:val="15"/>
                <w:szCs w:val="15"/>
                <w:color w:val="auto"/>
              </w:rPr>
            </w:pPr>
          </w:p>
        </w:tc>
        <w:tc>
          <w:tcPr>
            <w:tcW w:w="9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1,886</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Provisions charged to operating expenses</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11,106</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2,991</w:t>
            </w: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2,754</w:t>
            </w: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1,022</w:t>
            </w: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4,707</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Recoveries of loans previously charged-off:</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real estate and loans</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Consumer and home equity</w:t>
            </w:r>
          </w:p>
        </w:tc>
        <w:tc>
          <w:tcPr>
            <w:tcW w:w="820" w:type="dxa"/>
            <w:vAlign w:val="bottom"/>
          </w:tcPr>
          <w:p>
            <w:pPr>
              <w:spacing w:after="0"/>
              <w:rPr>
                <w:sz w:val="17"/>
                <w:szCs w:val="17"/>
                <w:color w:val="auto"/>
              </w:rPr>
            </w:pPr>
          </w:p>
        </w:tc>
        <w:tc>
          <w:tcPr>
            <w:tcW w:w="9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rPr>
              <w:t>221</w:t>
            </w:r>
          </w:p>
        </w:tc>
        <w:tc>
          <w:tcPr>
            <w:tcW w:w="400" w:type="dxa"/>
            <w:vAlign w:val="bottom"/>
          </w:tcPr>
          <w:p>
            <w:pPr>
              <w:spacing w:after="0"/>
              <w:rPr>
                <w:sz w:val="17"/>
                <w:szCs w:val="17"/>
                <w:color w:val="auto"/>
              </w:rPr>
            </w:pPr>
          </w:p>
        </w:tc>
        <w:tc>
          <w:tcPr>
            <w:tcW w:w="88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rPr>
              <w:t>118</w:t>
            </w:r>
          </w:p>
        </w:tc>
        <w:tc>
          <w:tcPr>
            <w:tcW w:w="38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95</w:t>
            </w:r>
          </w:p>
        </w:tc>
        <w:tc>
          <w:tcPr>
            <w:tcW w:w="600" w:type="dxa"/>
            <w:vAlign w:val="bottom"/>
          </w:tcPr>
          <w:p>
            <w:pPr>
              <w:spacing w:after="0"/>
              <w:rPr>
                <w:sz w:val="17"/>
                <w:szCs w:val="17"/>
                <w:color w:val="auto"/>
              </w:rPr>
            </w:pP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88</w:t>
            </w:r>
          </w:p>
        </w:tc>
        <w:tc>
          <w:tcPr>
            <w:tcW w:w="38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85"/>
        </w:trPr>
        <w:tc>
          <w:tcPr>
            <w:tcW w:w="3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real estate</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recoveries</w:t>
            </w:r>
          </w:p>
        </w:tc>
        <w:tc>
          <w:tcPr>
            <w:tcW w:w="820" w:type="dxa"/>
            <w:vAlign w:val="bottom"/>
          </w:tcPr>
          <w:p>
            <w:pPr>
              <w:spacing w:after="0"/>
              <w:rPr>
                <w:sz w:val="15"/>
                <w:szCs w:val="15"/>
                <w:color w:val="auto"/>
              </w:rPr>
            </w:pPr>
          </w:p>
        </w:tc>
        <w:tc>
          <w:tcPr>
            <w:tcW w:w="9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345</w:t>
            </w:r>
          </w:p>
        </w:tc>
        <w:tc>
          <w:tcPr>
            <w:tcW w:w="400" w:type="dxa"/>
            <w:vAlign w:val="bottom"/>
          </w:tcPr>
          <w:p>
            <w:pPr>
              <w:spacing w:after="0"/>
              <w:rPr>
                <w:sz w:val="15"/>
                <w:szCs w:val="15"/>
                <w:color w:val="auto"/>
              </w:rPr>
            </w:pPr>
          </w:p>
        </w:tc>
        <w:tc>
          <w:tcPr>
            <w:tcW w:w="8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355</w:t>
            </w:r>
          </w:p>
        </w:tc>
        <w:tc>
          <w:tcPr>
            <w:tcW w:w="380" w:type="dxa"/>
            <w:vAlign w:val="bottom"/>
          </w:tcPr>
          <w:p>
            <w:pPr>
              <w:spacing w:after="0"/>
              <w:rPr>
                <w:sz w:val="15"/>
                <w:szCs w:val="15"/>
                <w:color w:val="auto"/>
              </w:rPr>
            </w:pP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600" w:type="dxa"/>
            <w:vAlign w:val="bottom"/>
          </w:tcPr>
          <w:p>
            <w:pPr>
              <w:spacing w:after="0"/>
              <w:rPr>
                <w:sz w:val="15"/>
                <w:szCs w:val="15"/>
                <w:color w:val="auto"/>
              </w:rPr>
            </w:pPr>
          </w:p>
        </w:tc>
        <w:tc>
          <w:tcPr>
            <w:tcW w:w="7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38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Loans charged off:</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real estate and loans</w:t>
            </w:r>
          </w:p>
        </w:tc>
        <w:tc>
          <w:tcPr>
            <w:tcW w:w="82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(6,473)</w:t>
            </w:r>
          </w:p>
        </w:tc>
        <w:tc>
          <w:tcPr>
            <w:tcW w:w="4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(4,109)</w:t>
            </w:r>
          </w:p>
        </w:tc>
        <w:tc>
          <w:tcPr>
            <w:tcW w:w="38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(585)</w:t>
            </w:r>
          </w:p>
        </w:tc>
        <w:tc>
          <w:tcPr>
            <w:tcW w:w="6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(764)</w:t>
            </w:r>
          </w:p>
        </w:tc>
        <w:tc>
          <w:tcPr>
            <w:tcW w:w="380" w:type="dxa"/>
            <w:vAlign w:val="bottom"/>
          </w:tcPr>
          <w:p>
            <w:pPr>
              <w:spacing w:after="0"/>
              <w:rPr>
                <w:sz w:val="15"/>
                <w:szCs w:val="15"/>
                <w:color w:val="auto"/>
              </w:rPr>
            </w:pPr>
          </w:p>
        </w:tc>
        <w:tc>
          <w:tcPr>
            <w:tcW w:w="8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Consumer and home equity</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(3,663)</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(346)</w:t>
            </w: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real estate</w:t>
            </w:r>
          </w:p>
        </w:tc>
        <w:tc>
          <w:tcPr>
            <w:tcW w:w="82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4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38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15"/>
                <w:szCs w:val="15"/>
                <w:color w:val="auto"/>
              </w:rPr>
            </w:pPr>
          </w:p>
        </w:tc>
        <w:tc>
          <w:tcPr>
            <w:tcW w:w="8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charged-off</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(10,183)</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(4,576)</w:t>
            </w: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(761)</w:t>
            </w: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(1,024)</w:t>
            </w: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charge-offs</w:t>
            </w:r>
          </w:p>
        </w:tc>
        <w:tc>
          <w:tcPr>
            <w:tcW w:w="82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(9,838)</w:t>
            </w:r>
          </w:p>
        </w:tc>
        <w:tc>
          <w:tcPr>
            <w:tcW w:w="4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(4,221)</w:t>
            </w:r>
          </w:p>
        </w:tc>
        <w:tc>
          <w:tcPr>
            <w:tcW w:w="38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(370)</w:t>
            </w:r>
          </w:p>
        </w:tc>
        <w:tc>
          <w:tcPr>
            <w:tcW w:w="6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(866)</w:t>
            </w:r>
          </w:p>
        </w:tc>
        <w:tc>
          <w:tcPr>
            <w:tcW w:w="380" w:type="dxa"/>
            <w:vAlign w:val="bottom"/>
          </w:tcPr>
          <w:p>
            <w:pPr>
              <w:spacing w:after="0"/>
              <w:rPr>
                <w:sz w:val="15"/>
                <w:szCs w:val="15"/>
                <w:color w:val="auto"/>
              </w:rPr>
            </w:pPr>
          </w:p>
        </w:tc>
        <w:tc>
          <w:tcPr>
            <w:tcW w:w="8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20"/>
        </w:trPr>
        <w:tc>
          <w:tcPr>
            <w:tcW w:w="38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Balance at end of year</w:t>
            </w:r>
          </w:p>
        </w:tc>
        <w:tc>
          <w:tcPr>
            <w:tcW w:w="8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17,243</w:t>
            </w:r>
          </w:p>
        </w:tc>
        <w:tc>
          <w:tcPr>
            <w:tcW w:w="40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15,975</w:t>
            </w:r>
          </w:p>
        </w:tc>
        <w:tc>
          <w:tcPr>
            <w:tcW w:w="38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15,319</w:t>
            </w:r>
          </w:p>
        </w:tc>
        <w:tc>
          <w:tcPr>
            <w:tcW w:w="600" w:type="dxa"/>
            <w:vAlign w:val="bottom"/>
            <w:tcBorders>
              <w:bottom w:val="single" w:sz="8" w:color="auto"/>
            </w:tcBorders>
            <w:shd w:val="clear" w:color="auto" w:fill="CFF0FC"/>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12,935</w:t>
            </w:r>
          </w:p>
        </w:tc>
        <w:tc>
          <w:tcPr>
            <w:tcW w:w="38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12,777</w:t>
            </w:r>
          </w:p>
        </w:tc>
        <w:tc>
          <w:tcPr>
            <w:tcW w:w="0" w:type="dxa"/>
            <w:vAlign w:val="bottom"/>
          </w:tcPr>
          <w:p>
            <w:pPr>
              <w:spacing w:after="0"/>
              <w:rPr>
                <w:sz w:val="1"/>
                <w:szCs w:val="1"/>
                <w:color w:val="auto"/>
              </w:rPr>
            </w:pPr>
          </w:p>
        </w:tc>
      </w:tr>
      <w:tr>
        <w:trPr>
          <w:trHeight w:val="156"/>
        </w:trPr>
        <w:tc>
          <w:tcPr>
            <w:tcW w:w="382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Net charge-offs to average loans outstanding</w:t>
            </w:r>
          </w:p>
        </w:tc>
        <w:tc>
          <w:tcPr>
            <w:tcW w:w="82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1.09%</w:t>
            </w:r>
          </w:p>
        </w:tc>
        <w:tc>
          <w:tcPr>
            <w:tcW w:w="400" w:type="dxa"/>
            <w:vAlign w:val="bottom"/>
          </w:tcPr>
          <w:p>
            <w:pPr>
              <w:spacing w:after="0"/>
              <w:rPr>
                <w:sz w:val="13"/>
                <w:szCs w:val="13"/>
                <w:color w:val="auto"/>
              </w:rPr>
            </w:pPr>
          </w:p>
        </w:tc>
        <w:tc>
          <w:tcPr>
            <w:tcW w:w="88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0.48%</w:t>
            </w:r>
          </w:p>
        </w:tc>
        <w:tc>
          <w:tcPr>
            <w:tcW w:w="3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0.04%</w:t>
            </w:r>
          </w:p>
        </w:tc>
        <w:tc>
          <w:tcPr>
            <w:tcW w:w="60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0.10%</w:t>
            </w:r>
          </w:p>
        </w:tc>
        <w:tc>
          <w:tcPr>
            <w:tcW w:w="38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Allowance for credit losses to year-end loans</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382"/>
        </w:trPr>
        <w:tc>
          <w:tcPr>
            <w:tcW w:w="5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table sets forth the loan net charge-off ratios for the years indicated:</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3"/>
        </w:trPr>
        <w:tc>
          <w:tcPr>
            <w:tcW w:w="3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to year-end loans</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Allowance for credit losses to nonperforming loans</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78.08%</w:t>
            </w:r>
          </w:p>
        </w:tc>
        <w:tc>
          <w:tcPr>
            <w:tcW w:w="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92.73%</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Nonaccrual loans to total loans</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Net charge-offs to average loans outstanding</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real estate and loans</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0.71%</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Consumer and home equity</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0.38%</w:t>
            </w:r>
          </w:p>
        </w:tc>
        <w:tc>
          <w:tcPr>
            <w:tcW w:w="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real estate</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80"/>
        </w:trPr>
        <w:tc>
          <w:tcPr>
            <w:tcW w:w="3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charged-off</w:t>
            </w:r>
          </w:p>
        </w:tc>
        <w:tc>
          <w:tcPr>
            <w:tcW w:w="8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Charge-offs for commercial real estate and loans increased $2.4 million, or .27%, and consumer and home equity increased $3.3 million, or .35% at December 31, 2024, when compared to the prior year. The increases primarily related to a comprehensive loan portfolio review that the Bank elected to undertake as part of its ongoing commitment to continuously improve its credit risk management approach.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Bank Owned Life Insurance</w:t>
      </w:r>
    </w:p>
    <w:p>
      <w:pPr>
        <w:spacing w:after="0" w:line="9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Company held $24.7 million and $24.6 million in bank owned life insurance ("BOLI") at December 31, 2024 and 2023, respectively. Bank owned life insurance increased $85,000, or 0.3%, to $24.7 million at December 31, 2024, as compared to December 31, 2023. The increase of $85,000 included earnings and gains on BOLI and in addition, the Company recorded a net death benefit of $175,000.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Deposits</w:t>
      </w:r>
    </w:p>
    <w:p>
      <w:pPr>
        <w:spacing w:after="0" w:line="94"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The Company’s deposit base is drawn from eleven full-service branches and one motor bank in its market area. The deposit base consists of demand deposits, money management and money market deposit accounts, savings, and time deposits. Average deposits increased by $37.5 million, or 3.3%, to $1.16 billion in 2024, as compared to 2023.</w:t>
      </w:r>
    </w:p>
    <w:p>
      <w:pPr>
        <w:spacing w:after="0" w:line="6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Total deposits grew by $84.5 million, or 7.5%, during 2024 to $1.20 billion on December 31, 2024. During 2024, the Company assumed $186.0 million in deposits as a result of the East Syracuse branch acquisition completed July 19, 2024. As part of the purchase, the Company paid a deposit premium on acquired time deposits of $543,000, which is included in the balance of time deposits on the balance sheet and accreted on a straight-line basis over 10 years.</w:t>
      </w:r>
    </w:p>
    <w:p>
      <w:pPr>
        <w:spacing w:after="0" w:line="68"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16"/>
          <w:szCs w:val="16"/>
          <w:color w:val="auto"/>
        </w:rPr>
        <w:t>Core deposits represented 76.9% of total deposits on December 31, 2024, compared to 69.8% on December 31, 2023. Core deposits, which exclude brokered deposits and certificates of deposit of $250,000 or more, are considered to be more stable and generally provide the Company with a lower cost of funds than brokered and time deposits.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spacing w:after="0" w:line="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Brokered deposits totaled $136.3 million and represented 11.3% of all deposits at December 31, 2024 and totaled $242.7 million and represented 21.7% at December 31, 2023.</w:t>
      </w:r>
    </w:p>
    <w:p>
      <w:pPr>
        <w:spacing w:after="0" w:line="59"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At December 31, 2024, consumer deposits increased by $178.9 million, while business and municipal deposits decreased by $6.1 million and $302,000, respectively, when compared to December 31, 2023. The significant increase in consumer deposits was primarily related to the acquisition of the East Syracuse branch in July 2024. Noninterest-bearing deposits, which are primarily demand deposits, were $213.7 million at year end, compared with $170.2 million on December 31, 2023.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deposit balances by category, and as a percentage of total deposits for the years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December 31,</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Savings accounts</w:t>
            </w: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128,753</w:t>
            </w: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10.8 %</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113,543</w:t>
            </w:r>
          </w:p>
        </w:tc>
        <w:tc>
          <w:tcPr>
            <w:tcW w:w="7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10.0 %</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134,880</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Time accounts</w:t>
            </w:r>
          </w:p>
        </w:tc>
        <w:tc>
          <w:tcPr>
            <w:tcW w:w="820" w:type="dxa"/>
            <w:vAlign w:val="bottom"/>
          </w:tcPr>
          <w:p>
            <w:pPr>
              <w:spacing w:after="0"/>
              <w:rPr>
                <w:sz w:val="15"/>
                <w:szCs w:val="15"/>
                <w:color w:val="auto"/>
              </w:rPr>
            </w:pPr>
          </w:p>
        </w:tc>
        <w:tc>
          <w:tcPr>
            <w:tcW w:w="128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360,716</w:t>
            </w: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29.9 %</w:t>
            </w:r>
          </w:p>
        </w:tc>
        <w:tc>
          <w:tcPr>
            <w:tcW w:w="240" w:type="dxa"/>
            <w:vAlign w:val="bottom"/>
          </w:tcPr>
          <w:p>
            <w:pPr>
              <w:spacing w:after="0"/>
              <w:rPr>
                <w:sz w:val="15"/>
                <w:szCs w:val="15"/>
                <w:color w:val="auto"/>
              </w:rPr>
            </w:pPr>
          </w:p>
        </w:tc>
        <w:tc>
          <w:tcPr>
            <w:tcW w:w="1420" w:type="dxa"/>
            <w:vAlign w:val="bottom"/>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377,570</w:t>
            </w:r>
          </w:p>
        </w:tc>
        <w:tc>
          <w:tcPr>
            <w:tcW w:w="7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33.7 %</w:t>
            </w:r>
          </w:p>
        </w:tc>
        <w:tc>
          <w:tcPr>
            <w:tcW w:w="240" w:type="dxa"/>
            <w:vAlign w:val="bottom"/>
          </w:tcPr>
          <w:p>
            <w:pPr>
              <w:spacing w:after="0"/>
              <w:rPr>
                <w:sz w:val="15"/>
                <w:szCs w:val="15"/>
                <w:color w:val="auto"/>
              </w:rPr>
            </w:pPr>
          </w:p>
        </w:tc>
        <w:tc>
          <w:tcPr>
            <w:tcW w:w="114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314,109</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27.9 %</w:t>
            </w:r>
          </w:p>
        </w:tc>
        <w:tc>
          <w:tcPr>
            <w:tcW w:w="0" w:type="dxa"/>
            <w:vAlign w:val="bottom"/>
          </w:tcPr>
          <w:p>
            <w:pPr>
              <w:spacing w:after="0"/>
              <w:rPr>
                <w:sz w:val="1"/>
                <w:szCs w:val="1"/>
                <w:color w:val="auto"/>
              </w:rPr>
            </w:pPr>
          </w:p>
        </w:tc>
      </w:tr>
      <w:tr>
        <w:trPr>
          <w:trHeight w:val="180"/>
        </w:trPr>
        <w:tc>
          <w:tcPr>
            <w:tcW w:w="2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Time accounts in excess of $250,000</w:t>
            </w:r>
          </w:p>
        </w:tc>
        <w:tc>
          <w:tcPr>
            <w:tcW w:w="8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142,473</w:t>
            </w: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11.8 %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95,272</w:t>
            </w:r>
          </w:p>
        </w:tc>
        <w:tc>
          <w:tcPr>
            <w:tcW w:w="7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8.5 %</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71,696</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Money management accounts</w:t>
            </w:r>
          </w:p>
        </w:tc>
        <w:tc>
          <w:tcPr>
            <w:tcW w:w="820" w:type="dxa"/>
            <w:vAlign w:val="bottom"/>
          </w:tcPr>
          <w:p>
            <w:pPr>
              <w:spacing w:after="0"/>
              <w:rPr>
                <w:sz w:val="15"/>
                <w:szCs w:val="15"/>
                <w:color w:val="auto"/>
              </w:rPr>
            </w:pPr>
          </w:p>
        </w:tc>
        <w:tc>
          <w:tcPr>
            <w:tcW w:w="128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11,583</w:t>
            </w: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1.0 %</w:t>
            </w:r>
          </w:p>
        </w:tc>
        <w:tc>
          <w:tcPr>
            <w:tcW w:w="240" w:type="dxa"/>
            <w:vAlign w:val="bottom"/>
          </w:tcPr>
          <w:p>
            <w:pPr>
              <w:spacing w:after="0"/>
              <w:rPr>
                <w:sz w:val="15"/>
                <w:szCs w:val="15"/>
                <w:color w:val="auto"/>
              </w:rPr>
            </w:pPr>
          </w:p>
        </w:tc>
        <w:tc>
          <w:tcPr>
            <w:tcW w:w="1420" w:type="dxa"/>
            <w:vAlign w:val="bottom"/>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12,364</w:t>
            </w:r>
          </w:p>
        </w:tc>
        <w:tc>
          <w:tcPr>
            <w:tcW w:w="7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1.1 %</w:t>
            </w:r>
          </w:p>
        </w:tc>
        <w:tc>
          <w:tcPr>
            <w:tcW w:w="240" w:type="dxa"/>
            <w:vAlign w:val="bottom"/>
          </w:tcPr>
          <w:p>
            <w:pPr>
              <w:spacing w:after="0"/>
              <w:rPr>
                <w:sz w:val="15"/>
                <w:szCs w:val="15"/>
                <w:color w:val="auto"/>
              </w:rPr>
            </w:pPr>
          </w:p>
        </w:tc>
        <w:tc>
          <w:tcPr>
            <w:tcW w:w="114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16,107</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80"/>
        </w:trPr>
        <w:tc>
          <w:tcPr>
            <w:tcW w:w="2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MMDA accounts</w:t>
            </w:r>
          </w:p>
        </w:tc>
        <w:tc>
          <w:tcPr>
            <w:tcW w:w="8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239,016</w:t>
            </w: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19.8 %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224,707</w:t>
            </w:r>
          </w:p>
        </w:tc>
        <w:tc>
          <w:tcPr>
            <w:tcW w:w="7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20.1 %</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270,326</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27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820" w:type="dxa"/>
            <w:vAlign w:val="bottom"/>
          </w:tcPr>
          <w:p>
            <w:pPr>
              <w:spacing w:after="0"/>
              <w:rPr>
                <w:sz w:val="24"/>
                <w:szCs w:val="24"/>
                <w:color w:val="auto"/>
              </w:rPr>
            </w:pPr>
          </w:p>
        </w:tc>
        <w:tc>
          <w:tcPr>
            <w:tcW w:w="12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101,080</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8.4 %</w:t>
            </w:r>
          </w:p>
        </w:tc>
        <w:tc>
          <w:tcPr>
            <w:tcW w:w="240" w:type="dxa"/>
            <w:vAlign w:val="bottom"/>
          </w:tcPr>
          <w:p>
            <w:pPr>
              <w:spacing w:after="0"/>
              <w:rPr>
                <w:sz w:val="24"/>
                <w:szCs w:val="24"/>
                <w:color w:val="auto"/>
              </w:rPr>
            </w:pPr>
          </w:p>
        </w:tc>
        <w:tc>
          <w:tcPr>
            <w:tcW w:w="142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119,321</w:t>
            </w:r>
          </w:p>
        </w:tc>
        <w:tc>
          <w:tcPr>
            <w:tcW w:w="700" w:type="dxa"/>
            <w:vAlign w:val="bottom"/>
          </w:tcPr>
          <w:p>
            <w:pPr>
              <w:jc w:val="right"/>
              <w:ind w:right="2"/>
              <w:spacing w:after="0" w:line="275" w:lineRule="exact"/>
              <w:rPr>
                <w:sz w:val="20"/>
                <w:szCs w:val="20"/>
                <w:color w:val="auto"/>
              </w:rPr>
            </w:pPr>
            <w:r>
              <w:rPr>
                <w:rFonts w:ascii="Times New Roman" w:cs="Times New Roman" w:eastAsia="Times New Roman" w:hAnsi="Times New Roman"/>
                <w:sz w:val="16"/>
                <w:szCs w:val="16"/>
                <w:color w:val="auto"/>
              </w:rPr>
              <w:t xml:space="preserve">10.7 </w:t>
            </w:r>
            <w:r>
              <w:rPr>
                <w:rFonts w:ascii="Times New Roman" w:cs="Times New Roman" w:eastAsia="Times New Roman" w:hAnsi="Times New Roman"/>
                <w:sz w:val="31"/>
                <w:szCs w:val="31"/>
                <w:color w:val="auto"/>
                <w:vertAlign w:val="subscript"/>
              </w:rPr>
              <w:t>%</w:t>
            </w:r>
          </w:p>
        </w:tc>
        <w:tc>
          <w:tcPr>
            <w:tcW w:w="240" w:type="dxa"/>
            <w:vAlign w:val="bottom"/>
          </w:tcPr>
          <w:p>
            <w:pPr>
              <w:spacing w:after="0"/>
              <w:rPr>
                <w:sz w:val="24"/>
                <w:szCs w:val="24"/>
                <w:color w:val="auto"/>
              </w:rPr>
            </w:pPr>
          </w:p>
        </w:tc>
        <w:tc>
          <w:tcPr>
            <w:tcW w:w="11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127,395</w:t>
            </w:r>
          </w:p>
        </w:tc>
        <w:tc>
          <w:tcPr>
            <w:tcW w:w="920" w:type="dxa"/>
            <w:vAlign w:val="bottom"/>
          </w:tcPr>
          <w:p>
            <w:pPr>
              <w:jc w:val="right"/>
              <w:spacing w:after="0" w:line="275" w:lineRule="exact"/>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180"/>
        </w:trPr>
        <w:tc>
          <w:tcPr>
            <w:tcW w:w="2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Demand deposit noninterest-bearing</w:t>
            </w:r>
          </w:p>
        </w:tc>
        <w:tc>
          <w:tcPr>
            <w:tcW w:w="8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213,719</w:t>
            </w: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17.7 %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170,169</w:t>
            </w:r>
          </w:p>
        </w:tc>
        <w:tc>
          <w:tcPr>
            <w:tcW w:w="7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15.2 %</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183,711</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16.3 %</w:t>
            </w: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Mortgage escrow funds</w:t>
            </w:r>
          </w:p>
        </w:tc>
        <w:tc>
          <w:tcPr>
            <w:tcW w:w="820" w:type="dxa"/>
            <w:vAlign w:val="bottom"/>
          </w:tcPr>
          <w:p>
            <w:pPr>
              <w:spacing w:after="0"/>
              <w:rPr>
                <w:sz w:val="15"/>
                <w:szCs w:val="15"/>
                <w:color w:val="auto"/>
              </w:rPr>
            </w:pPr>
          </w:p>
        </w:tc>
        <w:tc>
          <w:tcPr>
            <w:tcW w:w="128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7,184</w:t>
            </w: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0.6 %</w:t>
            </w:r>
          </w:p>
        </w:tc>
        <w:tc>
          <w:tcPr>
            <w:tcW w:w="240" w:type="dxa"/>
            <w:vAlign w:val="bottom"/>
          </w:tcPr>
          <w:p>
            <w:pPr>
              <w:spacing w:after="0"/>
              <w:rPr>
                <w:sz w:val="15"/>
                <w:szCs w:val="15"/>
                <w:color w:val="auto"/>
              </w:rPr>
            </w:pPr>
          </w:p>
        </w:tc>
        <w:tc>
          <w:tcPr>
            <w:tcW w:w="1420" w:type="dxa"/>
            <w:vAlign w:val="bottom"/>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7,121</w:t>
            </w:r>
          </w:p>
        </w:tc>
        <w:tc>
          <w:tcPr>
            <w:tcW w:w="7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0.7 %</w:t>
            </w:r>
          </w:p>
        </w:tc>
        <w:tc>
          <w:tcPr>
            <w:tcW w:w="240" w:type="dxa"/>
            <w:vAlign w:val="bottom"/>
          </w:tcPr>
          <w:p>
            <w:pPr>
              <w:spacing w:after="0"/>
              <w:rPr>
                <w:sz w:val="15"/>
                <w:szCs w:val="15"/>
                <w:color w:val="auto"/>
              </w:rPr>
            </w:pPr>
          </w:p>
        </w:tc>
        <w:tc>
          <w:tcPr>
            <w:tcW w:w="114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7,206</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20"/>
        </w:trPr>
        <w:tc>
          <w:tcPr>
            <w:tcW w:w="2960" w:type="dxa"/>
            <w:vAlign w:val="bottom"/>
            <w:tcBorders>
              <w:bottom w:val="single" w:sz="8" w:color="auto"/>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Deposits</w:t>
            </w:r>
          </w:p>
        </w:tc>
        <w:tc>
          <w:tcPr>
            <w:tcW w:w="8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1,204,524</w:t>
            </w:r>
          </w:p>
        </w:tc>
        <w:tc>
          <w:tcPr>
            <w:tcW w:w="84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100.0 %</w:t>
            </w:r>
          </w:p>
        </w:tc>
        <w:tc>
          <w:tcPr>
            <w:tcW w:w="2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1,120,067</w:t>
            </w:r>
          </w:p>
        </w:tc>
        <w:tc>
          <w:tcPr>
            <w:tcW w:w="7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100.0 %</w:t>
            </w:r>
          </w:p>
        </w:tc>
        <w:tc>
          <w:tcPr>
            <w:tcW w:w="24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1,125,430</w:t>
            </w:r>
          </w:p>
        </w:tc>
        <w:tc>
          <w:tcPr>
            <w:tcW w:w="9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The Bank Call Report estimated uninsured deposit balances are reported gross as $417.8 million and $403.2 million, at December 31, 2024 and December 31, 2023, respectively. These estimates are based on the determination of known deposit account balances of each depositor and the insurance guidelines provided by the FDIC. At December 31, 2024, time deposit accounts in excess of $ 250,000 totaled $142.5 million, or 28.3% of time deposits and 11.8% of total deposits. At December 31, 2023, these deposits totaled $95.3 million, or 20.1% of time deposits and 8.5% of total deposits.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indicates the amount of the Company’s time deposit accounts in excess of $250,000 by time remaining until maturity as of December 31, 2024:</w:t>
      </w:r>
    </w:p>
    <w:p>
      <w:pPr>
        <w:spacing w:after="0" w:line="114"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0"/>
        </w:trPr>
        <w:tc>
          <w:tcPr>
            <w:tcW w:w="4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Remaining Maturity:</w:t>
            </w:r>
          </w:p>
        </w:tc>
        <w:tc>
          <w:tcPr>
            <w:tcW w:w="30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180"/>
        </w:trPr>
        <w:tc>
          <w:tcPr>
            <w:tcW w:w="40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Three months or less</w:t>
            </w:r>
          </w:p>
        </w:tc>
        <w:tc>
          <w:tcPr>
            <w:tcW w:w="3080" w:type="dxa"/>
            <w:vAlign w:val="bottom"/>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41,958</w:t>
            </w:r>
          </w:p>
        </w:tc>
      </w:tr>
      <w:tr>
        <w:trPr>
          <w:trHeight w:val="180"/>
        </w:trPr>
        <w:tc>
          <w:tcPr>
            <w:tcW w:w="40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Three through six months</w:t>
            </w:r>
          </w:p>
        </w:tc>
        <w:tc>
          <w:tcPr>
            <w:tcW w:w="30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37,927</w:t>
            </w:r>
          </w:p>
        </w:tc>
      </w:tr>
      <w:tr>
        <w:trPr>
          <w:trHeight w:val="180"/>
        </w:trPr>
        <w:tc>
          <w:tcPr>
            <w:tcW w:w="40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Six through twelve months</w:t>
            </w:r>
          </w:p>
        </w:tc>
        <w:tc>
          <w:tcPr>
            <w:tcW w:w="308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54,217</w:t>
            </w:r>
          </w:p>
        </w:tc>
      </w:tr>
      <w:tr>
        <w:trPr>
          <w:trHeight w:val="180"/>
        </w:trPr>
        <w:tc>
          <w:tcPr>
            <w:tcW w:w="40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Over twelve months</w:t>
            </w:r>
          </w:p>
        </w:tc>
        <w:tc>
          <w:tcPr>
            <w:tcW w:w="30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8,371</w:t>
            </w:r>
          </w:p>
        </w:tc>
      </w:tr>
      <w:tr>
        <w:trPr>
          <w:trHeight w:val="180"/>
        </w:trPr>
        <w:tc>
          <w:tcPr>
            <w:tcW w:w="408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080" w:type="dxa"/>
            <w:vAlign w:val="bottom"/>
            <w:tcBorders>
              <w:bottom w:val="single" w:sz="8" w:color="auto"/>
            </w:tcBorders>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142,473</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All municipal deposits, regardless of amount, are effectively insured, either through specific collateralization with securities held in third- party escrow or reciprocal deposit programs, as required under New York State law. Therefore, municipal deposits are not considered to be subject to the same risks of large unannounced withdrawals as consumer and business accounts for the reason of FDIC insurance coverage limitations.</w:t>
      </w:r>
    </w:p>
    <w:p>
      <w:pPr>
        <w:spacing w:after="0" w:line="16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participate in reciprocal deposit programs, which enable depositors to receive FDIC insurance coverage for deposits otherwise exceeding the maximum insurable amount. Through these programs, deposits in excess of the maximum insurable amount are placed with multiple participating financial institutions. Reciprocal deposits totaled $63.5 million at December 31, 2024, compared to $74.0 million at December 31, 2023, and represented 5.9% and 8.4% of total deposits as of the end of each year, respectively.</w:t>
      </w:r>
    </w:p>
    <w:p>
      <w:pPr>
        <w:spacing w:after="0" w:line="16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As an additional source of funding, we offer a variety of public (municipal) deposit products to the towns, villages, counties and school districts within our market. There is a high degree of seasonality in this component of funding, because the level of deposits varies with the seasonal cash flows for these public customers. We maintain the necessary levels of short -term liquid assets to accommodate the seasonality associated with public deposits. Total public deposits were $148.8 million and $149.0 million at December 31, 2024 and December 31, 2023, respectively, and represented 13.9% and 17.0% of total deposits as of the end of each year,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Deposit Activity</w:t>
      </w:r>
    </w:p>
    <w:p>
      <w:pPr>
        <w:spacing w:after="0" w:line="9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During 2024, like many financial institutions, the Bank experienced significant increases in its cost of deposits resulting from the high interest rate environment and increased competition.</w:t>
      </w:r>
    </w:p>
    <w:p>
      <w:pPr>
        <w:spacing w:after="0" w:line="59"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We offer deposit accounts to consumers, business and local municipalities having a wide range of interest rates and terms. Our deposits consist of various types of transactional accounts such as savings accounts, money market accounts, NOW, and demand accounts as</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9" w:name="page50"/>
    <w:bookmarkEnd w:id="49"/>
    <w:p>
      <w:pPr>
        <w:spacing w:after="0" w:line="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well as time accounts in the form of certificates of deposits. We solicit deposits in our market areas as well as online through our website. We also participate in reciprocal deposit services for our customers through the Certificate of Deposit Account Registry Services (“CDARS”) and Insured Cash Sweep (“ICS”) networks. The Bank also has a substantial number of readily-available sources for brokered term deposits that it uses regularly as a secondary funding source.</w:t>
      </w:r>
    </w:p>
    <w:p>
      <w:pPr>
        <w:spacing w:after="0" w:line="6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Bank primarily relies on competitive pricing policies, marketing and customer service to attract and retain these deposits. As noted above, the Bank also accepts deposits from deposit brokers.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brokered deposit balances and rates at December 31, 2024:</w:t>
      </w:r>
    </w:p>
    <w:p>
      <w:pPr>
        <w:spacing w:after="0" w:line="115" w:lineRule="exact"/>
        <w:rPr>
          <w:sz w:val="20"/>
          <w:szCs w:val="20"/>
          <w:color w:val="auto"/>
        </w:rPr>
      </w:pPr>
    </w:p>
    <w:tbl>
      <w:tblPr>
        <w:tblLayout w:type="fixed"/>
        <w:tblInd w:w="2220" w:type="dxa"/>
        <w:tblCellMar>
          <w:top w:w="0" w:type="dxa"/>
          <w:left w:w="0" w:type="dxa"/>
          <w:bottom w:w="0" w:type="dxa"/>
          <w:right w:w="0" w:type="dxa"/>
        </w:tblCellMar>
      </w:tblP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5"/>
                <w:szCs w:val="15"/>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Balance</w:t>
            </w:r>
          </w:p>
        </w:tc>
        <w:tc>
          <w:tcPr>
            <w:tcW w:w="1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Average Rate</w:t>
            </w:r>
          </w:p>
        </w:tc>
      </w:tr>
      <w:tr>
        <w:trPr>
          <w:trHeight w:val="168"/>
        </w:trPr>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Maturity Year:</w:t>
            </w:r>
          </w:p>
        </w:tc>
        <w:tc>
          <w:tcPr>
            <w:tcW w:w="116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r>
      <w:tr>
        <w:trPr>
          <w:trHeight w:val="168"/>
        </w:trPr>
        <w:tc>
          <w:tcPr>
            <w:tcW w:w="178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89,224</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r>
      <w:tr>
        <w:trPr>
          <w:trHeight w:val="168"/>
        </w:trPr>
        <w:tc>
          <w:tcPr>
            <w:tcW w:w="1780" w:type="dxa"/>
            <w:vAlign w:val="bottom"/>
            <w:shd w:val="clear" w:color="auto" w:fill="CFF0FC"/>
          </w:tcPr>
          <w:p>
            <w:pPr>
              <w:jc w:val="right"/>
              <w:ind w:right="1328"/>
              <w:spacing w:after="0"/>
              <w:rPr>
                <w:sz w:val="20"/>
                <w:szCs w:val="20"/>
                <w:color w:val="auto"/>
              </w:rPr>
            </w:pPr>
            <w:r>
              <w:rPr>
                <w:rFonts w:ascii="Times New Roman" w:cs="Times New Roman" w:eastAsia="Times New Roman" w:hAnsi="Times New Roman"/>
                <w:sz w:val="14"/>
                <w:szCs w:val="14"/>
                <w:color w:val="auto"/>
              </w:rPr>
              <w:t>2026</w:t>
            </w:r>
          </w:p>
        </w:tc>
        <w:tc>
          <w:tcPr>
            <w:tcW w:w="1160" w:type="dxa"/>
            <w:vAlign w:val="bottom"/>
            <w:shd w:val="clear" w:color="auto" w:fill="CFF0FC"/>
          </w:tcPr>
          <w:p>
            <w:pPr>
              <w:spacing w:after="0"/>
              <w:rPr>
                <w:sz w:val="14"/>
                <w:szCs w:val="14"/>
                <w:color w:val="auto"/>
              </w:rPr>
            </w:pPr>
          </w:p>
        </w:tc>
        <w:tc>
          <w:tcPr>
            <w:tcW w:w="1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41,296</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2.80 %</w:t>
            </w:r>
          </w:p>
        </w:tc>
      </w:tr>
      <w:tr>
        <w:trPr>
          <w:trHeight w:val="168"/>
        </w:trPr>
        <w:tc>
          <w:tcPr>
            <w:tcW w:w="178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2027</w:t>
            </w:r>
          </w:p>
        </w:tc>
        <w:tc>
          <w:tcPr>
            <w:tcW w:w="11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5,751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2.93 %</w:t>
            </w:r>
          </w:p>
        </w:tc>
      </w:tr>
      <w:tr>
        <w:trPr>
          <w:trHeight w:val="168"/>
        </w:trPr>
        <w:tc>
          <w:tcPr>
            <w:tcW w:w="1780" w:type="dxa"/>
            <w:vAlign w:val="bottom"/>
            <w:shd w:val="clear" w:color="auto" w:fill="CFF0FC"/>
          </w:tcPr>
          <w:p>
            <w:pPr>
              <w:jc w:val="right"/>
              <w:ind w:right="1328"/>
              <w:spacing w:after="0"/>
              <w:rPr>
                <w:sz w:val="20"/>
                <w:szCs w:val="20"/>
                <w:color w:val="auto"/>
              </w:rPr>
            </w:pPr>
            <w:r>
              <w:rPr>
                <w:rFonts w:ascii="Times New Roman" w:cs="Times New Roman" w:eastAsia="Times New Roman" w:hAnsi="Times New Roman"/>
                <w:sz w:val="14"/>
                <w:szCs w:val="14"/>
                <w:color w:val="auto"/>
              </w:rPr>
              <w:t>2028</w:t>
            </w:r>
          </w:p>
        </w:tc>
        <w:tc>
          <w:tcPr>
            <w:tcW w:w="1160" w:type="dxa"/>
            <w:vAlign w:val="bottom"/>
            <w:shd w:val="clear" w:color="auto" w:fill="CFF0FC"/>
          </w:tcPr>
          <w:p>
            <w:pPr>
              <w:spacing w:after="0"/>
              <w:rPr>
                <w:sz w:val="14"/>
                <w:szCs w:val="14"/>
                <w:color w:val="auto"/>
              </w:rPr>
            </w:pPr>
          </w:p>
        </w:tc>
        <w:tc>
          <w:tcPr>
            <w:tcW w:w="1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68"/>
        </w:trPr>
        <w:tc>
          <w:tcPr>
            <w:tcW w:w="178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2029</w:t>
            </w:r>
          </w:p>
        </w:tc>
        <w:tc>
          <w:tcPr>
            <w:tcW w:w="11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08"/>
        </w:trPr>
        <w:tc>
          <w:tcPr>
            <w:tcW w:w="17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136,271</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3.33 %</w:t>
            </w:r>
          </w:p>
        </w:tc>
      </w:tr>
    </w:tbl>
    <w:p>
      <w:pPr>
        <w:spacing w:after="0" w:line="179"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Included in the brokered deposit balances, detailed above, are $33.1 million in deposits that can be called at the Bank's discretion, should that become economically advantageous in the future.</w:t>
      </w:r>
    </w:p>
    <w:p>
      <w:pPr>
        <w:spacing w:after="0" w:line="5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 addition to the term brokered deposits detailed above, the Bank had $2.0 million in overnight brokered funds, derived from a pool of individual depositors, at December 31, 2024. The interest rate paid for these funds is indexed to the overnight Fed funds effective rate plus -0- basis points. These aggregate deposits are comprised of multiple individual deposits with balances small enough to be fully insured by the FDIC and the individual depositors with the aggregate pool can be readily substituted when withdrawals are made. These deposits are therefore considered to be highly stable in the aggregate. The Bank can exit this funding arrangement, in whole or in part, with 60 days prior notice to the issuing counterparty.</w:t>
      </w:r>
    </w:p>
    <w:p>
      <w:pPr>
        <w:spacing w:after="0" w:line="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Excluding brokered deposits, all other deposits, collectively referred to as nonbrokered deposits, totaled $1.07 billion, or 88.7% of total deposits with an average rate of 2.3% at December 31, 2024. Nonbrokered deposits, totaled $877.4 million, or 78.3% of total deposits with an average rate of 2.4% at December 31, 2023. Our core deposits, which herein are defined as nonbrokered deposits excluding time accounts in excess of $250,000, were $925.8 million, or 86.7% of nonbrokered deposits, and $782.1 million, or 89.1% of nonbrokered deposits, at December 31, 2024 and December 31,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certificate of deposit balances and rates at December 31, 2024:</w:t>
      </w:r>
    </w:p>
    <w:p>
      <w:pPr>
        <w:spacing w:after="0" w:line="115" w:lineRule="exact"/>
        <w:rPr>
          <w:sz w:val="20"/>
          <w:szCs w:val="20"/>
          <w:color w:val="auto"/>
        </w:rPr>
      </w:pPr>
    </w:p>
    <w:tbl>
      <w:tblPr>
        <w:tblLayout w:type="fixed"/>
        <w:tblInd w:w="2220" w:type="dxa"/>
        <w:tblCellMar>
          <w:top w:w="0" w:type="dxa"/>
          <w:left w:w="0" w:type="dxa"/>
          <w:bottom w:w="0" w:type="dxa"/>
          <w:right w:w="0" w:type="dxa"/>
        </w:tblCellMar>
      </w:tblP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Balance</w:t>
            </w:r>
          </w:p>
        </w:tc>
        <w:tc>
          <w:tcPr>
            <w:tcW w:w="1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Average Rate</w:t>
            </w:r>
          </w:p>
        </w:tc>
      </w:tr>
      <w:tr>
        <w:trPr>
          <w:trHeight w:val="180"/>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Maturity Year:</w:t>
            </w:r>
          </w:p>
        </w:tc>
        <w:tc>
          <w:tcPr>
            <w:tcW w:w="1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68"/>
        </w:trPr>
        <w:tc>
          <w:tcPr>
            <w:tcW w:w="1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341,036</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3.75 %</w:t>
            </w:r>
          </w:p>
        </w:tc>
      </w:tr>
      <w:tr>
        <w:trPr>
          <w:trHeight w:val="168"/>
        </w:trPr>
        <w:tc>
          <w:tcPr>
            <w:tcW w:w="1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11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23,023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4.03 %</w:t>
            </w:r>
          </w:p>
        </w:tc>
      </w:tr>
      <w:tr>
        <w:trPr>
          <w:trHeight w:val="168"/>
        </w:trPr>
        <w:tc>
          <w:tcPr>
            <w:tcW w:w="1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1160" w:type="dxa"/>
            <w:vAlign w:val="bottom"/>
            <w:shd w:val="clear" w:color="auto" w:fill="CFF0FC"/>
          </w:tcPr>
          <w:p>
            <w:pPr>
              <w:spacing w:after="0"/>
              <w:rPr>
                <w:sz w:val="14"/>
                <w:szCs w:val="14"/>
                <w:color w:val="auto"/>
              </w:rPr>
            </w:pPr>
          </w:p>
        </w:tc>
        <w:tc>
          <w:tcPr>
            <w:tcW w:w="1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1,556</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1.63 %</w:t>
            </w:r>
          </w:p>
        </w:tc>
      </w:tr>
      <w:tr>
        <w:trPr>
          <w:trHeight w:val="168"/>
        </w:trPr>
        <w:tc>
          <w:tcPr>
            <w:tcW w:w="1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11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2,299</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2.78 %</w:t>
            </w:r>
          </w:p>
        </w:tc>
      </w:tr>
      <w:tr>
        <w:trPr>
          <w:trHeight w:val="168"/>
        </w:trPr>
        <w:tc>
          <w:tcPr>
            <w:tcW w:w="1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2029</w:t>
            </w:r>
          </w:p>
        </w:tc>
        <w:tc>
          <w:tcPr>
            <w:tcW w:w="1160" w:type="dxa"/>
            <w:vAlign w:val="bottom"/>
            <w:shd w:val="clear" w:color="auto" w:fill="CFF0FC"/>
          </w:tcPr>
          <w:p>
            <w:pPr>
              <w:spacing w:after="0"/>
              <w:rPr>
                <w:sz w:val="14"/>
                <w:szCs w:val="14"/>
                <w:color w:val="auto"/>
              </w:rPr>
            </w:pPr>
          </w:p>
        </w:tc>
        <w:tc>
          <w:tcPr>
            <w:tcW w:w="1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722</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168"/>
        </w:trPr>
        <w:tc>
          <w:tcPr>
            <w:tcW w:w="1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After 2030</w:t>
            </w:r>
          </w:p>
        </w:tc>
        <w:tc>
          <w:tcPr>
            <w:tcW w:w="11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282</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w:t>
            </w:r>
          </w:p>
        </w:tc>
      </w:tr>
      <w:tr>
        <w:trPr>
          <w:trHeight w:val="208"/>
        </w:trPr>
        <w:tc>
          <w:tcPr>
            <w:tcW w:w="17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368,918</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3.74 %</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Deposit Concentrations</w:t>
      </w:r>
    </w:p>
    <w:p>
      <w:pPr>
        <w:spacing w:after="0" w:line="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Bank utilizes a variety of funding sources to support the interest-earning asset base in addition to achieving targeted growth objectives. Overall funding is comprised of three primary sources that possess a variety of maturity, stability, and price characteristics: deposits from individuals, non-governmental businesses, and governmental deposits that are collateralized for amounts not covered by FDIC insurance, and other external borrowings. The average daily amount of deposits and the average rate paid on each of the following deposit categories are summarized below for the years ended December 31:</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Average</w:t>
            </w:r>
          </w:p>
        </w:tc>
        <w:tc>
          <w:tcPr>
            <w:tcW w:w="340" w:type="dxa"/>
            <w:vAlign w:val="bottom"/>
          </w:tcPr>
          <w:p>
            <w:pPr>
              <w:spacing w:after="0"/>
              <w:rPr>
                <w:sz w:val="16"/>
                <w:szCs w:val="16"/>
                <w:color w:val="auto"/>
              </w:rPr>
            </w:pPr>
          </w:p>
        </w:tc>
        <w:tc>
          <w:tcPr>
            <w:tcW w:w="15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8"/>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rates)</w:t>
            </w:r>
          </w:p>
        </w:tc>
        <w:tc>
          <w:tcPr>
            <w:tcW w:w="1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Average Balance</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Yield/Cost</w:t>
            </w:r>
          </w:p>
        </w:tc>
        <w:tc>
          <w:tcPr>
            <w:tcW w:w="340" w:type="dxa"/>
            <w:vAlign w:val="bottom"/>
          </w:tcPr>
          <w:p>
            <w:pPr>
              <w:spacing w:after="0"/>
              <w:rPr>
                <w:sz w:val="14"/>
                <w:szCs w:val="14"/>
                <w:color w:val="auto"/>
              </w:rPr>
            </w:pPr>
          </w:p>
        </w:tc>
        <w:tc>
          <w:tcPr>
            <w:tcW w:w="15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Average Balance</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Yield/Cost</w:t>
            </w:r>
          </w:p>
        </w:tc>
        <w:tc>
          <w:tcPr>
            <w:tcW w:w="0" w:type="dxa"/>
            <w:vAlign w:val="bottom"/>
          </w:tcPr>
          <w:p>
            <w:pPr>
              <w:spacing w:after="0"/>
              <w:rPr>
                <w:sz w:val="1"/>
                <w:szCs w:val="1"/>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checking deposits</w:t>
            </w: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184,572</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172,950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checking deposits</w:t>
            </w:r>
          </w:p>
        </w:tc>
        <w:tc>
          <w:tcPr>
            <w:tcW w:w="166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101,336</w:t>
            </w: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92,223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0" w:type="dxa"/>
            <w:vAlign w:val="bottom"/>
          </w:tcPr>
          <w:p>
            <w:pPr>
              <w:spacing w:after="0"/>
              <w:rPr>
                <w:sz w:val="1"/>
                <w:szCs w:val="1"/>
                <w:color w:val="auto"/>
              </w:rPr>
            </w:pPr>
          </w:p>
        </w:tc>
      </w:tr>
      <w:tr>
        <w:trPr>
          <w:trHeight w:val="16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 deposits</w:t>
            </w:r>
          </w:p>
        </w:tc>
        <w:tc>
          <w:tcPr>
            <w:tcW w:w="166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118,965</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0.26%</w:t>
            </w:r>
          </w:p>
        </w:tc>
        <w:tc>
          <w:tcPr>
            <w:tcW w:w="340" w:type="dxa"/>
            <w:vAlign w:val="bottom"/>
          </w:tcPr>
          <w:p>
            <w:pPr>
              <w:spacing w:after="0"/>
              <w:rPr>
                <w:sz w:val="14"/>
                <w:szCs w:val="14"/>
                <w:color w:val="auto"/>
              </w:rPr>
            </w:pPr>
          </w:p>
        </w:tc>
        <w:tc>
          <w:tcPr>
            <w:tcW w:w="15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124,617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68"/>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Money market deposits</w:t>
            </w:r>
          </w:p>
        </w:tc>
        <w:tc>
          <w:tcPr>
            <w:tcW w:w="166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239,276</w:t>
            </w: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34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253,298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6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166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517,352</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340" w:type="dxa"/>
            <w:vAlign w:val="bottom"/>
          </w:tcPr>
          <w:p>
            <w:pPr>
              <w:spacing w:after="0"/>
              <w:rPr>
                <w:sz w:val="14"/>
                <w:szCs w:val="14"/>
                <w:color w:val="auto"/>
              </w:rPr>
            </w:pPr>
          </w:p>
        </w:tc>
        <w:tc>
          <w:tcPr>
            <w:tcW w:w="15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480,867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8"/>
        </w:trPr>
        <w:tc>
          <w:tcPr>
            <w:tcW w:w="3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16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1,161,501</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3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1,123,955</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Non-governmental deposits</w:t>
            </w:r>
          </w:p>
        </w:tc>
        <w:tc>
          <w:tcPr>
            <w:tcW w:w="166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994,159</w:t>
            </w: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2.54%</w:t>
            </w:r>
          </w:p>
        </w:tc>
        <w:tc>
          <w:tcPr>
            <w:tcW w:w="34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950,393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6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Governmental deposits</w:t>
            </w:r>
          </w:p>
        </w:tc>
        <w:tc>
          <w:tcPr>
            <w:tcW w:w="166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167,342</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340" w:type="dxa"/>
            <w:vAlign w:val="bottom"/>
          </w:tcPr>
          <w:p>
            <w:pPr>
              <w:spacing w:after="0"/>
              <w:rPr>
                <w:sz w:val="14"/>
                <w:szCs w:val="14"/>
                <w:color w:val="auto"/>
              </w:rPr>
            </w:pPr>
          </w:p>
        </w:tc>
        <w:tc>
          <w:tcPr>
            <w:tcW w:w="15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173,562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08"/>
        </w:trPr>
        <w:tc>
          <w:tcPr>
            <w:tcW w:w="3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16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1,161,501</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3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1,123,955</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Borrowings are comprised primarily of advances and overnight borrowings at the FHLBNY.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information regarding short-term borrowings for the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6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6"/>
                <w:szCs w:val="16"/>
                <w:color w:val="auto"/>
              </w:rPr>
            </w:pPr>
          </w:p>
        </w:tc>
        <w:tc>
          <w:tcPr>
            <w:tcW w:w="9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tcPr>
          <w:p>
            <w:pPr>
              <w:spacing w:after="0"/>
              <w:rPr>
                <w:sz w:val="16"/>
                <w:szCs w:val="16"/>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2022</w:t>
            </w:r>
          </w:p>
        </w:tc>
      </w:tr>
      <w:tr>
        <w:trPr>
          <w:trHeight w:val="180"/>
        </w:trPr>
        <w:tc>
          <w:tcPr>
            <w:tcW w:w="4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Maximum outstanding at any month end</w:t>
            </w:r>
          </w:p>
        </w:tc>
        <w:tc>
          <w:tcPr>
            <w:tcW w:w="16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127,577</w:t>
            </w:r>
          </w:p>
        </w:tc>
        <w:tc>
          <w:tcPr>
            <w:tcW w:w="42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125,680</w:t>
            </w:r>
          </w:p>
        </w:tc>
        <w:tc>
          <w:tcPr>
            <w:tcW w:w="4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60,333</w:t>
            </w:r>
          </w:p>
        </w:tc>
      </w:tr>
      <w:tr>
        <w:trPr>
          <w:trHeight w:val="180"/>
        </w:trPr>
        <w:tc>
          <w:tcPr>
            <w:tcW w:w="4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amount outstanding during the year</w:t>
            </w:r>
          </w:p>
        </w:tc>
        <w:tc>
          <w:tcPr>
            <w:tcW w:w="1660" w:type="dxa"/>
            <w:vAlign w:val="bottom"/>
          </w:tcPr>
          <w:p>
            <w:pPr>
              <w:spacing w:after="0"/>
              <w:rPr>
                <w:sz w:val="15"/>
                <w:szCs w:val="15"/>
                <w:color w:val="auto"/>
              </w:rPr>
            </w:pPr>
          </w:p>
        </w:tc>
        <w:tc>
          <w:tcPr>
            <w:tcW w:w="9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76,668</w:t>
            </w:r>
          </w:p>
        </w:tc>
        <w:tc>
          <w:tcPr>
            <w:tcW w:w="420" w:type="dxa"/>
            <w:vAlign w:val="bottom"/>
          </w:tcPr>
          <w:p>
            <w:pPr>
              <w:spacing w:after="0"/>
              <w:rPr>
                <w:sz w:val="15"/>
                <w:szCs w:val="15"/>
                <w:color w:val="auto"/>
              </w:rPr>
            </w:pPr>
          </w:p>
        </w:tc>
        <w:tc>
          <w:tcPr>
            <w:tcW w:w="9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49,601</w:t>
            </w:r>
          </w:p>
        </w:tc>
        <w:tc>
          <w:tcPr>
            <w:tcW w:w="460" w:type="dxa"/>
            <w:vAlign w:val="bottom"/>
          </w:tcPr>
          <w:p>
            <w:pPr>
              <w:spacing w:after="0"/>
              <w:rPr>
                <w:sz w:val="15"/>
                <w:szCs w:val="15"/>
                <w:color w:val="auto"/>
              </w:rPr>
            </w:pPr>
          </w:p>
        </w:tc>
        <w:tc>
          <w:tcPr>
            <w:tcW w:w="92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12,492</w:t>
            </w:r>
          </w:p>
        </w:tc>
      </w:tr>
      <w:tr>
        <w:trPr>
          <w:trHeight w:val="180"/>
        </w:trPr>
        <w:tc>
          <w:tcPr>
            <w:tcW w:w="4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the end of the period</w:t>
            </w:r>
          </w:p>
        </w:tc>
        <w:tc>
          <w:tcPr>
            <w:tcW w:w="16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61,000</w:t>
            </w:r>
          </w:p>
        </w:tc>
        <w:tc>
          <w:tcPr>
            <w:tcW w:w="4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125,680</w:t>
            </w:r>
          </w:p>
        </w:tc>
        <w:tc>
          <w:tcPr>
            <w:tcW w:w="4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60,333</w:t>
            </w:r>
          </w:p>
        </w:tc>
      </w:tr>
      <w:tr>
        <w:trPr>
          <w:trHeight w:val="180"/>
        </w:trPr>
        <w:tc>
          <w:tcPr>
            <w:tcW w:w="4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interest rate during the year</w:t>
            </w:r>
          </w:p>
        </w:tc>
        <w:tc>
          <w:tcPr>
            <w:tcW w:w="16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5.45 %</w:t>
            </w:r>
          </w:p>
        </w:tc>
        <w:tc>
          <w:tcPr>
            <w:tcW w:w="4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5.42 %</w:t>
            </w:r>
          </w:p>
        </w:tc>
        <w:tc>
          <w:tcPr>
            <w:tcW w:w="4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2.48 %</w:t>
            </w:r>
          </w:p>
        </w:tc>
      </w:tr>
      <w:tr>
        <w:trPr>
          <w:trHeight w:val="180"/>
        </w:trPr>
        <w:tc>
          <w:tcPr>
            <w:tcW w:w="4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interest rate at the end of the period</w:t>
            </w:r>
          </w:p>
        </w:tc>
        <w:tc>
          <w:tcPr>
            <w:tcW w:w="16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6.14 %</w:t>
            </w:r>
          </w:p>
        </w:tc>
        <w:tc>
          <w:tcPr>
            <w:tcW w:w="4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4.50 %</w:t>
            </w:r>
          </w:p>
        </w:tc>
        <w:tc>
          <w:tcPr>
            <w:tcW w:w="4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3.86 %</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information regarding long-term borrowings for the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80" w:type="dxa"/>
            <w:vAlign w:val="bottom"/>
          </w:tcPr>
          <w:p>
            <w:pPr>
              <w:spacing w:after="0"/>
              <w:rPr>
                <w:sz w:val="16"/>
                <w:szCs w:val="16"/>
                <w:color w:val="auto"/>
              </w:rPr>
            </w:pP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Pr>
          <w:p>
            <w:pPr>
              <w:spacing w:after="0"/>
              <w:rPr>
                <w:sz w:val="16"/>
                <w:szCs w:val="16"/>
                <w:color w:val="auto"/>
              </w:rPr>
            </w:pPr>
          </w:p>
        </w:tc>
        <w:tc>
          <w:tcPr>
            <w:tcW w:w="9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tcPr>
          <w:p>
            <w:pPr>
              <w:spacing w:after="0"/>
              <w:rPr>
                <w:sz w:val="16"/>
                <w:szCs w:val="16"/>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2022</w:t>
            </w:r>
          </w:p>
        </w:tc>
      </w:tr>
      <w:tr>
        <w:trPr>
          <w:trHeight w:val="180"/>
        </w:trPr>
        <w:tc>
          <w:tcPr>
            <w:tcW w:w="4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Maximum outstanding at any month end</w:t>
            </w:r>
          </w:p>
        </w:tc>
        <w:tc>
          <w:tcPr>
            <w:tcW w:w="16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49,919</w:t>
            </w:r>
          </w:p>
        </w:tc>
        <w:tc>
          <w:tcPr>
            <w:tcW w:w="44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58,369</w:t>
            </w:r>
          </w:p>
        </w:tc>
        <w:tc>
          <w:tcPr>
            <w:tcW w:w="4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67,371</w:t>
            </w:r>
          </w:p>
        </w:tc>
      </w:tr>
      <w:tr>
        <w:trPr>
          <w:trHeight w:val="180"/>
        </w:trPr>
        <w:tc>
          <w:tcPr>
            <w:tcW w:w="4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amount outstanding during the year</w:t>
            </w:r>
          </w:p>
        </w:tc>
        <w:tc>
          <w:tcPr>
            <w:tcW w:w="1680" w:type="dxa"/>
            <w:vAlign w:val="bottom"/>
          </w:tcPr>
          <w:p>
            <w:pPr>
              <w:spacing w:after="0"/>
              <w:rPr>
                <w:sz w:val="15"/>
                <w:szCs w:val="15"/>
                <w:color w:val="auto"/>
              </w:rPr>
            </w:pPr>
          </w:p>
        </w:tc>
        <w:tc>
          <w:tcPr>
            <w:tcW w:w="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43,162</w:t>
            </w:r>
          </w:p>
        </w:tc>
        <w:tc>
          <w:tcPr>
            <w:tcW w:w="440" w:type="dxa"/>
            <w:vAlign w:val="bottom"/>
          </w:tcPr>
          <w:p>
            <w:pPr>
              <w:spacing w:after="0"/>
              <w:rPr>
                <w:sz w:val="15"/>
                <w:szCs w:val="15"/>
                <w:color w:val="auto"/>
              </w:rPr>
            </w:pPr>
          </w:p>
        </w:tc>
        <w:tc>
          <w:tcPr>
            <w:tcW w:w="9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55,091</w:t>
            </w:r>
          </w:p>
        </w:tc>
        <w:tc>
          <w:tcPr>
            <w:tcW w:w="460" w:type="dxa"/>
            <w:vAlign w:val="bottom"/>
          </w:tcPr>
          <w:p>
            <w:pPr>
              <w:spacing w:after="0"/>
              <w:rPr>
                <w:sz w:val="15"/>
                <w:szCs w:val="15"/>
                <w:color w:val="auto"/>
              </w:rPr>
            </w:pPr>
          </w:p>
        </w:tc>
        <w:tc>
          <w:tcPr>
            <w:tcW w:w="92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58,593</w:t>
            </w:r>
          </w:p>
        </w:tc>
      </w:tr>
      <w:tr>
        <w:trPr>
          <w:trHeight w:val="180"/>
        </w:trPr>
        <w:tc>
          <w:tcPr>
            <w:tcW w:w="4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the end of the period</w:t>
            </w:r>
          </w:p>
        </w:tc>
        <w:tc>
          <w:tcPr>
            <w:tcW w:w="16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27,068</w:t>
            </w:r>
          </w:p>
        </w:tc>
        <w:tc>
          <w:tcPr>
            <w:tcW w:w="4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49,919</w:t>
            </w:r>
          </w:p>
        </w:tc>
        <w:tc>
          <w:tcPr>
            <w:tcW w:w="4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55,664</w:t>
            </w:r>
          </w:p>
        </w:tc>
      </w:tr>
      <w:tr>
        <w:trPr>
          <w:trHeight w:val="180"/>
        </w:trPr>
        <w:tc>
          <w:tcPr>
            <w:tcW w:w="4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interest rate during the year</w:t>
            </w:r>
          </w:p>
        </w:tc>
        <w:tc>
          <w:tcPr>
            <w:tcW w:w="1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1.70 %</w:t>
            </w:r>
          </w:p>
        </w:tc>
        <w:tc>
          <w:tcPr>
            <w:tcW w:w="4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1.54 %</w:t>
            </w:r>
          </w:p>
        </w:tc>
        <w:tc>
          <w:tcPr>
            <w:tcW w:w="4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0.96 %</w:t>
            </w:r>
          </w:p>
        </w:tc>
      </w:tr>
      <w:tr>
        <w:trPr>
          <w:trHeight w:val="180"/>
        </w:trPr>
        <w:tc>
          <w:tcPr>
            <w:tcW w:w="4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interest rate at the end of the period</w:t>
            </w:r>
          </w:p>
        </w:tc>
        <w:tc>
          <w:tcPr>
            <w:tcW w:w="1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1.26 %</w:t>
            </w:r>
          </w:p>
        </w:tc>
        <w:tc>
          <w:tcPr>
            <w:tcW w:w="4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1.84 %</w:t>
            </w:r>
          </w:p>
        </w:tc>
        <w:tc>
          <w:tcPr>
            <w:tcW w:w="4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1.39 %</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Trust Preferred Securities and Subordinated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 non-consolidated subsidiary trust, Pathfinder Statutory Trust II, of which the Company owns 100% of the common equity. The Trust issued</w:t>
      </w:r>
    </w:p>
    <w:p>
      <w:pPr>
        <w:spacing w:after="0" w:line="1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$5,000,000 of 30-year floating rate Company -obligated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3-month the Secured Overnight Financing Rate ("SOFR") which is a broad measure of the cost of borrowing cash overnight collateralized by Treasury securities, plus 1.91%. These securities have a five-year call provision. The Company guarantees all of these securities.</w:t>
      </w:r>
    </w:p>
    <w:p>
      <w:pPr>
        <w:spacing w:after="0" w:line="7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Company's equity interest in the trust subsidiary is included in other assets on the Consolidated Statements of Financial Condition at December 31, 2024 and 2023.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7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On October 14, 2020, the Company executed a private placement of $25.0 million of its 5.50% Fixed to Floating Rate non -amortizing Subordinated Debt (the “2020 Subordinated Debt”) to certain qualified institutional buyers and accredited institutional investors. The 2020 Subordinated Debt has a maturity date of October 15, 2030 and initially bear interest, payable semi-annually, at a fixed annual rate of 5.50% per annum until October 15, 2025. Commencing on that date, the interest rate applicable to the outstanding principal amount due will be reset quarterly to an interest rate per annum equal to the then current three month SOFR plus 532 basis points, payable quarterly until maturity. The Company may redeem the 2020 Subordinated Debt at par, in whole or in part, at its option, any time after October 15, 2025 (the first redemption date). The 2020 Subordinated Debt is senior in the Company’s credit repayment hierarchy only to the Company’s common equity and, and any future senior indebtedness and is intended to qualify as Tier 2 capital for regulatory capital purposes for the Company. The Company paid $783,000 in origination and legal fees as part of this transaction. These fees will be amortized over the life of the 2020 Subordinated Debt through its first redemption date using the effective interest method, giving</w:t>
      </w:r>
    </w:p>
    <w:p>
      <w:pPr>
        <w:spacing w:after="0" w:line="7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3" w:right="680" w:bottom="1440" w:gutter="0" w:footer="0" w:header="0"/>
        </w:sectPr>
      </w:pPr>
    </w:p>
    <w:bookmarkStart w:id="51" w:name="page52"/>
    <w:bookmarkEnd w:id="51"/>
    <w:p>
      <w:pPr>
        <w:spacing w:after="0" w:line="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rise to an effective cost of funds of 6.22% from the issuance date calculated under this method. Accordingly, interest expense related to this transaction of $1.6 million was recorded in both the years ended December 31, 2024 and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p>
      <w:pPr>
        <w:spacing w:after="0" w:line="9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Company’s shareholders’ equity increased $2.0 million, or 1.7%, to $121.5 million at December 31, 2024 from $119.5 million at December 31, 2023. This increase was due to a $1.8 million increase in retained earnings, a $461,000 decrease in accumulated other comprehensive loss, a decrease of $364,000 in additional paid in capital, and an increase of $ 135,000 of ESOP shares earned. The increase in retained earnings resulted from $3.4 million in net income recorded in 2024, and $863,000 from the deconsolidation of a subsidiary related to the insurance agency assets sale. Partially offsetting these increases in retained earnings were $1.9 million for cash dividends declared on our voting common stock, $552,000 for cash dividends declared on our non-voting common stock and $50,000 for cash dividends declared on our issued warrant. Comprehensive loss decreased primarily as the result of a $363,000 gain on derivatives and hedging activities, an $82,000 adjustment to pension and post-retirement benefits, and a gain of $16,000 on available-for-sale securities.</w:t>
      </w:r>
    </w:p>
    <w:p>
      <w:pPr>
        <w:spacing w:after="0" w:line="7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7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Quantitative measures established by regulation to ensure capital adequacy require the Bank to maintain amounts and ratios of Total and Tier 1 capital (as defined in the regulations) to risk-weighted assets (as defined), and of Tier 1 capital (as defined) to average assets (as defined).</w:t>
      </w:r>
    </w:p>
    <w:p>
      <w:pPr>
        <w:spacing w:after="0" w:line="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As of December 31, 2024, the Bank’s most recent notification from the Federal Deposit Insurance Corporation categorized the Bank as “well-capitalized”, under the regulatory framework for prompt corrective action. To be categorized as “well-capitalized”, the Bank must maintain specified total risk-based, Tier 1 risk-based and Tier 1 leverage ratios. There are no conditions or events since that notification that management believes have changed the Bank’s category.</w:t>
      </w:r>
    </w:p>
    <w:p>
      <w:pPr>
        <w:spacing w:after="0" w:line="6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The regulations also impose a “capital conservation buffer” consisting of 2.5% of common equity Tier 1 capital to risk-weighted assets above the amount necessary to meet its minimum risk- based capital requirements. The buffer is separate from the capital ratios required under the Prompt Corrective Action (“PCA”) standards and imposes restrictions on dividend distributions and discretionary bonuses for senior officers if the buffer is not met (See Note 20 contained within the accompanying consolidated financial statements). In order to avoid these restrictions, the capital conservation buffer effectively increases the minimum the following capital to risk-weighted assets ratios: (1) Core Capital, (2) Total Capital and (3) Common Equity. At December 31, 2024, the Bank exceeded all current regulatory required minimum capital ratios, including the capital buffer requirements.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9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 -term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balance. In addition, the Company invests excess funds in short-term interest-earning and other assets, which provide liquidity to meet lending requirements.</w:t>
      </w:r>
    </w:p>
    <w:p>
      <w:pPr>
        <w:spacing w:after="0" w:line="7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Company's liquidity has been enhanced by its ability to borrow from the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or the sale of loans. Such actions could result in higher interest expense costs and/or losses on the sale of securities or loans.</w:t>
      </w:r>
    </w:p>
    <w:p>
      <w:pPr>
        <w:spacing w:after="0" w:line="4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2024, cash and cash equivalents decreased by $17.2 million. The Company reported net cash outflows from financing activities of $6.0 million generated principally by an increase in customer deposits of $ 190.9 million, offset by a $64.7 million decrease in short-term borrowings, a decrease in brokered deposits of $106.4 million, a decrease in net proceeds from long-term borrowings of $22.9 million, and an aggregate decrease in net cash of all other financing sources, including dividends paid to common shareholders, and the holder of the Warrant of $2.4 million. Additionally, $11.2 million was provided through operating activities generated principally by net income and proceeds from loan sales. These cash flows were primarily invested in: $117.6 million in purchases of investment securities in 2024, and $31.2 million net increases in loans outstanding.</w:t>
      </w:r>
    </w:p>
    <w:p>
      <w:pPr>
        <w:spacing w:after="0" w:line="77"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Certificates of deposit due within one year of December 31, 2024 totaled $428.3 million, representing 85.1% of certificates of deposit at December 31, 2024, an increase from 68.7% at December 31, 2023. If these maturing deposits do not remain with us, we will be</w:t>
      </w:r>
    </w:p>
    <w:p>
      <w:pPr>
        <w:spacing w:after="0" w:line="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52" w:name="page53"/>
    <w:bookmarkEnd w:id="52"/>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required to seek other sources of funds, including other certificates of deposit and borrowings. Depending on market conditions, we may be required to pay higher rates on such deposits or other borrowings than we currently pay on the certificates of deposit due on or before December 31, 2025.</w:t>
      </w:r>
    </w:p>
    <w:p>
      <w:pPr>
        <w:spacing w:after="0" w:line="5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Company is a separate legal entity from the Bank and must provide for its own liquidity. In addition to its operating expenses, the Company is responsible for paying any dividends declared to its shareholders and making payments on its subordinated debt. The Company may repurchase shares of its common stock. The Company’s primary sources of funds are the proceeds it retained from the Private Placement, the issuance of the 2020 Subordinated Debt, interest and dividends on securities and, potentially, dividends received from the Bank. The amount of dividends that the Bank may declare and pay to the Company in any calendar year, without prior regulatory approval, cannot exceed net income for that year to date plus retained net income (as defined) for the preceding two calendar years. The Company believes that this restriction will not have an impact on the Company's ability to meet its ongoing cash obligations. At December 31, 2024 and 2023, the Company had cash and cash equivalents of $31.6 million and $48.7 million, respectively.</w:t>
      </w:r>
    </w:p>
    <w:p>
      <w:pPr>
        <w:spacing w:after="0" w:line="74"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6"/>
          <w:szCs w:val="16"/>
          <w:color w:val="auto"/>
        </w:rPr>
        <w:t>The Bank has a number of existing credit facilities available to it. At December 31, 2024, total credit available under the existing lines of credit was approximately $245.3 million at FHLBNY, the FRB, and two other correspondent banks. At December 31, 2024, the Company had $88.1 million of the available lines of credit utilized, including encumbrances supporting the outstanding letters of credit, described above, on its existing lines of credit with the remainder of $157.2 million available.</w:t>
      </w:r>
    </w:p>
    <w:p>
      <w:pPr>
        <w:spacing w:after="0" w:line="7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The Company's sources of immediately available liquidity of $327.1 million represent 219.5% and $149.0 million of the Company's net estimated uninsured deposits. Net estimated uninsured deposits exclude collateralized and certain other deposit accounts. When compared to 2023, the $78.6 million increase in sources of immediately available liquidity was primarily attributed to the decrease in FHLB borrowed fund balances. The table below details available sources of liquidity at December 31,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40" w:type="dxa"/>
            <w:vAlign w:val="bottom"/>
          </w:tcPr>
          <w:p>
            <w:pPr>
              <w:spacing w:after="0"/>
              <w:rPr>
                <w:sz w:val="16"/>
                <w:szCs w:val="16"/>
                <w:color w:val="auto"/>
              </w:rPr>
            </w:pPr>
          </w:p>
        </w:tc>
        <w:tc>
          <w:tcPr>
            <w:tcW w:w="2180" w:type="dxa"/>
            <w:vAlign w:val="bottom"/>
            <w:gridSpan w:val="2"/>
          </w:tcPr>
          <w:p>
            <w:pPr>
              <w:jc w:val="right"/>
              <w:ind w:right="422"/>
              <w:spacing w:after="0"/>
              <w:rPr>
                <w:sz w:val="20"/>
                <w:szCs w:val="20"/>
                <w:color w:val="auto"/>
              </w:rPr>
            </w:pPr>
            <w:r>
              <w:rPr>
                <w:rFonts w:ascii="Times New Roman" w:cs="Times New Roman" w:eastAsia="Times New Roman" w:hAnsi="Times New Roman"/>
                <w:sz w:val="16"/>
                <w:szCs w:val="16"/>
                <w:color w:val="auto"/>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1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Unrestricted cash and cash equivalents</w:t>
            </w:r>
          </w:p>
        </w:tc>
        <w:tc>
          <w:tcPr>
            <w:tcW w:w="184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31,572</w:t>
            </w:r>
          </w:p>
        </w:tc>
        <w:tc>
          <w:tcPr>
            <w:tcW w:w="840" w:type="dxa"/>
            <w:vAlign w:val="bottom"/>
            <w:shd w:val="clear" w:color="auto" w:fill="CFF0FC"/>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48,732</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FHLB borrowing capacity</w:t>
            </w:r>
          </w:p>
        </w:tc>
        <w:tc>
          <w:tcPr>
            <w:tcW w:w="1840" w:type="dxa"/>
            <w:vAlign w:val="bottom"/>
          </w:tcPr>
          <w:p>
            <w:pPr>
              <w:spacing w:after="0"/>
              <w:rPr>
                <w:sz w:val="15"/>
                <w:szCs w:val="15"/>
                <w:color w:val="auto"/>
              </w:rPr>
            </w:pPr>
          </w:p>
        </w:tc>
        <w:tc>
          <w:tcPr>
            <w:tcW w:w="1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113,845</w:t>
            </w:r>
          </w:p>
        </w:tc>
        <w:tc>
          <w:tcPr>
            <w:tcW w:w="840" w:type="dxa"/>
            <w:vAlign w:val="bottom"/>
          </w:tcPr>
          <w:p>
            <w:pPr>
              <w:spacing w:after="0"/>
              <w:rPr>
                <w:sz w:val="15"/>
                <w:szCs w:val="15"/>
                <w:color w:val="auto"/>
              </w:rPr>
            </w:pPr>
          </w:p>
        </w:tc>
        <w:tc>
          <w:tcPr>
            <w:tcW w:w="11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28,760</w:t>
            </w: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FRB borrowing capacity</w:t>
            </w:r>
          </w:p>
        </w:tc>
        <w:tc>
          <w:tcPr>
            <w:tcW w:w="18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28,343</w:t>
            </w:r>
          </w:p>
        </w:tc>
        <w:tc>
          <w:tcPr>
            <w:tcW w:w="8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17,326</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unpledged investment securities</w:t>
            </w:r>
          </w:p>
        </w:tc>
        <w:tc>
          <w:tcPr>
            <w:tcW w:w="1840" w:type="dxa"/>
            <w:vAlign w:val="bottom"/>
          </w:tcPr>
          <w:p>
            <w:pPr>
              <w:spacing w:after="0"/>
              <w:rPr>
                <w:sz w:val="15"/>
                <w:szCs w:val="15"/>
                <w:color w:val="auto"/>
              </w:rPr>
            </w:pPr>
          </w:p>
        </w:tc>
        <w:tc>
          <w:tcPr>
            <w:tcW w:w="1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153,321</w:t>
            </w:r>
          </w:p>
        </w:tc>
        <w:tc>
          <w:tcPr>
            <w:tcW w:w="840" w:type="dxa"/>
            <w:vAlign w:val="bottom"/>
          </w:tcPr>
          <w:p>
            <w:pPr>
              <w:spacing w:after="0"/>
              <w:rPr>
                <w:sz w:val="15"/>
                <w:szCs w:val="15"/>
                <w:color w:val="auto"/>
              </w:rPr>
            </w:pPr>
          </w:p>
        </w:tc>
        <w:tc>
          <w:tcPr>
            <w:tcW w:w="11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153,691</w:t>
            </w:r>
          </w:p>
        </w:tc>
        <w:tc>
          <w:tcPr>
            <w:tcW w:w="0" w:type="dxa"/>
            <w:vAlign w:val="bottom"/>
          </w:tcPr>
          <w:p>
            <w:pPr>
              <w:spacing w:after="0"/>
              <w:rPr>
                <w:sz w:val="1"/>
                <w:szCs w:val="1"/>
                <w:color w:val="auto"/>
              </w:rPr>
            </w:pPr>
          </w:p>
        </w:tc>
      </w:tr>
      <w:tr>
        <w:trPr>
          <w:trHeight w:val="220"/>
        </w:trPr>
        <w:tc>
          <w:tcPr>
            <w:tcW w:w="5400" w:type="dxa"/>
            <w:vAlign w:val="bottom"/>
            <w:tcBorders>
              <w:bottom w:val="single" w:sz="8" w:color="auto"/>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sources of liquidity</w:t>
            </w:r>
          </w:p>
        </w:tc>
        <w:tc>
          <w:tcPr>
            <w:tcW w:w="1840" w:type="dxa"/>
            <w:vAlign w:val="bottom"/>
            <w:tcBorders>
              <w:bottom w:val="single" w:sz="8" w:color="auto"/>
            </w:tcBorders>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327,081</w:t>
            </w:r>
          </w:p>
        </w:tc>
        <w:tc>
          <w:tcPr>
            <w:tcW w:w="840" w:type="dxa"/>
            <w:vAlign w:val="bottom"/>
            <w:tcBorders>
              <w:bottom w:val="single" w:sz="8" w:color="auto"/>
            </w:tcBorders>
            <w:shd w:val="clear" w:color="auto" w:fill="CFF0FC"/>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248,509</w:t>
            </w:r>
          </w:p>
        </w:tc>
        <w:tc>
          <w:tcPr>
            <w:tcW w:w="0" w:type="dxa"/>
            <w:vAlign w:val="bottom"/>
          </w:tcPr>
          <w:p>
            <w:pPr>
              <w:spacing w:after="0"/>
              <w:rPr>
                <w:sz w:val="1"/>
                <w:szCs w:val="1"/>
                <w:color w:val="auto"/>
              </w:rPr>
            </w:pPr>
          </w:p>
        </w:tc>
      </w:tr>
      <w:tr>
        <w:trPr>
          <w:trHeight w:val="156"/>
        </w:trPr>
        <w:tc>
          <w:tcPr>
            <w:tcW w:w="5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estimated uninsured deposits, excluding collateralized deposits</w:t>
            </w:r>
          </w:p>
        </w:tc>
        <w:tc>
          <w:tcPr>
            <w:tcW w:w="18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149,033</w:t>
            </w:r>
          </w:p>
        </w:tc>
        <w:tc>
          <w:tcPr>
            <w:tcW w:w="8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149,278</w:t>
            </w: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sources of liquidity/net estimated uninsured deposits</w:t>
            </w:r>
          </w:p>
        </w:tc>
        <w:tc>
          <w:tcPr>
            <w:tcW w:w="1840" w:type="dxa"/>
            <w:vAlign w:val="bottom"/>
          </w:tcPr>
          <w:p>
            <w:pPr>
              <w:spacing w:after="0"/>
              <w:rPr>
                <w:sz w:val="17"/>
                <w:szCs w:val="17"/>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219.47%</w:t>
            </w:r>
          </w:p>
        </w:tc>
        <w:tc>
          <w:tcPr>
            <w:tcW w:w="8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166.47%</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480"/>
        <w:spacing w:after="0" w:line="331" w:lineRule="auto"/>
        <w:rPr>
          <w:sz w:val="20"/>
          <w:szCs w:val="20"/>
          <w:color w:val="auto"/>
        </w:rPr>
      </w:pPr>
      <w:r>
        <w:rPr>
          <w:rFonts w:ascii="Times New Roman" w:cs="Times New Roman" w:eastAsia="Times New Roman" w:hAnsi="Times New Roman"/>
          <w:sz w:val="14"/>
          <w:szCs w:val="14"/>
          <w:color w:val="auto"/>
        </w:rPr>
        <w:t>The Asset Liability Management Committee of the Company is responsible for implementing the policies and guidelines for the maintenance of prudent levels of liquidity. As of December 31, 2024, management reported to the Board of Directors that the Bank was in compliance with its liquidity policy guidelines.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96" w:lineRule="exact"/>
        <w:rPr>
          <w:sz w:val="20"/>
          <w:szCs w:val="20"/>
          <w:color w:val="auto"/>
        </w:rPr>
      </w:pPr>
    </w:p>
    <w:p>
      <w:pPr>
        <w:ind w:right="540"/>
        <w:spacing w:after="0" w:line="247" w:lineRule="auto"/>
        <w:rPr>
          <w:sz w:val="20"/>
          <w:szCs w:val="20"/>
          <w:color w:val="auto"/>
        </w:rPr>
      </w:pPr>
      <w:r>
        <w:rPr>
          <w:rFonts w:ascii="Times New Roman" w:cs="Times New Roman" w:eastAsia="Times New Roman" w:hAnsi="Times New Roman"/>
          <w:sz w:val="16"/>
          <w:szCs w:val="16"/>
          <w:color w:val="auto"/>
        </w:rPr>
        <w:t>The Bank is also a party to financial instruments with off-balance sheet risk in the normal course of business to meet the financing needs of its customers. These financial instruments include commitments to extend credit and standby letters of credit. At December 31, 2024, the Bank had $233.0 million in outstanding commitments to extend credit and standby letters of credit. See Note 18 within the Notes to consolidated financial statements contained herein.</w:t>
      </w:r>
    </w:p>
    <w:p>
      <w:pPr>
        <w:spacing w:after="0" w:line="200" w:lineRule="exact"/>
        <w:rPr>
          <w:sz w:val="20"/>
          <w:szCs w:val="20"/>
          <w:color w:val="auto"/>
        </w:rPr>
      </w:pPr>
    </w:p>
    <w:p>
      <w:pPr>
        <w:spacing w:after="0" w:line="238" w:lineRule="exact"/>
        <w:rPr>
          <w:sz w:val="20"/>
          <w:szCs w:val="20"/>
          <w:color w:val="auto"/>
        </w:rPr>
      </w:pPr>
    </w:p>
    <w:p>
      <w:pPr>
        <w:ind w:right="418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ITEM 7A: QUANTITATIVE AND QUALITATIVE DISCLOSURES ABOUT MARKET RISK </w:t>
      </w:r>
      <w:r>
        <w:rPr>
          <w:rFonts w:ascii="Times New Roman" w:cs="Times New Roman" w:eastAsia="Times New Roman" w:hAnsi="Times New Roman"/>
          <w:sz w:val="16"/>
          <w:szCs w:val="16"/>
          <w:color w:val="auto"/>
        </w:rPr>
        <w:t>Not required of a smaller reporting company.</w:t>
      </w:r>
    </w:p>
    <w:p>
      <w:pPr>
        <w:spacing w:after="0" w:line="23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 w:name="page54"/>
    <w:bookmarkEnd w:id="53"/>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Pathfinder Bancorp, Inc.</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jc w:val="center"/>
              <w:ind w:left="3342"/>
              <w:spacing w:after="0"/>
              <w:rPr>
                <w:sz w:val="20"/>
                <w:szCs w:val="20"/>
                <w:color w:val="auto"/>
              </w:rPr>
            </w:pPr>
            <w:r>
              <w:rPr>
                <w:rFonts w:ascii="Times New Roman" w:cs="Times New Roman" w:eastAsia="Times New Roman" w:hAnsi="Times New Roman"/>
                <w:sz w:val="16"/>
                <w:szCs w:val="16"/>
                <w:color w:val="auto"/>
                <w:w w:val="96"/>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20" w:type="dxa"/>
            <w:vAlign w:val="bottom"/>
            <w:gridSpan w:val="8"/>
          </w:tcPr>
          <w:p>
            <w:pPr>
              <w:spacing w:after="0" w:line="169" w:lineRule="exact"/>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Management’s Report on Internal Control over Financial Reporting</w:t>
              </w:r>
            </w:hyperlink>
          </w:p>
        </w:tc>
        <w:tc>
          <w:tcPr>
            <w:tcW w:w="3720" w:type="dxa"/>
            <w:vAlign w:val="bottom"/>
          </w:tcPr>
          <w:p>
            <w:pPr>
              <w:jc w:val="center"/>
              <w:ind w:left="3322"/>
              <w:spacing w:after="0" w:line="169" w:lineRule="exact"/>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7"/>
              </w:rPr>
            </w:pPr>
            <w:hyperlink w:anchor="page56">
              <w:r>
                <w:rPr>
                  <w:rFonts w:ascii="Times New Roman" w:cs="Times New Roman" w:eastAsia="Times New Roman" w:hAnsi="Times New Roman"/>
                  <w:sz w:val="16"/>
                  <w:szCs w:val="16"/>
                  <w:color w:val="0000FF"/>
                  <w:w w:val="97"/>
                </w:rPr>
                <w:t>Report of Independent Registered Public Accounting Firm</w:t>
              </w:r>
            </w:hyperlink>
          </w:p>
        </w:tc>
        <w:tc>
          <w:tcPr>
            <w:tcW w:w="560" w:type="dxa"/>
            <w:vAlign w:val="bottom"/>
            <w:tcBorders>
              <w:top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20" w:type="dxa"/>
            <w:vAlign w:val="bottom"/>
          </w:tcPr>
          <w:p>
            <w:pPr>
              <w:jc w:val="center"/>
              <w:ind w:left="3322"/>
              <w:spacing w:after="0" w:line="160" w:lineRule="exact"/>
              <w:rPr>
                <w:sz w:val="20"/>
                <w:szCs w:val="20"/>
                <w:color w:val="auto"/>
              </w:rPr>
            </w:pPr>
            <w:r>
              <w:rPr>
                <w:rFonts w:ascii="Times New Roman" w:cs="Times New Roman" w:eastAsia="Times New Roman" w:hAnsi="Times New Roman"/>
                <w:sz w:val="16"/>
                <w:szCs w:val="16"/>
                <w:color w:val="auto"/>
                <w:w w:val="99"/>
              </w:rPr>
              <w:t>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gridSpan w:val="8"/>
          </w:tcPr>
          <w:p>
            <w:pPr>
              <w:spacing w:after="0" w:line="160" w:lineRule="exact"/>
              <w:rPr>
                <w:rFonts w:ascii="Times New Roman" w:cs="Times New Roman" w:eastAsia="Times New Roman" w:hAnsi="Times New Roman"/>
                <w:sz w:val="16"/>
                <w:szCs w:val="16"/>
                <w:color w:val="0000FF"/>
              </w:rPr>
            </w:pPr>
            <w:hyperlink w:anchor="page58">
              <w:r>
                <w:rPr>
                  <w:rFonts w:ascii="Times New Roman" w:cs="Times New Roman" w:eastAsia="Times New Roman" w:hAnsi="Times New Roman"/>
                  <w:sz w:val="16"/>
                  <w:szCs w:val="16"/>
                  <w:color w:val="0000FF"/>
                </w:rPr>
                <w:t>Consolidated Statements of Condition – December 31, 2023 and 2022</w:t>
              </w:r>
            </w:hyperlink>
          </w:p>
        </w:tc>
        <w:tc>
          <w:tcPr>
            <w:tcW w:w="3720" w:type="dxa"/>
            <w:vAlign w:val="bottom"/>
          </w:tcPr>
          <w:p>
            <w:pPr>
              <w:jc w:val="center"/>
              <w:ind w:left="3322"/>
              <w:spacing w:after="0" w:line="160" w:lineRule="exact"/>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w w:val="96"/>
              </w:rPr>
            </w:pPr>
            <w:hyperlink w:anchor="page59">
              <w:r>
                <w:rPr>
                  <w:rFonts w:ascii="Times New Roman" w:cs="Times New Roman" w:eastAsia="Times New Roman" w:hAnsi="Times New Roman"/>
                  <w:sz w:val="16"/>
                  <w:szCs w:val="16"/>
                  <w:color w:val="0000FF"/>
                  <w:w w:val="96"/>
                </w:rPr>
                <w:t>Consolidated Statements of Income – Years ended December 31, 2023</w:t>
              </w:r>
            </w:hyperlink>
          </w:p>
        </w:tc>
        <w:tc>
          <w:tcPr>
            <w:tcW w:w="2240" w:type="dxa"/>
            <w:vAlign w:val="bottom"/>
            <w:gridSpan w:val="4"/>
          </w:tcPr>
          <w:p>
            <w:pPr>
              <w:ind w:left="80"/>
              <w:spacing w:after="0" w:line="160" w:lineRule="exact"/>
              <w:rPr>
                <w:rFonts w:ascii="Times New Roman" w:cs="Times New Roman" w:eastAsia="Times New Roman" w:hAnsi="Times New Roman"/>
                <w:sz w:val="16"/>
                <w:szCs w:val="16"/>
                <w:color w:val="0000FF"/>
              </w:rPr>
            </w:pPr>
            <w:hyperlink w:anchor="page59">
              <w:r>
                <w:rPr>
                  <w:rFonts w:ascii="Times New Roman" w:cs="Times New Roman" w:eastAsia="Times New Roman" w:hAnsi="Times New Roman"/>
                  <w:sz w:val="16"/>
                  <w:szCs w:val="16"/>
                  <w:color w:val="0000FF"/>
                </w:rPr>
                <w:t>and 2022</w:t>
              </w:r>
            </w:hyperlink>
          </w:p>
        </w:tc>
        <w:tc>
          <w:tcPr>
            <w:tcW w:w="3720" w:type="dxa"/>
            <w:vAlign w:val="bottom"/>
          </w:tcPr>
          <w:p>
            <w:pPr>
              <w:jc w:val="center"/>
              <w:ind w:left="3322"/>
              <w:spacing w:after="0" w:line="160" w:lineRule="exact"/>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vMerge w:val="restart"/>
          </w:tcPr>
          <w:p>
            <w:pPr>
              <w:jc w:val="center"/>
              <w:ind w:left="3322"/>
              <w:spacing w:after="0" w:line="180" w:lineRule="exact"/>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gridSpan w:val="8"/>
          </w:tcPr>
          <w:p>
            <w:pPr>
              <w:spacing w:after="0" w:line="160" w:lineRule="exact"/>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Consolidated Statements of Comprehensive Income – Years ended December 31, 2023 and 2022</w:t>
              </w:r>
            </w:hyperlink>
          </w:p>
        </w:tc>
        <w:tc>
          <w:tcPr>
            <w:tcW w:w="3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w:anchor="page61">
              <w:r>
                <w:rPr>
                  <w:rFonts w:ascii="Times New Roman" w:cs="Times New Roman" w:eastAsia="Times New Roman" w:hAnsi="Times New Roman"/>
                  <w:sz w:val="16"/>
                  <w:szCs w:val="16"/>
                  <w:color w:val="0000FF"/>
                  <w:w w:val="97"/>
                </w:rPr>
                <w:t>Consolidated Statements of Changes in Shareholders’ Equity – Years ended December 31, 2023</w:t>
              </w:r>
            </w:hyperlink>
          </w:p>
        </w:tc>
        <w:tc>
          <w:tcPr>
            <w:tcW w:w="58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FF"/>
                <w:w w:val="94"/>
              </w:rPr>
            </w:pPr>
            <w:hyperlink w:anchor="page61">
              <w:r>
                <w:rPr>
                  <w:rFonts w:ascii="Times New Roman" w:cs="Times New Roman" w:eastAsia="Times New Roman" w:hAnsi="Times New Roman"/>
                  <w:sz w:val="16"/>
                  <w:szCs w:val="16"/>
                  <w:color w:val="0000FF"/>
                  <w:w w:val="94"/>
                </w:rPr>
                <w:t>and 2022</w:t>
              </w:r>
            </w:hyperlink>
          </w:p>
        </w:tc>
        <w:tc>
          <w:tcPr>
            <w:tcW w:w="3720" w:type="dxa"/>
            <w:vAlign w:val="bottom"/>
          </w:tcPr>
          <w:p>
            <w:pPr>
              <w:jc w:val="center"/>
              <w:ind w:left="3322"/>
              <w:spacing w:after="0" w:line="160" w:lineRule="exact"/>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gridSpan w:val="8"/>
          </w:tcPr>
          <w:p>
            <w:pPr>
              <w:spacing w:after="0" w:line="160" w:lineRule="exact"/>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Consolidated Statements of Cash Flows – Years ended December 31, 2023 and 2022</w:t>
              </w:r>
            </w:hyperlink>
          </w:p>
        </w:tc>
        <w:tc>
          <w:tcPr>
            <w:tcW w:w="3720" w:type="dxa"/>
            <w:vAlign w:val="bottom"/>
          </w:tcPr>
          <w:p>
            <w:pPr>
              <w:jc w:val="center"/>
              <w:ind w:left="3322"/>
              <w:spacing w:after="0" w:line="160" w:lineRule="exact"/>
              <w:rPr>
                <w:sz w:val="20"/>
                <w:szCs w:val="20"/>
                <w:color w:val="auto"/>
              </w:rPr>
            </w:pPr>
            <w:r>
              <w:rPr>
                <w:rFonts w:ascii="Times New Roman" w:cs="Times New Roman" w:eastAsia="Times New Roman" w:hAnsi="Times New Roman"/>
                <w:sz w:val="16"/>
                <w:szCs w:val="16"/>
                <w:color w:val="auto"/>
                <w:w w:val="99"/>
              </w:rPr>
              <w:t>62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Notes to Consolidated Financial Statements</w:t>
              </w:r>
            </w:hyperlink>
          </w:p>
        </w:tc>
        <w:tc>
          <w:tcPr>
            <w:tcW w:w="1320" w:type="dxa"/>
            <w:vAlign w:val="bottom"/>
            <w:gridSpan w:val="2"/>
          </w:tcPr>
          <w:p>
            <w:pPr>
              <w:spacing w:after="0"/>
              <w:rPr>
                <w:sz w:val="13"/>
                <w:szCs w:val="13"/>
                <w:color w:val="auto"/>
              </w:rPr>
            </w:pPr>
          </w:p>
        </w:tc>
        <w:tc>
          <w:tcPr>
            <w:tcW w:w="3720" w:type="dxa"/>
            <w:vAlign w:val="bottom"/>
          </w:tcPr>
          <w:p>
            <w:pPr>
              <w:jc w:val="center"/>
              <w:ind w:left="3322"/>
              <w:spacing w:after="0" w:line="160" w:lineRule="exact"/>
              <w:rPr>
                <w:sz w:val="20"/>
                <w:szCs w:val="20"/>
                <w:color w:val="auto"/>
              </w:rPr>
            </w:pPr>
            <w:r>
              <w:rPr>
                <w:rFonts w:ascii="Times New Roman" w:cs="Times New Roman" w:eastAsia="Times New Roman" w:hAnsi="Times New Roman"/>
                <w:sz w:val="16"/>
                <w:szCs w:val="16"/>
                <w:color w:val="auto"/>
                <w:w w:val="99"/>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660" w:top="1440" w:right="880" w:bottom="1440" w:gutter="0" w:footer="0" w:header="0"/>
        </w:sectPr>
      </w:pPr>
    </w:p>
    <w:bookmarkStart w:id="54" w:name="page55"/>
    <w:bookmarkEnd w:id="54"/>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MANAGEMENT’S REPORT ON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 of Internal Control</w:t>
      </w:r>
    </w:p>
    <w:p>
      <w:pPr>
        <w:spacing w:after="0" w:line="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Internal control processes and procedures help entities achieve important objectives and sustain and improve performance. The COSO Framework (as defined below) enables organizations to effectively and efficiently develop systems of internal control that adapt to changing business and operating environments, mitigate risks at acceptable levels and support sound decision making and governance of organizations. The COSO Framework defines internal control as “a process, effected by an entity’s Board of Directors, management, and other personnel, designed to provide reasonable assurance regarding the achievement of objectives relating to operations, reporting and compliance.” The COSO Framework provides three categories of objectives, which allow organizations to focus on differing aspects of internal control: (a) Operations Objectives, (b) Reporting Objectives and (c) Compliance Objectives.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94"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effective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68"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Management evaluates the effectiveness of internal control over financial reporting and tests for reliability of recorded financial information through a program of ongoing internal audits. Any system of internal control, no matter how well designed, has inherent limitations, including the possibility that a control can be circumvented or overridden and misstatements due to error or fraud may occur and not be detected. Also, because of changes in conditions, internal control effectiveness may vary over time. Accordingly, even an effective system of internal control will provide only reasonable assurance with respect to financial statement preparation. Under applicable SEC accounting related rules, a material weakness is a deficiency, or combination of deficiencies, in internal control over financial reporting such that there is a reasonable possibility that a material misstatement of a company’s annual or interim financial statements would not be prevented or detected on a timely basis.</w:t>
      </w:r>
    </w:p>
    <w:p>
      <w:pPr>
        <w:spacing w:after="0" w:line="7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Management conducted the Evaluation based on the 2013 framework established in Internal Control-Integrated Framework issued by the Committee of Sponsoring Organizations of the Treadway Commission (the COSO Framework).</w:t>
      </w:r>
    </w:p>
    <w:p>
      <w:pPr>
        <w:spacing w:after="0" w:line="59"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As a result of the Evaluation as of December 31, 2024, management has determined that there were no material weaknesses in the Company’s internal controls over financial reporting.</w:t>
      </w:r>
    </w:p>
    <w:p>
      <w:pPr>
        <w:spacing w:after="0" w:line="5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A. Dowd</w:t>
            </w:r>
          </w:p>
        </w:tc>
        <w:tc>
          <w:tcPr>
            <w:tcW w:w="668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/s/ Justin K. Bigham</w:t>
            </w:r>
          </w:p>
        </w:tc>
      </w:tr>
      <w:tr>
        <w:trPr>
          <w:trHeight w:val="180"/>
        </w:trPr>
        <w:tc>
          <w:tcPr>
            <w:tcW w:w="38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James A. Dowd</w:t>
            </w:r>
          </w:p>
        </w:tc>
        <w:tc>
          <w:tcPr>
            <w:tcW w:w="6680" w:type="dxa"/>
            <w:vAlign w:val="bottom"/>
          </w:tcPr>
          <w:p>
            <w:pPr>
              <w:ind w:left="2480"/>
              <w:spacing w:after="0" w:line="180" w:lineRule="exact"/>
              <w:rPr>
                <w:sz w:val="20"/>
                <w:szCs w:val="20"/>
                <w:color w:val="auto"/>
              </w:rPr>
            </w:pPr>
            <w:r>
              <w:rPr>
                <w:rFonts w:ascii="Times New Roman" w:cs="Times New Roman" w:eastAsia="Times New Roman" w:hAnsi="Times New Roman"/>
                <w:sz w:val="16"/>
                <w:szCs w:val="16"/>
                <w:color w:val="auto"/>
              </w:rPr>
              <w:t>Justin K. Bigham</w:t>
            </w: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668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38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Oswego, New York</w:t>
            </w:r>
          </w:p>
        </w:tc>
        <w:tc>
          <w:tcPr>
            <w:tcW w:w="6680" w:type="dxa"/>
            <w:vAlign w:val="bottom"/>
          </w:tcPr>
          <w:p>
            <w:pPr>
              <w:spacing w:after="0"/>
              <w:rPr>
                <w:sz w:val="24"/>
                <w:szCs w:val="24"/>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6680" w:type="dxa"/>
            <w:vAlign w:val="bottom"/>
          </w:tcPr>
          <w:p>
            <w:pPr>
              <w:spacing w:after="0"/>
              <w:rPr>
                <w:sz w:val="17"/>
                <w:szCs w:val="17"/>
                <w:color w:val="auto"/>
              </w:rPr>
            </w:pPr>
          </w:p>
        </w:tc>
      </w:tr>
      <w:tr>
        <w:trPr>
          <w:trHeight w:val="308"/>
        </w:trPr>
        <w:tc>
          <w:tcPr>
            <w:tcW w:w="3880" w:type="dxa"/>
            <w:vAlign w:val="bottom"/>
          </w:tcPr>
          <w:p>
            <w:pPr>
              <w:spacing w:after="0"/>
              <w:rPr>
                <w:sz w:val="24"/>
                <w:szCs w:val="24"/>
                <w:color w:val="auto"/>
              </w:rPr>
            </w:pPr>
          </w:p>
        </w:tc>
        <w:tc>
          <w:tcPr>
            <w:tcW w:w="6680" w:type="dxa"/>
            <w:vAlign w:val="bottom"/>
          </w:tcPr>
          <w:p>
            <w:pPr>
              <w:jc w:val="right"/>
              <w:ind w:right="4699"/>
              <w:spacing w:after="0"/>
              <w:rPr>
                <w:sz w:val="20"/>
                <w:szCs w:val="20"/>
                <w:color w:val="auto"/>
              </w:rPr>
            </w:pPr>
            <w:r>
              <w:rPr>
                <w:rFonts w:ascii="Times New Roman" w:cs="Times New Roman" w:eastAsia="Times New Roman" w:hAnsi="Times New Roman"/>
                <w:sz w:val="18"/>
                <w:szCs w:val="18"/>
                <w:color w:val="auto"/>
              </w:rPr>
              <w:t>- 55 -</w:t>
            </w:r>
          </w:p>
        </w:tc>
      </w:tr>
      <w:tr>
        <w:trPr>
          <w:trHeight w:val="678"/>
        </w:trPr>
        <w:tc>
          <w:tcPr>
            <w:tcW w:w="3880" w:type="dxa"/>
            <w:vAlign w:val="bottom"/>
            <w:tcBorders>
              <w:bottom w:val="single" w:sz="8" w:color="EEEEEE"/>
            </w:tcBorders>
          </w:tcPr>
          <w:p>
            <w:pPr>
              <w:spacing w:after="0"/>
              <w:rPr>
                <w:sz w:val="24"/>
                <w:szCs w:val="24"/>
                <w:color w:val="auto"/>
              </w:rPr>
            </w:pPr>
          </w:p>
        </w:tc>
        <w:tc>
          <w:tcPr>
            <w:tcW w:w="66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Pathfinder Bancorp, Inc.</w:t>
      </w:r>
    </w:p>
    <w:p>
      <w:pPr>
        <w:spacing w:after="0"/>
        <w:rPr>
          <w:sz w:val="20"/>
          <w:szCs w:val="20"/>
          <w:color w:val="auto"/>
        </w:rPr>
      </w:pPr>
      <w:r>
        <w:rPr>
          <w:rFonts w:ascii="Times New Roman" w:cs="Times New Roman" w:eastAsia="Times New Roman" w:hAnsi="Times New Roman"/>
          <w:sz w:val="16"/>
          <w:szCs w:val="16"/>
          <w:color w:val="auto"/>
        </w:rPr>
        <w:t>Oswego, New York: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statements of condition of Pathfinder Bancorp, Inc. and subsidiaries (collectively, the “Company”) as of December 31, 2024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2023, and the related consolidated statements of income, comprehensive income, changes in shareholders’ equity,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their operations and their cash flows for each of the years in the two-year period ended December 31, 2024, in conformity with accounting principles generally accepted in the United States of America.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3"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9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 or on the accounts or disclosures to which they relate.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 on Loans</w:t>
      </w:r>
    </w:p>
    <w:p>
      <w:pPr>
        <w:spacing w:after="0" w:line="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As described in Notes 1, 5 and 6 to the consolidated financial statements, the Company accounts for an allowance for credit losses on loans in accordance with Financial Accounting Standards Board Accounting Standard Codification (“ASC”) Topic 326, Financial Instruments- Credit Losses. ASC 326 requires the Company's loan portfolio, measured at amortized cost, to be presented at the net amount expected to be collected. Estimates of expected credit losses for loans are based on evaluation of the size of the portfolio, current risk characteristics, past events, current conditions, reasonable and supportable forecasts of future economic conditions and prepayment experience. The provision for credit loss for the year ended December 31, 2024 was $11.1 million and the allowance for credit losses on loans as of December 31, 2024 was $17.2 million.</w:t>
      </w:r>
    </w:p>
    <w:p>
      <w:pPr>
        <w:spacing w:after="0" w:line="7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Company’s methodology for estimating the allowance for credit losses on loans includes quantitative and qualitative components of the calculation. The Company’s loan portfolio is segmented by loan types that behave similarly during economic cycles. The quantitative analysis includes using a discounted cash flow (“DCF”) model for determining the allowance for credit losses. Economic forecasts are used in the model to estimate the probability of default and loss given default through regression which are key inputs into the DCF model calculation. Quantitative model assumptions include, but are not limited to the discount rate, prepayment speeds, and curtailments. The quantitative model output is adjusted with qualitative adjustments. Management develops a qualitative framework that serves as the basis for determining the reasonableness of the model’s output and makes qualitative adjustments as necessary. The allowance for credit loss methodology is inherently complex and requires the use of significant management judgment.</w:t>
      </w:r>
    </w:p>
    <w:p>
      <w:pPr>
        <w:spacing w:after="0" w:line="7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5"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6"/>
          <w:szCs w:val="16"/>
          <w:color w:val="auto"/>
        </w:rPr>
        <w:t>We determined that auditing the allowance for credit losses on loans was a critical audit matter because of the extent of auditor judgment applied and significant audit effort to evaluate the significant subjective and complex judgments made by management throughout the application processes, including segmentation, the economic forecasts used to calculate the regressions within the DCF model, the quantitative model assumptions as mentioned above, and the qualitative adjustments made using the qualitative framework</w:t>
      </w:r>
      <w:r>
        <w:rPr>
          <w:rFonts w:ascii="Arial" w:cs="Arial" w:eastAsia="Arial" w:hAnsi="Arial"/>
          <w:sz w:val="16"/>
          <w:szCs w:val="16"/>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audit procedures performed to address this critical audit matter included the following:</w:t>
      </w:r>
    </w:p>
    <w:p>
      <w:pPr>
        <w:spacing w:after="0" w:line="92"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6"/>
          <w:szCs w:val="16"/>
          <w:color w:val="auto"/>
        </w:rPr>
        <w:t>•Evaluated management’s judgments and assumptions related to the selection of the model including evaluating the conceptual design of the model and the mathematical accuracy of the model;</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•Evaluated the relevance and reliability of the data used in the model;</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•Evaluated the composition of the peer group selected by the Company and the methodology for making this determination;</w:t>
      </w:r>
    </w:p>
    <w:p>
      <w:pPr>
        <w:spacing w:after="0" w:line="92" w:lineRule="exact"/>
        <w:rPr>
          <w:sz w:val="20"/>
          <w:szCs w:val="20"/>
          <w:color w:val="auto"/>
        </w:rPr>
      </w:pPr>
    </w:p>
    <w:p>
      <w:pPr>
        <w:ind w:left="480" w:right="340"/>
        <w:spacing w:after="0" w:line="259" w:lineRule="auto"/>
        <w:rPr>
          <w:sz w:val="20"/>
          <w:szCs w:val="20"/>
          <w:color w:val="auto"/>
        </w:rPr>
      </w:pPr>
      <w:r>
        <w:rPr>
          <w:rFonts w:ascii="Times New Roman" w:cs="Times New Roman" w:eastAsia="Times New Roman" w:hAnsi="Times New Roman"/>
          <w:sz w:val="16"/>
          <w:szCs w:val="16"/>
          <w:color w:val="auto"/>
        </w:rPr>
        <w:t>•Evaluated management’s judgments and assumptions used in the formation of the qualitative factor framework, including the relevance and reliability of internal and external data used in their formulation;</w:t>
      </w:r>
    </w:p>
    <w:p>
      <w:pPr>
        <w:spacing w:after="0" w:line="59"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•Evaluated the relevance and reliability of the internal and external data used in the development of qualitative adjustments and the effect of those adjustments;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•Evaluated the selection and use of a third-party service organization and specialist in assisting with the collective ACL on loans.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2011.</w:t>
      </w:r>
    </w:p>
    <w:p>
      <w:pPr>
        <w:spacing w:after="0" w:line="1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/s/ BONADIO &amp; CO., LLP</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Bonadio &amp; Co., LLP</w:t>
      </w:r>
    </w:p>
    <w:p>
      <w:pPr>
        <w:ind w:left="20"/>
        <w:spacing w:after="0" w:line="234" w:lineRule="auto"/>
        <w:rPr>
          <w:sz w:val="20"/>
          <w:szCs w:val="20"/>
          <w:color w:val="auto"/>
        </w:rPr>
      </w:pPr>
      <w:r>
        <w:rPr>
          <w:rFonts w:ascii="Times New Roman" w:cs="Times New Roman" w:eastAsia="Times New Roman" w:hAnsi="Times New Roman"/>
          <w:sz w:val="16"/>
          <w:szCs w:val="16"/>
          <w:color w:val="auto"/>
        </w:rPr>
        <w:t>Syracuse, New York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March 31, 2025</w:t>
      </w:r>
    </w:p>
    <w:p>
      <w:pPr>
        <w:spacing w:after="0" w:line="200" w:lineRule="exact"/>
        <w:rPr>
          <w:sz w:val="20"/>
          <w:szCs w:val="20"/>
          <w:color w:val="auto"/>
        </w:rPr>
      </w:pPr>
    </w:p>
    <w:p>
      <w:pPr>
        <w:spacing w:after="0" w:line="2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440" w:right="82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Condition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December 31,</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66"/>
        </w:trPr>
        <w:tc>
          <w:tcPr>
            <w:tcW w:w="69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13,963</w:t>
            </w: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12,338</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deposits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17,609</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36,394</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31,572</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48,732</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Available-for-sale securities, at fair value</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269,331</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258,716</w:t>
            </w:r>
          </w:p>
        </w:tc>
        <w:tc>
          <w:tcPr>
            <w:tcW w:w="0" w:type="dxa"/>
            <w:vAlign w:val="bottom"/>
          </w:tcPr>
          <w:p>
            <w:pPr>
              <w:spacing w:after="0"/>
              <w:rPr>
                <w:sz w:val="1"/>
                <w:szCs w:val="1"/>
                <w:color w:val="auto"/>
              </w:rPr>
            </w:pPr>
          </w:p>
        </w:tc>
      </w:tr>
      <w:tr>
        <w:trPr>
          <w:trHeight w:val="22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Held-to-maturity securities, at amortized cost (fair value of $151,023 and $168,034, respectively)</w:t>
            </w:r>
          </w:p>
        </w:tc>
        <w:tc>
          <w:tcPr>
            <w:tcW w:w="1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158,683</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179,286</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equity securities, at fair value</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4,076</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3,206</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Federal Home Loan Bank stock, at cost</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4,590</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8,748</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net of deferred fees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918,986</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897,207</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17,243</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15,975</w:t>
            </w:r>
          </w:p>
        </w:tc>
        <w:tc>
          <w:tcPr>
            <w:tcW w:w="0" w:type="dxa"/>
            <w:vAlign w:val="bottom"/>
          </w:tcPr>
          <w:p>
            <w:pPr>
              <w:spacing w:after="0"/>
              <w:rPr>
                <w:sz w:val="1"/>
                <w:szCs w:val="1"/>
                <w:color w:val="auto"/>
              </w:rPr>
            </w:pPr>
          </w:p>
        </w:tc>
      </w:tr>
      <w:tr>
        <w:trPr>
          <w:trHeight w:val="168"/>
        </w:trPr>
        <w:tc>
          <w:tcPr>
            <w:tcW w:w="6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receivable, net</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901,743</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881,232</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19,009</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18,441</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Assets held-for-sale</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3,042</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1,391</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1,526</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16,676</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4,073</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6,881</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7,286</w:t>
            </w:r>
          </w:p>
        </w:tc>
        <w:tc>
          <w:tcPr>
            <w:tcW w:w="0" w:type="dxa"/>
            <w:vAlign w:val="bottom"/>
          </w:tcPr>
          <w:p>
            <w:pPr>
              <w:spacing w:after="0"/>
              <w:rPr>
                <w:sz w:val="1"/>
                <w:szCs w:val="1"/>
                <w:color w:val="auto"/>
              </w:rPr>
            </w:pPr>
          </w:p>
        </w:tc>
      </w:tr>
      <w:tr>
        <w:trPr>
          <w:trHeight w:val="188"/>
        </w:trPr>
        <w:tc>
          <w:tcPr>
            <w:tcW w:w="6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Foreclosed real estate</w:t>
            </w:r>
          </w:p>
        </w:tc>
        <w:tc>
          <w:tcPr>
            <w:tcW w:w="118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12"/>
        </w:trPr>
        <w:tc>
          <w:tcPr>
            <w:tcW w:w="69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5,989</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5,056</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4,536</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Bank owned life insurance</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24,727</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24,641</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25,150</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22,097</w:t>
            </w:r>
          </w:p>
        </w:tc>
        <w:tc>
          <w:tcPr>
            <w:tcW w:w="0" w:type="dxa"/>
            <w:vAlign w:val="bottom"/>
          </w:tcPr>
          <w:p>
            <w:pPr>
              <w:spacing w:after="0"/>
              <w:rPr>
                <w:sz w:val="1"/>
                <w:szCs w:val="1"/>
                <w:color w:val="auto"/>
              </w:rPr>
            </w:pPr>
          </w:p>
        </w:tc>
      </w:tr>
      <w:tr>
        <w:trPr>
          <w:trHeight w:val="208"/>
        </w:trPr>
        <w:tc>
          <w:tcPr>
            <w:tcW w:w="69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1,474,874</w:t>
            </w:r>
          </w:p>
        </w:tc>
        <w:tc>
          <w:tcPr>
            <w:tcW w:w="3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1,465,798</w:t>
            </w:r>
          </w:p>
        </w:tc>
        <w:tc>
          <w:tcPr>
            <w:tcW w:w="0" w:type="dxa"/>
            <w:vAlign w:val="bottom"/>
          </w:tcPr>
          <w:p>
            <w:pPr>
              <w:spacing w:after="0"/>
              <w:rPr>
                <w:sz w:val="1"/>
                <w:szCs w:val="1"/>
                <w:color w:val="auto"/>
              </w:rPr>
            </w:pPr>
          </w:p>
        </w:tc>
      </w:tr>
      <w:tr>
        <w:trPr>
          <w:trHeight w:val="144"/>
        </w:trPr>
        <w:tc>
          <w:tcPr>
            <w:tcW w:w="6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Interest-bearing</w:t>
            </w: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990,805</w:t>
            </w: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949,898</w:t>
            </w:r>
          </w:p>
        </w:tc>
        <w:tc>
          <w:tcPr>
            <w:tcW w:w="0" w:type="dxa"/>
            <w:vAlign w:val="bottom"/>
          </w:tcPr>
          <w:p>
            <w:pPr>
              <w:spacing w:after="0"/>
              <w:rPr>
                <w:sz w:val="1"/>
                <w:szCs w:val="1"/>
                <w:color w:val="auto"/>
              </w:rPr>
            </w:pPr>
          </w:p>
        </w:tc>
      </w:tr>
      <w:tr>
        <w:trPr>
          <w:trHeight w:val="168"/>
        </w:trPr>
        <w:tc>
          <w:tcPr>
            <w:tcW w:w="6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213,719</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170,169</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deposits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1,204,524</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1,120,067</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borrowings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61,000</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125,680</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Long-term borrowings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27,068</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49,919</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Subordinated debt</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30,107</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29,914</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546</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2,245</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1,591</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16,745</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4,381</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11,810</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1,353,391</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1,345,542</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4"/>
                <w:szCs w:val="14"/>
                <w:color w:val="auto"/>
              </w:rPr>
              <w:t>Voting common stock, par value $0.01; 25,000,000 authorized shares; 4,745,366 and 4,719,288 shares</w:t>
            </w:r>
          </w:p>
        </w:tc>
        <w:tc>
          <w:tcPr>
            <w:tcW w:w="1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issued and outstanding, respectively</w:t>
            </w:r>
          </w:p>
        </w:tc>
        <w:tc>
          <w:tcPr>
            <w:tcW w:w="1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47</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6"/>
        </w:trPr>
        <w:tc>
          <w:tcPr>
            <w:tcW w:w="69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Non-Voting common stock, par value $0.01; 1,505,283 authorized shares; 1,380,283 shares</w:t>
            </w: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 and outstanding, respectively</w:t>
            </w:r>
          </w:p>
        </w:tc>
        <w:tc>
          <w:tcPr>
            <w:tcW w:w="11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52,750</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53,114</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77,816</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76,060</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(9,144)</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(9,605)</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Unearned ESOP shares</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Pathfinder Bancorp, Inc. shareholders' equity</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121,483</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119,495</w:t>
            </w:r>
          </w:p>
        </w:tc>
        <w:tc>
          <w:tcPr>
            <w:tcW w:w="0" w:type="dxa"/>
            <w:vAlign w:val="bottom"/>
          </w:tcPr>
          <w:p>
            <w:pPr>
              <w:spacing w:after="0"/>
              <w:rPr>
                <w:sz w:val="1"/>
                <w:szCs w:val="1"/>
                <w:color w:val="auto"/>
              </w:rPr>
            </w:pPr>
          </w:p>
        </w:tc>
      </w:tr>
      <w:tr>
        <w:trPr>
          <w:trHeight w:val="168"/>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68"/>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equity</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121,483</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120,256</w:t>
            </w:r>
          </w:p>
        </w:tc>
        <w:tc>
          <w:tcPr>
            <w:tcW w:w="0" w:type="dxa"/>
            <w:vAlign w:val="bottom"/>
          </w:tcPr>
          <w:p>
            <w:pPr>
              <w:spacing w:after="0"/>
              <w:rPr>
                <w:sz w:val="1"/>
                <w:szCs w:val="1"/>
                <w:color w:val="auto"/>
              </w:rPr>
            </w:pPr>
          </w:p>
        </w:tc>
      </w:tr>
      <w:tr>
        <w:trPr>
          <w:trHeight w:val="168"/>
        </w:trPr>
        <w:tc>
          <w:tcPr>
            <w:tcW w:w="6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1,474,874</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1,465,798</w:t>
            </w: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940" w:type="dxa"/>
            <w:vAlign w:val="bottom"/>
          </w:tcPr>
          <w:p>
            <w:pPr>
              <w:spacing w:after="0"/>
              <w:rPr>
                <w:sz w:val="13"/>
                <w:szCs w:val="13"/>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For the year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52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December 31, 2024</w:t>
            </w:r>
          </w:p>
        </w:tc>
        <w:tc>
          <w:tcPr>
            <w:tcW w:w="520" w:type="dxa"/>
            <w:vAlign w:val="bottom"/>
          </w:tcPr>
          <w:p>
            <w:pPr>
              <w:spacing w:after="0"/>
              <w:rPr>
                <w:sz w:val="14"/>
                <w:szCs w:val="14"/>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December 31, 2023</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and dividend income:</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including fees</w:t>
            </w:r>
          </w:p>
        </w:tc>
        <w:tc>
          <w:tcPr>
            <w:tcW w:w="194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52,705</w:t>
            </w:r>
          </w:p>
        </w:tc>
        <w:tc>
          <w:tcPr>
            <w:tcW w:w="5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47,348</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Debt securities: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Taxable</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22,319</w:t>
            </w:r>
          </w:p>
        </w:tc>
        <w:tc>
          <w:tcPr>
            <w:tcW w:w="52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17,500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Tax-exempt</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1,920</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1,947</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620</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Federal funds sold and interest earning deposits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793</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interest and dividend income</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78,357</w:t>
            </w:r>
          </w:p>
        </w:tc>
        <w:tc>
          <w:tcPr>
            <w:tcW w:w="52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67,663</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on deposits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30,493</w:t>
            </w:r>
          </w:p>
        </w:tc>
        <w:tc>
          <w:tcPr>
            <w:tcW w:w="52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23,265</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on short-term borrowings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4,176</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2,688</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on long-term borrowings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733</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on subordinated debt</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1,966</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1,941</w:t>
            </w: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interest expense</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37,368</w:t>
            </w:r>
          </w:p>
        </w:tc>
        <w:tc>
          <w:tcPr>
            <w:tcW w:w="52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28,744</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interest income</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40,989</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38,919</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Provision for (benefit from) credit losses:</w:t>
            </w:r>
          </w:p>
        </w:tc>
        <w:tc>
          <w:tcPr>
            <w:tcW w:w="1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Loans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11,106</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2,991</w:t>
            </w: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Held-to-maturity securities</w:t>
            </w:r>
          </w:p>
        </w:tc>
        <w:tc>
          <w:tcPr>
            <w:tcW w:w="1940" w:type="dxa"/>
            <w:vAlign w:val="bottom"/>
          </w:tcPr>
          <w:p>
            <w:pPr>
              <w:spacing w:after="0"/>
              <w:rPr>
                <w:sz w:val="13"/>
                <w:szCs w:val="13"/>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w:t>
            </w:r>
          </w:p>
        </w:tc>
        <w:tc>
          <w:tcPr>
            <w:tcW w:w="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Unfunded commitments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provision for credit losses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10,973</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2,930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30,016</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35,989</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1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1,436</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1,249</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and gain on bank owned life insurance</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854</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Loan servicing fees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375</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(Losses) gains on sales and redemptions of investment securities</w:t>
            </w:r>
          </w:p>
        </w:tc>
        <w:tc>
          <w:tcPr>
            <w:tcW w:w="1940" w:type="dxa"/>
            <w:vAlign w:val="bottom"/>
          </w:tcPr>
          <w:p>
            <w:pPr>
              <w:spacing w:after="0"/>
              <w:rPr>
                <w:sz w:val="13"/>
                <w:szCs w:val="13"/>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(71)</w:t>
            </w:r>
          </w:p>
        </w:tc>
        <w:tc>
          <w:tcPr>
            <w:tcW w:w="52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Gain on sale of subsidiary</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3,169</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 (losses) on marketable equity securities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197</w:t>
            </w:r>
          </w:p>
        </w:tc>
        <w:tc>
          <w:tcPr>
            <w:tcW w:w="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(255 )</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Gains on sales of loans and foreclosed real estate</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187</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Losses on sale of premises and equipment</w:t>
            </w:r>
          </w:p>
        </w:tc>
        <w:tc>
          <w:tcPr>
            <w:tcW w:w="1940" w:type="dxa"/>
            <w:vAlign w:val="bottom"/>
          </w:tcPr>
          <w:p>
            <w:pPr>
              <w:spacing w:after="0"/>
              <w:rPr>
                <w:sz w:val="13"/>
                <w:szCs w:val="13"/>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Debit card interchange fees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875</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616</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Insurance agency revenue</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1,073</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1,304</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charges, commissions &amp; fees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1,479</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1,096</w:t>
            </w:r>
          </w:p>
        </w:tc>
        <w:tc>
          <w:tcPr>
            <w:tcW w:w="0" w:type="dxa"/>
            <w:vAlign w:val="bottom"/>
          </w:tcPr>
          <w:p>
            <w:pPr>
              <w:spacing w:after="0"/>
              <w:rPr>
                <w:sz w:val="1"/>
                <w:szCs w:val="1"/>
                <w:color w:val="auto"/>
              </w:rPr>
            </w:pPr>
          </w:p>
        </w:tc>
      </w:tr>
      <w:tr>
        <w:trPr>
          <w:trHeight w:val="156"/>
        </w:trPr>
        <w:tc>
          <w:tcPr>
            <w:tcW w:w="5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noninterest income</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9,561</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5,190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17,810</w:t>
            </w:r>
          </w:p>
        </w:tc>
        <w:tc>
          <w:tcPr>
            <w:tcW w:w="52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15,920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Building and occupancy</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4,118</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3,563</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Data processing</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2,471</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Professional and other services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3,686</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Advertising</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604</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671</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FDIC assessments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916</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885</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Audits and exams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539</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Insurance agency expense</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1,281</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1,033</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Community service activities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130</w:t>
            </w:r>
          </w:p>
        </w:tc>
        <w:tc>
          <w:tcPr>
            <w:tcW w:w="52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Foreclosed real estate expenses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102</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1940" w:type="dxa"/>
            <w:vAlign w:val="bottom"/>
          </w:tcPr>
          <w:p>
            <w:pPr>
              <w:spacing w:after="0"/>
              <w:rPr>
                <w:sz w:val="15"/>
                <w:szCs w:val="15"/>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2,760</w:t>
            </w:r>
          </w:p>
        </w:tc>
        <w:tc>
          <w:tcPr>
            <w:tcW w:w="520" w:type="dxa"/>
            <w:vAlign w:val="bottom"/>
          </w:tcPr>
          <w:p>
            <w:pPr>
              <w:spacing w:after="0"/>
              <w:rPr>
                <w:sz w:val="15"/>
                <w:szCs w:val="15"/>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2,240</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34,417</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29,395</w:t>
            </w: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194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5,160</w:t>
            </w:r>
          </w:p>
        </w:tc>
        <w:tc>
          <w:tcPr>
            <w:tcW w:w="52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11,784</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332</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2,362</w:t>
            </w:r>
          </w:p>
        </w:tc>
        <w:tc>
          <w:tcPr>
            <w:tcW w:w="0" w:type="dxa"/>
            <w:vAlign w:val="bottom"/>
          </w:tcPr>
          <w:p>
            <w:pPr>
              <w:spacing w:after="0"/>
              <w:rPr>
                <w:sz w:val="1"/>
                <w:szCs w:val="1"/>
                <w:color w:val="auto"/>
              </w:rPr>
            </w:pPr>
          </w:p>
        </w:tc>
      </w:tr>
      <w:tr>
        <w:trPr>
          <w:trHeight w:val="142"/>
        </w:trPr>
        <w:tc>
          <w:tcPr>
            <w:tcW w:w="55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Net income attributable to noncontrolling interest and</w:t>
            </w:r>
          </w:p>
        </w:tc>
        <w:tc>
          <w:tcPr>
            <w:tcW w:w="1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5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Pathfinder Bancorp, Inc.</w:t>
            </w:r>
          </w:p>
        </w:tc>
        <w:tc>
          <w:tcPr>
            <w:tcW w:w="1940" w:type="dxa"/>
            <w:vAlign w:val="bottom"/>
          </w:tcPr>
          <w:p>
            <w:pPr>
              <w:spacing w:after="0"/>
              <w:rPr>
                <w:sz w:val="14"/>
                <w:szCs w:val="14"/>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4,828</w:t>
            </w:r>
          </w:p>
        </w:tc>
        <w:tc>
          <w:tcPr>
            <w:tcW w:w="520" w:type="dxa"/>
            <w:vAlign w:val="bottom"/>
          </w:tcPr>
          <w:p>
            <w:pPr>
              <w:spacing w:after="0"/>
              <w:rPr>
                <w:sz w:val="14"/>
                <w:szCs w:val="14"/>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9,422</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19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1,445</w:t>
            </w:r>
          </w:p>
        </w:tc>
        <w:tc>
          <w:tcPr>
            <w:tcW w:w="5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Pathfinder Bancorp Inc.</w:t>
            </w:r>
          </w:p>
        </w:tc>
        <w:tc>
          <w:tcPr>
            <w:tcW w:w="1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3,383</w:t>
            </w:r>
          </w:p>
        </w:tc>
        <w:tc>
          <w:tcPr>
            <w:tcW w:w="5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9,293</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52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Voting Earnings per common share - basic and diluted</w:t>
            </w:r>
          </w:p>
        </w:tc>
        <w:tc>
          <w:tcPr>
            <w:tcW w:w="1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0.54</w:t>
            </w:r>
          </w:p>
        </w:tc>
        <w:tc>
          <w:tcPr>
            <w:tcW w:w="5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tcBorders>
              <w:bottom w:val="single" w:sz="8" w:color="auto"/>
            </w:tcBorders>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Series A Non-Voting Earnings per common share- basic and diluted</w:t>
            </w:r>
          </w:p>
        </w:tc>
        <w:tc>
          <w:tcPr>
            <w:tcW w:w="1940" w:type="dxa"/>
            <w:vAlign w:val="bottom"/>
            <w:tcBorders>
              <w:bottom w:val="single" w:sz="8" w:color="auto"/>
            </w:tcBorders>
            <w:shd w:val="clear" w:color="auto" w:fill="CFF0FC"/>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FF0FC"/>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0.54</w:t>
            </w:r>
          </w:p>
        </w:tc>
        <w:tc>
          <w:tcPr>
            <w:tcW w:w="520" w:type="dxa"/>
            <w:vAlign w:val="bottom"/>
            <w:tcBorders>
              <w:bottom w:val="single" w:sz="8" w:color="auto"/>
            </w:tcBorders>
            <w:shd w:val="clear" w:color="auto" w:fill="CFF0FC"/>
          </w:tcPr>
          <w:p>
            <w:pPr>
              <w:jc w:val="right"/>
              <w:ind w:right="25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32"/>
        </w:trPr>
        <w:tc>
          <w:tcPr>
            <w:tcW w:w="552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Dividends per common share (Voting and Series A Non-Voting)</w:t>
            </w:r>
          </w:p>
        </w:tc>
        <w:tc>
          <w:tcPr>
            <w:tcW w:w="1940" w:type="dxa"/>
            <w:vAlign w:val="bottom"/>
            <w:tcBorders>
              <w:bottom w:val="single" w:sz="8" w:color="auto"/>
            </w:tcBorders>
          </w:tcPr>
          <w:p>
            <w:pPr>
              <w:jc w:val="right"/>
              <w:ind w:right="15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0.40</w:t>
            </w:r>
          </w:p>
        </w:tc>
        <w:tc>
          <w:tcPr>
            <w:tcW w:w="520" w:type="dxa"/>
            <w:vAlign w:val="bottom"/>
            <w:tcBorders>
              <w:bottom w:val="single" w:sz="8" w:color="auto"/>
            </w:tcBorders>
          </w:tcPr>
          <w:p>
            <w:pPr>
              <w:jc w:val="right"/>
              <w:ind w:right="25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For the years ended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December 31, 2024</w:t>
            </w:r>
          </w:p>
        </w:tc>
        <w:tc>
          <w:tcPr>
            <w:tcW w:w="560" w:type="dxa"/>
            <w:vAlign w:val="bottom"/>
          </w:tcPr>
          <w:p>
            <w:pPr>
              <w:spacing w:after="0"/>
              <w:rPr>
                <w:sz w:val="15"/>
                <w:szCs w:val="15"/>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5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9,422</w:t>
            </w: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Comprehensive Income (Loss)</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Plans:</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Retirement plan net gains recognized in plan expenses</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151</w:t>
            </w: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68"/>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Plan (losses) gains not recognized in plan expenses</w:t>
            </w:r>
          </w:p>
        </w:tc>
        <w:tc>
          <w:tcPr>
            <w:tcW w:w="116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5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gains on retirement plans</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holding (losses) gains arising during the period</w:t>
            </w:r>
          </w:p>
        </w:tc>
        <w:tc>
          <w:tcPr>
            <w:tcW w:w="116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5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Reclassification adjustment for net losses included in net income</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137</w:t>
            </w: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1,932</w:t>
            </w: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gains on available-for-sale securities</w:t>
            </w:r>
          </w:p>
        </w:tc>
        <w:tc>
          <w:tcPr>
            <w:tcW w:w="1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5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3,470</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and hedging activities:</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Unrealized holding gains (losses) arising during the period</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492</w:t>
            </w: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gains (losses) on derivatives and hedging activities</w:t>
            </w:r>
          </w:p>
        </w:tc>
        <w:tc>
          <w:tcPr>
            <w:tcW w:w="1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tax</w:t>
            </w:r>
          </w:p>
        </w:tc>
        <w:tc>
          <w:tcPr>
            <w:tcW w:w="1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624</w:t>
            </w:r>
          </w:p>
        </w:tc>
        <w:tc>
          <w:tcPr>
            <w:tcW w:w="5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3,475</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461</w:t>
            </w:r>
          </w:p>
        </w:tc>
        <w:tc>
          <w:tcPr>
            <w:tcW w:w="5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1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5,289</w:t>
            </w:r>
          </w:p>
        </w:tc>
        <w:tc>
          <w:tcPr>
            <w:tcW w:w="5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11,989</w:t>
            </w: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1,445</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Pathfinder Bancorp, Inc.</w:t>
            </w:r>
          </w:p>
        </w:tc>
        <w:tc>
          <w:tcPr>
            <w:tcW w:w="11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3,844</w:t>
            </w:r>
          </w:p>
        </w:tc>
        <w:tc>
          <w:tcPr>
            <w:tcW w:w="56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11,860</w:t>
            </w:r>
          </w:p>
        </w:tc>
        <w:tc>
          <w:tcPr>
            <w:tcW w:w="0" w:type="dxa"/>
            <w:vAlign w:val="bottom"/>
          </w:tcPr>
          <w:p>
            <w:pPr>
              <w:spacing w:after="0"/>
              <w:rPr>
                <w:sz w:val="1"/>
                <w:szCs w:val="1"/>
                <w:color w:val="auto"/>
              </w:rPr>
            </w:pPr>
          </w:p>
        </w:tc>
      </w:tr>
      <w:tr>
        <w:trPr>
          <w:trHeight w:val="144"/>
        </w:trPr>
        <w:tc>
          <w:tcPr>
            <w:tcW w:w="6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Effect Allocated to Each Component of Other Comprehensive (Loss) Income</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plan net gains recognized in plan expenses</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68"/>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Plan losses (gains) not recognized in plan expenses</w:t>
            </w: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5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holding losses (gains) on available-for-sale securities arising during the period</w:t>
            </w:r>
          </w:p>
        </w:tc>
        <w:tc>
          <w:tcPr>
            <w:tcW w:w="1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56"/>
        </w:trPr>
        <w:tc>
          <w:tcPr>
            <w:tcW w:w="60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Reclassification adjustment for net losses on available-for-sale securities</w:t>
            </w:r>
          </w:p>
        </w:tc>
        <w:tc>
          <w:tcPr>
            <w:tcW w:w="1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included in net income</w:t>
            </w:r>
          </w:p>
        </w:tc>
        <w:tc>
          <w:tcPr>
            <w:tcW w:w="1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5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(gains) losses on derivatives and hedging arising during the period</w:t>
            </w:r>
          </w:p>
        </w:tc>
        <w:tc>
          <w:tcPr>
            <w:tcW w:w="116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5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effect related to other comprehensive income</w:t>
            </w:r>
          </w:p>
        </w:tc>
        <w:tc>
          <w:tcPr>
            <w:tcW w:w="11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56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60" w:name="page61"/>
    <w:bookmarkEnd w:id="60"/>
    <w:p>
      <w:pPr>
        <w:spacing w:after="0" w:line="1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Years ended December 31, 2024 and December 31, 2023</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7"/>
              </w:rPr>
              <w:t>Non-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Accumulat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Voting</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ed Other</w:t>
            </w: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Unearned</w:t>
            </w:r>
          </w:p>
        </w:tc>
        <w:tc>
          <w:tcPr>
            <w:tcW w:w="16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Non-</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Common</w:t>
            </w:r>
          </w:p>
        </w:tc>
        <w:tc>
          <w:tcPr>
            <w:tcW w:w="2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Paid in</w:t>
            </w:r>
          </w:p>
        </w:tc>
        <w:tc>
          <w:tcPr>
            <w:tcW w:w="16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Retained</w:t>
            </w:r>
          </w:p>
        </w:tc>
        <w:tc>
          <w:tcPr>
            <w:tcW w:w="8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Comprehe</w:t>
            </w:r>
          </w:p>
        </w:tc>
        <w:tc>
          <w:tcPr>
            <w:tcW w:w="18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ESOP</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controlling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Earnings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nsive Loss</w:t>
            </w: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5"/>
                <w:szCs w:val="15"/>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spacing w:after="0"/>
              <w:rPr>
                <w:sz w:val="15"/>
                <w:szCs w:val="15"/>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53,114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76,060</w:t>
            </w: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(9,605)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120,256</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3,383</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1,445</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4,828</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461</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ESOP shares earned (18,332 shares)</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Voting common stock dividends declared ($0.40 per share)</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(1,888)</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156"/>
        </w:trPr>
        <w:tc>
          <w:tcPr>
            <w:tcW w:w="362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4"/>
                <w:szCs w:val="14"/>
                <w:color w:val="auto"/>
              </w:rPr>
              <w:t>Non-Voting common stock dividends declared ($0.40 per</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share)</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(552)</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dividends declared ($0.40 per share)</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Deconsolidation of a subsidiary</w:t>
            </w:r>
          </w:p>
        </w:tc>
        <w:tc>
          <w:tcPr>
            <w:tcW w:w="22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6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863</w:t>
            </w:r>
          </w:p>
        </w:tc>
        <w:tc>
          <w:tcPr>
            <w:tcW w:w="16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(2,206)</w:t>
            </w:r>
          </w:p>
        </w:tc>
        <w:tc>
          <w:tcPr>
            <w:tcW w:w="20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0" w:type="dxa"/>
            <w:vAlign w:val="bottom"/>
          </w:tcPr>
          <w:p>
            <w:pPr>
              <w:spacing w:after="0"/>
              <w:rPr>
                <w:sz w:val="1"/>
                <w:szCs w:val="1"/>
                <w:color w:val="auto"/>
              </w:rPr>
            </w:pPr>
          </w:p>
        </w:tc>
      </w:tr>
      <w:tr>
        <w:trPr>
          <w:trHeight w:val="88"/>
        </w:trPr>
        <w:tc>
          <w:tcPr>
            <w:tcW w:w="3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4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64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52,750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77,816</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121,483</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52,101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71,322</w:t>
            </w: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(12,172)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585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111,582</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9,293</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9,422</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2,567</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ESOP shares earned (24,442 shares)</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Voting common stock dividends declared ($0.36 per share)</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(1,680)</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156"/>
        </w:trPr>
        <w:tc>
          <w:tcPr>
            <w:tcW w:w="362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Non-Voting common stock dividends declared ($0.36 per</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w:t>
            </w:r>
          </w:p>
        </w:tc>
        <w:tc>
          <w:tcPr>
            <w:tcW w:w="22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Warrant dividends declared ($0.36 per share)</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Adoption of ASU 2016-13 Current Expected Credit Losses</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(2,134)</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Cumulative effect of affiliate capital allocation</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from affiliates</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8"/>
        </w:trPr>
        <w:tc>
          <w:tcPr>
            <w:tcW w:w="3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53,114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76,060</w:t>
            </w:r>
          </w:p>
        </w:tc>
        <w:tc>
          <w:tcPr>
            <w:tcW w:w="1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(9,605)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120,256</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bl>
      <w:tblPr>
        <w:tblLayout w:type="fixed"/>
        <w:tblInd w:w="0" w:type="dxa"/>
        <w:tblCellMar>
          <w:top w:w="0" w:type="dxa"/>
          <w:left w:w="0" w:type="dxa"/>
          <w:bottom w:w="0" w:type="dxa"/>
          <w:right w:w="0" w:type="dxa"/>
        </w:tblCellMar>
      </w:tblPr>
      <w:tr>
        <w:trPr>
          <w:trHeight w:val="182"/>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tcPr>
          <w:p>
            <w:pPr>
              <w:spacing w:after="0"/>
              <w:rPr>
                <w:sz w:val="15"/>
                <w:szCs w:val="15"/>
                <w:color w:val="auto"/>
              </w:rPr>
            </w:pPr>
          </w:p>
        </w:tc>
        <w:tc>
          <w:tcPr>
            <w:tcW w:w="24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For the years ended December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tcPr>
          <w:p>
            <w:pPr>
              <w:spacing w:after="0"/>
              <w:rPr>
                <w:sz w:val="16"/>
                <w:szCs w:val="16"/>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12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3,383</w:t>
            </w:r>
          </w:p>
        </w:tc>
        <w:tc>
          <w:tcPr>
            <w:tcW w:w="1060" w:type="dxa"/>
            <w:vAlign w:val="bottom"/>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9,293</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Adjustments to reconcile net income (loss) to net cash flows from operating activities: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Provision for credit losses</w:t>
            </w:r>
          </w:p>
        </w:tc>
        <w:tc>
          <w:tcPr>
            <w:tcW w:w="1240" w:type="dxa"/>
            <w:vAlign w:val="bottom"/>
          </w:tcPr>
          <w:p>
            <w:pPr>
              <w:spacing w:after="0"/>
              <w:rPr>
                <w:sz w:val="15"/>
                <w:szCs w:val="15"/>
                <w:color w:val="auto"/>
              </w:rPr>
            </w:pPr>
          </w:p>
        </w:tc>
        <w:tc>
          <w:tcPr>
            <w:tcW w:w="1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10,973</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2,930</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income tax benefit</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(417)</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180"/>
        </w:trPr>
        <w:tc>
          <w:tcPr>
            <w:tcW w:w="6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Proceeds from sales of loans held-for-sale</w:t>
            </w:r>
          </w:p>
        </w:tc>
        <w:tc>
          <w:tcPr>
            <w:tcW w:w="1240" w:type="dxa"/>
            <w:vAlign w:val="bottom"/>
          </w:tcPr>
          <w:p>
            <w:pPr>
              <w:spacing w:after="0"/>
              <w:rPr>
                <w:sz w:val="15"/>
                <w:szCs w:val="15"/>
                <w:color w:val="auto"/>
              </w:rPr>
            </w:pPr>
          </w:p>
        </w:tc>
        <w:tc>
          <w:tcPr>
            <w:tcW w:w="1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6,250</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5,785</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Originations of loans held-for-sale</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(6,101)</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(5,550)</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Realized (gains) losses on sales, redemptions and calls of:</w:t>
            </w: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Foreclosed real estate</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0"/>
        </w:trPr>
        <w:tc>
          <w:tcPr>
            <w:tcW w:w="630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Loss on sale of premises and equipment</w:t>
            </w:r>
          </w:p>
        </w:tc>
        <w:tc>
          <w:tcPr>
            <w:tcW w:w="1240" w:type="dxa"/>
            <w:vAlign w:val="bottom"/>
          </w:tcPr>
          <w:p>
            <w:pPr>
              <w:spacing w:after="0"/>
              <w:rPr>
                <w:sz w:val="15"/>
                <w:szCs w:val="15"/>
                <w:color w:val="auto"/>
              </w:rPr>
            </w:pPr>
          </w:p>
        </w:tc>
        <w:tc>
          <w:tcPr>
            <w:tcW w:w="1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Loans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180"/>
        </w:trPr>
        <w:tc>
          <w:tcPr>
            <w:tcW w:w="630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Available-for-sale investment securities</w:t>
            </w:r>
          </w:p>
        </w:tc>
        <w:tc>
          <w:tcPr>
            <w:tcW w:w="1240" w:type="dxa"/>
            <w:vAlign w:val="bottom"/>
          </w:tcPr>
          <w:p>
            <w:pPr>
              <w:spacing w:after="0"/>
              <w:rPr>
                <w:sz w:val="15"/>
                <w:szCs w:val="15"/>
                <w:color w:val="auto"/>
              </w:rPr>
            </w:pPr>
          </w:p>
        </w:tc>
        <w:tc>
          <w:tcPr>
            <w:tcW w:w="1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10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Held-to-maturity investment securities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80"/>
        </w:trPr>
        <w:tc>
          <w:tcPr>
            <w:tcW w:w="630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1240" w:type="dxa"/>
            <w:vAlign w:val="bottom"/>
          </w:tcPr>
          <w:p>
            <w:pPr>
              <w:spacing w:after="0"/>
              <w:rPr>
                <w:sz w:val="15"/>
                <w:szCs w:val="15"/>
                <w:color w:val="auto"/>
              </w:rPr>
            </w:pPr>
          </w:p>
        </w:tc>
        <w:tc>
          <w:tcPr>
            <w:tcW w:w="1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Gain on sale of subsidiary, attributable to Pathfinder Bancorp, Inc.</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(1,504)</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tcPr>
          <w:p>
            <w:pPr>
              <w:spacing w:after="0"/>
              <w:rPr>
                <w:sz w:val="15"/>
                <w:szCs w:val="15"/>
                <w:color w:val="auto"/>
              </w:rPr>
            </w:pPr>
          </w:p>
        </w:tc>
        <w:tc>
          <w:tcPr>
            <w:tcW w:w="1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1,344</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mortgage servicing rights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deferred loan fees and costs</w:t>
            </w:r>
          </w:p>
        </w:tc>
        <w:tc>
          <w:tcPr>
            <w:tcW w:w="1240" w:type="dxa"/>
            <w:vAlign w:val="bottom"/>
          </w:tcPr>
          <w:p>
            <w:pPr>
              <w:spacing w:after="0"/>
              <w:rPr>
                <w:sz w:val="15"/>
                <w:szCs w:val="15"/>
                <w:color w:val="auto"/>
              </w:rPr>
            </w:pPr>
          </w:p>
        </w:tc>
        <w:tc>
          <w:tcPr>
            <w:tcW w:w="1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10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operating leases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fees from subordinated debt</w:t>
            </w:r>
          </w:p>
        </w:tc>
        <w:tc>
          <w:tcPr>
            <w:tcW w:w="1240" w:type="dxa"/>
            <w:vAlign w:val="bottom"/>
          </w:tcPr>
          <w:p>
            <w:pPr>
              <w:spacing w:after="0"/>
              <w:rPr>
                <w:sz w:val="15"/>
                <w:szCs w:val="15"/>
                <w:color w:val="auto"/>
              </w:rPr>
            </w:pPr>
          </w:p>
        </w:tc>
        <w:tc>
          <w:tcPr>
            <w:tcW w:w="1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(Losses) earnings on bank owned life insurance</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amortization of premiums and discounts on investment securities</w:t>
            </w:r>
          </w:p>
        </w:tc>
        <w:tc>
          <w:tcPr>
            <w:tcW w:w="1240" w:type="dxa"/>
            <w:vAlign w:val="bottom"/>
          </w:tcPr>
          <w:p>
            <w:pPr>
              <w:spacing w:after="0"/>
              <w:rPr>
                <w:sz w:val="15"/>
                <w:szCs w:val="15"/>
                <w:color w:val="auto"/>
              </w:rPr>
            </w:pPr>
          </w:p>
        </w:tc>
        <w:tc>
          <w:tcPr>
            <w:tcW w:w="1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1,785</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intangible assets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Stock based compensation and ESOP expense</w:t>
            </w:r>
          </w:p>
        </w:tc>
        <w:tc>
          <w:tcPr>
            <w:tcW w:w="1240" w:type="dxa"/>
            <w:vAlign w:val="bottom"/>
          </w:tcPr>
          <w:p>
            <w:pPr>
              <w:spacing w:after="0"/>
              <w:rPr>
                <w:sz w:val="15"/>
                <w:szCs w:val="15"/>
                <w:color w:val="auto"/>
              </w:rPr>
            </w:pPr>
          </w:p>
        </w:tc>
        <w:tc>
          <w:tcPr>
            <w:tcW w:w="1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247</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change in accrued interest receivable</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405</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change in other assets and liabilities</w:t>
            </w:r>
          </w:p>
        </w:tc>
        <w:tc>
          <w:tcPr>
            <w:tcW w:w="1240" w:type="dxa"/>
            <w:vAlign w:val="bottom"/>
          </w:tcPr>
          <w:p>
            <w:pPr>
              <w:spacing w:after="0"/>
              <w:rPr>
                <w:sz w:val="15"/>
                <w:szCs w:val="15"/>
                <w:color w:val="auto"/>
              </w:rPr>
            </w:pPr>
          </w:p>
        </w:tc>
        <w:tc>
          <w:tcPr>
            <w:tcW w:w="1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(2,594)</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b w:val="1"/>
                <w:bCs w:val="1"/>
                <w:color w:val="auto"/>
              </w:rPr>
              <w:t>Net cash inflows from operating activities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11,209</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15,432</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INVESTING ACTIVITIES</w:t>
            </w: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 of available-for-sale securities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(92,883)</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(99,086)</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 of held-to-maturity securities</w:t>
            </w:r>
          </w:p>
        </w:tc>
        <w:tc>
          <w:tcPr>
            <w:tcW w:w="1240" w:type="dxa"/>
            <w:vAlign w:val="bottom"/>
          </w:tcPr>
          <w:p>
            <w:pPr>
              <w:spacing w:after="0"/>
              <w:rPr>
                <w:sz w:val="15"/>
                <w:szCs w:val="15"/>
                <w:color w:val="auto"/>
              </w:rPr>
            </w:pPr>
          </w:p>
        </w:tc>
        <w:tc>
          <w:tcPr>
            <w:tcW w:w="1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(24,665)</w:t>
            </w:r>
          </w:p>
        </w:tc>
        <w:tc>
          <w:tcPr>
            <w:tcW w:w="10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(13,682)</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 of marketable securities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(673)</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 of Federal Home Loan Bank stock</w:t>
            </w:r>
          </w:p>
        </w:tc>
        <w:tc>
          <w:tcPr>
            <w:tcW w:w="1240" w:type="dxa"/>
            <w:vAlign w:val="bottom"/>
          </w:tcPr>
          <w:p>
            <w:pPr>
              <w:spacing w:after="0"/>
              <w:rPr>
                <w:sz w:val="15"/>
                <w:szCs w:val="15"/>
                <w:color w:val="auto"/>
              </w:rPr>
            </w:pPr>
          </w:p>
        </w:tc>
        <w:tc>
          <w:tcPr>
            <w:tcW w:w="1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(14,634)</w:t>
            </w:r>
          </w:p>
        </w:tc>
        <w:tc>
          <w:tcPr>
            <w:tcW w:w="10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(19,738)</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redemption of Federal Home Loan Bank stock</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18,792</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16,972</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maturities and principal reductions of available-for-sale securities</w:t>
            </w:r>
          </w:p>
        </w:tc>
        <w:tc>
          <w:tcPr>
            <w:tcW w:w="1240" w:type="dxa"/>
            <w:vAlign w:val="bottom"/>
          </w:tcPr>
          <w:p>
            <w:pPr>
              <w:spacing w:after="0"/>
              <w:rPr>
                <w:sz w:val="15"/>
                <w:szCs w:val="15"/>
                <w:color w:val="auto"/>
              </w:rPr>
            </w:pPr>
          </w:p>
        </w:tc>
        <w:tc>
          <w:tcPr>
            <w:tcW w:w="1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78,014</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19,960</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maturities and principal reductions of held-to-maturity securities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40,527</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28,138</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sale of subsidiary</w:t>
            </w:r>
          </w:p>
        </w:tc>
        <w:tc>
          <w:tcPr>
            <w:tcW w:w="1240" w:type="dxa"/>
            <w:vAlign w:val="bottom"/>
          </w:tcPr>
          <w:p>
            <w:pPr>
              <w:spacing w:after="0"/>
              <w:rPr>
                <w:sz w:val="15"/>
                <w:szCs w:val="15"/>
                <w:color w:val="auto"/>
              </w:rPr>
            </w:pPr>
          </w:p>
        </w:tc>
        <w:tc>
          <w:tcPr>
            <w:tcW w:w="1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1,155</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sales, redemptions and calls of:</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Available-for-sale securities</w:t>
            </w:r>
          </w:p>
        </w:tc>
        <w:tc>
          <w:tcPr>
            <w:tcW w:w="1240" w:type="dxa"/>
            <w:vAlign w:val="bottom"/>
          </w:tcPr>
          <w:p>
            <w:pPr>
              <w:spacing w:after="0"/>
              <w:rPr>
                <w:sz w:val="15"/>
                <w:szCs w:val="15"/>
                <w:color w:val="auto"/>
              </w:rPr>
            </w:pPr>
          </w:p>
        </w:tc>
        <w:tc>
          <w:tcPr>
            <w:tcW w:w="1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3,276</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17,396</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Held-to-maturity securities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5,082</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80"/>
        </w:trPr>
        <w:tc>
          <w:tcPr>
            <w:tcW w:w="63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Foreclosed real estate</w:t>
            </w:r>
          </w:p>
        </w:tc>
        <w:tc>
          <w:tcPr>
            <w:tcW w:w="1240" w:type="dxa"/>
            <w:vAlign w:val="bottom"/>
          </w:tcPr>
          <w:p>
            <w:pPr>
              <w:spacing w:after="0"/>
              <w:rPr>
                <w:sz w:val="15"/>
                <w:szCs w:val="15"/>
                <w:color w:val="auto"/>
              </w:rPr>
            </w:pPr>
          </w:p>
        </w:tc>
        <w:tc>
          <w:tcPr>
            <w:tcW w:w="1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1060" w:type="dxa"/>
            <w:vAlign w:val="bottom"/>
          </w:tcPr>
          <w:p>
            <w:pPr>
              <w:spacing w:after="0"/>
              <w:rPr>
                <w:sz w:val="15"/>
                <w:szCs w:val="15"/>
                <w:color w:val="auto"/>
              </w:rPr>
            </w:pPr>
          </w:p>
        </w:tc>
        <w:tc>
          <w:tcPr>
            <w:tcW w:w="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change in loans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(31,230)</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core deposit intangible asset</w:t>
            </w:r>
          </w:p>
        </w:tc>
        <w:tc>
          <w:tcPr>
            <w:tcW w:w="1240" w:type="dxa"/>
            <w:vAlign w:val="bottom"/>
          </w:tcPr>
          <w:p>
            <w:pPr>
              <w:spacing w:after="0"/>
              <w:rPr>
                <w:sz w:val="19"/>
                <w:szCs w:val="19"/>
                <w:color w:val="auto"/>
              </w:rPr>
            </w:pPr>
          </w:p>
        </w:tc>
        <w:tc>
          <w:tcPr>
            <w:tcW w:w="1340" w:type="dxa"/>
            <w:vAlign w:val="bottom"/>
          </w:tcPr>
          <w:p>
            <w:pPr>
              <w:jc w:val="right"/>
              <w:ind w:right="22"/>
              <w:spacing w:after="0" w:line="228" w:lineRule="exact"/>
              <w:rPr>
                <w:sz w:val="20"/>
                <w:szCs w:val="20"/>
                <w:color w:val="auto"/>
              </w:rPr>
            </w:pPr>
            <w:r>
              <w:rPr>
                <w:rFonts w:ascii="Times New Roman" w:cs="Times New Roman" w:eastAsia="Times New Roman" w:hAnsi="Times New Roman"/>
                <w:sz w:val="14"/>
                <w:szCs w:val="14"/>
                <w:color w:val="auto"/>
              </w:rPr>
              <w:t>(6,271</w:t>
            </w:r>
            <w:r>
              <w:rPr>
                <w:rFonts w:ascii="Times New Roman" w:cs="Times New Roman" w:eastAsia="Times New Roman" w:hAnsi="Times New Roman"/>
                <w:sz w:val="26"/>
                <w:szCs w:val="26"/>
                <w:color w:val="auto"/>
                <w:vertAlign w:val="subscript"/>
              </w:rPr>
              <w:t>)</w:t>
            </w:r>
          </w:p>
        </w:tc>
        <w:tc>
          <w:tcPr>
            <w:tcW w:w="1060" w:type="dxa"/>
            <w:vAlign w:val="bottom"/>
          </w:tcPr>
          <w:p>
            <w:pPr>
              <w:spacing w:after="0"/>
              <w:rPr>
                <w:sz w:val="19"/>
                <w:szCs w:val="19"/>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sale of premises and equipment</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3,007</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Purchase of premises and equipment</w:t>
            </w:r>
          </w:p>
        </w:tc>
        <w:tc>
          <w:tcPr>
            <w:tcW w:w="1240" w:type="dxa"/>
            <w:vAlign w:val="bottom"/>
          </w:tcPr>
          <w:p>
            <w:pPr>
              <w:spacing w:after="0"/>
              <w:rPr>
                <w:sz w:val="15"/>
                <w:szCs w:val="15"/>
                <w:color w:val="auto"/>
              </w:rPr>
            </w:pPr>
          </w:p>
        </w:tc>
        <w:tc>
          <w:tcPr>
            <w:tcW w:w="1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(2,062)</w:t>
            </w:r>
          </w:p>
        </w:tc>
        <w:tc>
          <w:tcPr>
            <w:tcW w:w="10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b w:val="1"/>
                <w:bCs w:val="1"/>
                <w:color w:val="auto"/>
              </w:rPr>
              <w:t>Net cash outflows from investing activities</w:t>
            </w:r>
          </w:p>
        </w:tc>
        <w:tc>
          <w:tcPr>
            <w:tcW w:w="1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(22,398)</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(54,788)</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62" w:name="page63"/>
    <w:bookmarkEnd w:id="62"/>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7"/>
        </w:trPr>
        <w:tc>
          <w:tcPr>
            <w:tcW w:w="634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Net change in demand deposits, NOW accounts, savings accounts, money management</w:t>
            </w:r>
          </w:p>
        </w:tc>
        <w:tc>
          <w:tcPr>
            <w:tcW w:w="13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93"/>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deposit accounts, MMDA accounts and escrow deposits</w:t>
            </w:r>
          </w:p>
        </w:tc>
        <w:tc>
          <w:tcPr>
            <w:tcW w:w="13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92,109</w:t>
            </w:r>
          </w:p>
        </w:tc>
        <w:tc>
          <w:tcPr>
            <w:tcW w:w="6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(75,254)</w:t>
            </w:r>
          </w:p>
        </w:tc>
      </w:tr>
      <w:tr>
        <w:trPr>
          <w:trHeight w:val="180"/>
        </w:trPr>
        <w:tc>
          <w:tcPr>
            <w:tcW w:w="63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change in time deposits</w:t>
            </w:r>
          </w:p>
        </w:tc>
        <w:tc>
          <w:tcPr>
            <w:tcW w:w="1380" w:type="dxa"/>
            <w:vAlign w:val="bottom"/>
          </w:tcPr>
          <w:p>
            <w:pPr>
              <w:spacing w:after="0"/>
              <w:rPr>
                <w:sz w:val="15"/>
                <w:szCs w:val="15"/>
                <w:color w:val="auto"/>
              </w:rPr>
            </w:pPr>
          </w:p>
        </w:tc>
        <w:tc>
          <w:tcPr>
            <w:tcW w:w="11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98,783</w:t>
            </w:r>
          </w:p>
        </w:tc>
        <w:tc>
          <w:tcPr>
            <w:tcW w:w="64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74,902</w:t>
            </w: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change in brokered deposits</w:t>
            </w:r>
          </w:p>
        </w:tc>
        <w:tc>
          <w:tcPr>
            <w:tcW w:w="1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(106,435)</w:t>
            </w: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(5,011)</w:t>
            </w:r>
          </w:p>
        </w:tc>
      </w:tr>
      <w:tr>
        <w:trPr>
          <w:trHeight w:val="180"/>
        </w:trPr>
        <w:tc>
          <w:tcPr>
            <w:tcW w:w="63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change in short-term borrowings</w:t>
            </w:r>
          </w:p>
        </w:tc>
        <w:tc>
          <w:tcPr>
            <w:tcW w:w="1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(64,680)</w:t>
            </w:r>
          </w:p>
        </w:tc>
        <w:tc>
          <w:tcPr>
            <w:tcW w:w="64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65,347</w:t>
            </w: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Payments on long-term borrowings</w:t>
            </w:r>
          </w:p>
        </w:tc>
        <w:tc>
          <w:tcPr>
            <w:tcW w:w="1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(33,551)</w:t>
            </w: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(12,019)</w:t>
            </w:r>
          </w:p>
        </w:tc>
      </w:tr>
      <w:tr>
        <w:trPr>
          <w:trHeight w:val="180"/>
        </w:trPr>
        <w:tc>
          <w:tcPr>
            <w:tcW w:w="63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long-term borrowings</w:t>
            </w:r>
          </w:p>
        </w:tc>
        <w:tc>
          <w:tcPr>
            <w:tcW w:w="1380" w:type="dxa"/>
            <w:vAlign w:val="bottom"/>
          </w:tcPr>
          <w:p>
            <w:pPr>
              <w:spacing w:after="0"/>
              <w:rPr>
                <w:sz w:val="15"/>
                <w:szCs w:val="15"/>
                <w:color w:val="auto"/>
              </w:rPr>
            </w:pPr>
          </w:p>
        </w:tc>
        <w:tc>
          <w:tcPr>
            <w:tcW w:w="11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10,700</w:t>
            </w:r>
          </w:p>
        </w:tc>
        <w:tc>
          <w:tcPr>
            <w:tcW w:w="64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6,274</w:t>
            </w: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exercise of stock options</w:t>
            </w:r>
          </w:p>
        </w:tc>
        <w:tc>
          <w:tcPr>
            <w:tcW w:w="1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291</w:t>
            </w: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623</w:t>
            </w:r>
          </w:p>
        </w:tc>
      </w:tr>
      <w:tr>
        <w:trPr>
          <w:trHeight w:val="180"/>
        </w:trPr>
        <w:tc>
          <w:tcPr>
            <w:tcW w:w="63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dividends paid to common voting shareholders</w:t>
            </w:r>
          </w:p>
        </w:tc>
        <w:tc>
          <w:tcPr>
            <w:tcW w:w="1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(1,840)</w:t>
            </w:r>
          </w:p>
        </w:tc>
        <w:tc>
          <w:tcPr>
            <w:tcW w:w="64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(1,690)</w:t>
            </w: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dividends paid to common non-voting shareholders</w:t>
            </w:r>
          </w:p>
        </w:tc>
        <w:tc>
          <w:tcPr>
            <w:tcW w:w="1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(538)</w:t>
            </w: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(497)</w:t>
            </w:r>
          </w:p>
        </w:tc>
      </w:tr>
      <w:tr>
        <w:trPr>
          <w:trHeight w:val="180"/>
        </w:trPr>
        <w:tc>
          <w:tcPr>
            <w:tcW w:w="63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dividends paid on warrants</w:t>
            </w:r>
          </w:p>
        </w:tc>
        <w:tc>
          <w:tcPr>
            <w:tcW w:w="1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64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Change in noncontrolling interest, net</w:t>
            </w:r>
          </w:p>
        </w:tc>
        <w:tc>
          <w:tcPr>
            <w:tcW w:w="1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(761)</w:t>
            </w: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176</w:t>
            </w:r>
          </w:p>
        </w:tc>
      </w:tr>
      <w:tr>
        <w:trPr>
          <w:trHeight w:val="180"/>
        </w:trPr>
        <w:tc>
          <w:tcPr>
            <w:tcW w:w="634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b w:val="1"/>
                <w:bCs w:val="1"/>
                <w:color w:val="auto"/>
              </w:rPr>
              <w:t>Net cash (outflows) inflows from financing activities</w:t>
            </w:r>
          </w:p>
        </w:tc>
        <w:tc>
          <w:tcPr>
            <w:tcW w:w="1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(5,971)</w:t>
            </w:r>
          </w:p>
        </w:tc>
        <w:tc>
          <w:tcPr>
            <w:tcW w:w="64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52,806</w:t>
            </w: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Change in cash and cash equivalents</w:t>
            </w:r>
          </w:p>
        </w:tc>
        <w:tc>
          <w:tcPr>
            <w:tcW w:w="1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(17,160)</w:t>
            </w: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13,450</w:t>
            </w:r>
          </w:p>
        </w:tc>
      </w:tr>
      <w:tr>
        <w:trPr>
          <w:trHeight w:val="180"/>
        </w:trPr>
        <w:tc>
          <w:tcPr>
            <w:tcW w:w="63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380" w:type="dxa"/>
            <w:vAlign w:val="bottom"/>
          </w:tcPr>
          <w:p>
            <w:pPr>
              <w:spacing w:after="0"/>
              <w:rPr>
                <w:sz w:val="15"/>
                <w:szCs w:val="15"/>
                <w:color w:val="auto"/>
              </w:rPr>
            </w:pPr>
          </w:p>
        </w:tc>
        <w:tc>
          <w:tcPr>
            <w:tcW w:w="11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48,732</w:t>
            </w:r>
          </w:p>
        </w:tc>
        <w:tc>
          <w:tcPr>
            <w:tcW w:w="64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35,282</w:t>
            </w:r>
          </w:p>
        </w:tc>
      </w:tr>
      <w:tr>
        <w:trPr>
          <w:trHeight w:val="220"/>
        </w:trPr>
        <w:tc>
          <w:tcPr>
            <w:tcW w:w="634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380" w:type="dxa"/>
            <w:vAlign w:val="bottom"/>
            <w:tcBorders>
              <w:bottom w:val="single" w:sz="8" w:color="auto"/>
            </w:tcBorders>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31,572</w:t>
            </w:r>
          </w:p>
        </w:tc>
        <w:tc>
          <w:tcPr>
            <w:tcW w:w="64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48,732</w:t>
            </w:r>
          </w:p>
        </w:tc>
      </w:tr>
      <w:tr>
        <w:trPr>
          <w:trHeight w:val="156"/>
        </w:trPr>
        <w:tc>
          <w:tcPr>
            <w:tcW w:w="63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1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63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38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38,624</w:t>
            </w:r>
          </w:p>
        </w:tc>
        <w:tc>
          <w:tcPr>
            <w:tcW w:w="64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27,474</w:t>
            </w:r>
          </w:p>
        </w:tc>
      </w:tr>
      <w:tr>
        <w:trPr>
          <w:trHeight w:val="180"/>
        </w:trPr>
        <w:tc>
          <w:tcPr>
            <w:tcW w:w="63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taxes</w:t>
            </w:r>
          </w:p>
        </w:tc>
        <w:tc>
          <w:tcPr>
            <w:tcW w:w="1380" w:type="dxa"/>
            <w:vAlign w:val="bottom"/>
          </w:tcPr>
          <w:p>
            <w:pPr>
              <w:spacing w:after="0"/>
              <w:rPr>
                <w:sz w:val="15"/>
                <w:szCs w:val="15"/>
                <w:color w:val="auto"/>
              </w:rPr>
            </w:pPr>
          </w:p>
        </w:tc>
        <w:tc>
          <w:tcPr>
            <w:tcW w:w="11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64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3,159</w:t>
            </w: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NON-CASH INVESTING ACTIVITY</w:t>
            </w:r>
          </w:p>
        </w:tc>
        <w:tc>
          <w:tcPr>
            <w:tcW w:w="1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91"/>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acquired in exchange for loans</w:t>
            </w:r>
          </w:p>
        </w:tc>
        <w:tc>
          <w:tcPr>
            <w:tcW w:w="138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333</w:t>
            </w:r>
          </w:p>
        </w:tc>
      </w:tr>
      <w:tr>
        <w:trPr>
          <w:trHeight w:val="203"/>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7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SUMMARY OF SIGNIFICANT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Nature of Operations</w:t>
      </w:r>
    </w:p>
    <w:p>
      <w:pPr>
        <w:spacing w:after="0" w:line="9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Pathfinder Bancorp, Inc. (the “Company”) and its wholly owned subsidiary, Pathfinder Bank (the “Bank”). The Company is a Maryland corporation headquartered in Oswego, New York. On October 16, 2014, the Company completed its conversion from the mutual holding company structure and the related public offering and is now a stock holding company that is fully owned by the public. As a result of the conversion, the mutual holding company and former mid-tier holding company were merged into Pathfinder Bancorp, Inc. The primary business of the Company is its investment in Pathfinder Bank (the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previously owned, through its wholly owned subsidiary Pathfinder Risk Management Company, Inc., 51% of the membership interest in FitzGibbons Agency, LLC (“Agency”), the Company is required to consolidate 100% of the Agency within the consolidated financial statements. The 49% of the Agency which the Company did not own is accounted for separately as noncontrolling interests within the consolidated financial statements. The Company completed the sale of its majority membership interest in the FitzGibbons Agency to Marshall &amp; Sterling Enterprises, Inc. in October 2024.</w:t>
      </w:r>
    </w:p>
    <w:p>
      <w:pPr>
        <w:spacing w:after="0" w:line="236"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The Company has seven branch offices located in Oswego County, five branch offices in Onondaga County and one limited purpose office in Oneida County. The Company is primarily engaged in the business of attracting deposits from the general public in the Company’s market area, and investing such deposits, together with other sources of funds, in loans secured by commercial real estate, business assets, one-to-four family residential real estate and investment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 in the Preparation of Consolidated Financial Statements</w:t>
      </w:r>
    </w:p>
    <w:p>
      <w:pPr>
        <w:spacing w:after="0" w:line="9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Management has identified the allowance for credit losses, deferred income taxes, pension obligations, the annual evaluation of the Company’s goodwill for possible impairment and the evaluation of investment securities for credit loss impairment and the estimation of fair values for accounting and disclosure purposes to be the accounting areas that require the most subjective and complex judgments, and as such, could be the most subject to revision as new information becomes available.</w:t>
      </w:r>
    </w:p>
    <w:p>
      <w:pPr>
        <w:spacing w:after="0" w:line="4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Company is subject to the regulations of various governmental agencies. The Company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Group Concentrations of Credit Risk</w:t>
      </w:r>
    </w:p>
    <w:p>
      <w:pPr>
        <w:spacing w:after="0" w:line="9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Most of the Company’s activities are with customers located primarily in Oswego and Onondaga counties of New York State. A large portion of the Company’s portfolio is centered in residential and commercial real estate. The Company closely monitors real estate collateral values and requires additional reviews of commercial real estate appraisals by a qualified third party for commercial real estate loans in excess of $400,000. All residential loan appraisals are reviewed by an individual or third party who is independent of the loan origination or approval process and was not involved in the approval of appraisers or selection of the appraiser for the transaction, and has no direct or indirect interest, financial or otherwise in the property or the transaction. Note 4 discusses the types of securities that the Company invests in. Note 5 discusses the types of lending that the Company engages 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generally follows the policy of charging the costs of advertising to expense as incurred. Expenditures for new marketing and advertising material designs and/or media content, related to specifically-identifiable marketing campaigns are capitalized and expensed over the estimated life of the campaign. Such periods of time are generally 12-24 months in duration and do not exceed 36 months.</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5" w:right="680" w:bottom="1440" w:gutter="0" w:footer="0" w:header="0"/>
        </w:sectPr>
      </w:pPr>
    </w:p>
    <w:bookmarkStart w:id="64" w:name="page65"/>
    <w:bookmarkEnd w:id="64"/>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Noncontrolling Interest</w:t>
      </w:r>
    </w:p>
    <w:p>
      <w:pPr>
        <w:spacing w:after="0" w:line="94"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 xml:space="preserve">Noncontrolling interest represented the portion of ownership and profit or loss that is attributable to the minority owners of the FitzGibbons Agency. In accordance with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the noncontrolling interest was reduced to zero on October 1, 2024 as a result of the sale of the FitzGibbons Agency and accounting treatment for deconsolidation of a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include cash on hand, amounts due from banks and interest-bearing deposits (with original maturity of three months or less).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Securities</w:t>
      </w:r>
    </w:p>
    <w:p>
      <w:pPr>
        <w:spacing w:after="0" w:line="94"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The Company classifies investment securities as either available-for-sale or held-to- maturity. The Company does not hold any securities considered to be trading. Available- for-sale securities are reported at fair value, with net unrealized gains and losses reflected as a separate component of shareholders’ equity, net of the applicable income tax effect. Held-to-maturity securities are those that the Company has the ability and intent to hold until maturity and are reported at amortized cost.</w:t>
      </w:r>
    </w:p>
    <w:p>
      <w:pPr>
        <w:spacing w:after="0" w:line="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Gains or losses on investment security transactions are based on the amortized cost of the specific securities sold. Premiums and discounts on securities are amortized and accreted into income using the interest method over the period to maturity.</w:t>
      </w:r>
    </w:p>
    <w:p>
      <w:pPr>
        <w:spacing w:after="0" w:line="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Company records its investment in marketable equity securities (“MES”) at fair value. Changes in the fair value of MES are recorded as additions to, or subtractions from, net income in the period that the change occurs. These changes in fair value are separately disclosed as gains (losses) on equity securities on the Consolidated Statements of Income.</w:t>
      </w:r>
    </w:p>
    <w:p>
      <w:pPr>
        <w:spacing w:after="0" w:line="6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Note 4 to the consolidated financial statements includes additional information about the Company’s accounting policies with respect to the credit loss impairment of investment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Home Loan Bank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Federal law requires a member institution of the Federal Home Loan Bank (“FHLB”) system to hold stock of its district FHLB according to a predetermined formula.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stock is carried at cost.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Transfers of Financial Assets</w:t>
      </w:r>
    </w:p>
    <w:p>
      <w:pPr>
        <w:spacing w:after="0" w:line="9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Transfers of financial assets, including sales of loans and loan participations,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w:t>
      </w:r>
    </w:p>
    <w:p>
      <w:pPr>
        <w:spacing w:after="0" w:line="9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The Company grants mortgage, commercial, municipal, and consumer loans to customers. Loans that management has the intent and ability to hold for the foreseeable future or until maturity or pay -off are stated at their outstanding unpaid principal balances, less the allowance for credit losses plus net deferred loan origination costs. The ability of the Company’s debtors to honor their contracts is dependent upon the real estate and general economic conditions in the market area. Interest income is generally recognized when income is earned using the interest method. Nonrefundable loan fees received and related direct origination costs incurred are deferred and amortized over the life of the loan using the interest method, resulting in a constant effective yield over the loan term. Deferred fees are recognized into income and deferred costs are recorded to income immediately upon prepayment of the related loan.</w:t>
      </w:r>
    </w:p>
    <w:p>
      <w:pPr>
        <w:spacing w:after="0" w:line="77"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loans receivable portfolio is segmented into residential mortgage, commercial and consumer loans. The residential mortgage segment consists of one-to-four family first-lien residential mortgages and construction loans. Commercial loans consist of the following classes: real estate, lines of credit, other commercial and industrial, and tax-exempt loans. Consumer loans include both home equity lines of credit and loans with junior liens and other consumer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Adoption of ASC 326, Financial Instruments - Credit Losses</w:t>
      </w:r>
    </w:p>
    <w:p>
      <w:pPr>
        <w:spacing w:after="0" w:line="9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 xml:space="preserve">In June 2016, the Financial Accounting Standards Board (“FASB”) issued </w:t>
      </w:r>
      <w:r>
        <w:rPr>
          <w:rFonts w:ascii="Times New Roman" w:cs="Times New Roman" w:eastAsia="Times New Roman" w:hAnsi="Times New Roman"/>
          <w:sz w:val="16"/>
          <w:szCs w:val="16"/>
          <w:i w:val="1"/>
          <w:iCs w:val="1"/>
          <w:color w:val="auto"/>
        </w:rPr>
        <w:t>Accounting Standards Update (ASU) 2016-13, Financial Instruments—Credit Losses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326): Measurement of Credit Losses on Financial Instruments</w:t>
      </w:r>
      <w:r>
        <w:rPr>
          <w:rFonts w:ascii="Times New Roman" w:cs="Times New Roman" w:eastAsia="Times New Roman" w:hAnsi="Times New Roman"/>
          <w:sz w:val="16"/>
          <w:szCs w:val="16"/>
          <w:color w:val="auto"/>
        </w:rPr>
        <w:t>, requiring financial institutions, such as the Bank, to adopt the Current Expected Credit Loss (“CECL”)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methodology according to a specified implementation timeline. In order to meet this timeline requirement, the Bank adopted the CECL methodology for calculating its ACL on January 1, 2023. The ACL represents a valuation account that is deducted from the amortized cost basis of includable financial assets to present their net carrying</w:t>
      </w:r>
    </w:p>
    <w:p>
      <w:pPr>
        <w:spacing w:after="0" w:line="7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5" w:name="page66"/>
    <w:bookmarkEnd w:id="65"/>
    <w:p>
      <w:pPr>
        <w:spacing w:after="0" w:line="5"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6"/>
          <w:szCs w:val="16"/>
          <w:color w:val="auto"/>
        </w:rPr>
        <w:t>value at the amount expected to be collected over the entire life of those assets. The income statement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ASC 326 requires credit losses relating to assets such as held-to-maturity debt securities and open contractual funding commitments to be recorded through the ACL.</w:t>
      </w:r>
    </w:p>
    <w:p>
      <w:pPr>
        <w:spacing w:after="0" w:line="7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On January 1, 2023 the Company recorded a one- time CECL transition adjustment (recorded as an adjustment, net of taxes, to retained earnings) of $1.9 million. The $12.4 million CECL ACL at January 1, 2023 was composed of $8.4 million in reserves calculated using quantitative methodologies based on historical loss experience and $4.0 million based on qualitative factors, as determined by management. See Note 6 of the accompanying financial statements for a further discussion of this transition.</w:t>
      </w:r>
    </w:p>
    <w:p>
      <w:pPr>
        <w:spacing w:after="0" w:line="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January 1, 2023 transition to CECL also required that new reserves be created in the amounts of $450,000 and $552,000, related to held-to -maturity investments and unfunded commitments, respectively. Including the $1.9 million CECL transition adjustment related to loans, described above, the total CECL transition adjustment was $2.1 million, net of the effects of tax, on January 1, 2023, which was recorded in retained earnings on that date.</w:t>
      </w:r>
    </w:p>
    <w:p>
      <w:pPr>
        <w:spacing w:after="0" w:line="6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the allowance for credit losses (ACL) represents management’s estimate of losses inherent in credit-exposed asset portfolios, including the loan portfolio, unfunded loan commitments and the investment securities portfolio classified as held-to maturity (HTM). The allowance is increased by the provision for credit losses, and decreased by charge-offs, net of recoveries. The ACL is established as of the date of the statement of condition and it is recorded as a reduction of either loans or HTM securities or as an other liability, in the case of unfunded loan commitments, in accordance with generally accepted accounting principles (GAAP).</w:t>
      </w:r>
    </w:p>
    <w:p>
      <w:pPr>
        <w:spacing w:after="0" w:line="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ACL is evaluated on a regular basis and established through charges to earnings in the form of a provision (benefit) for credit losses. When a loan or portion of a loan is determined to be uncollectible, the portion deemed uncollectible is charged against the allowance and subsequent recoveries, if any, are credited to the allowance. This evaluation is inherently subjective as it requires estimates that are susceptible to significant revision as more information becomes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Segmentation and Collectively Evaluated Loans</w:t>
      </w:r>
    </w:p>
    <w:p>
      <w:pPr>
        <w:spacing w:after="0" w:line="94"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Loans are pooled based on their homogeneous risk characteristics. Once loans have been segmented into pools, a loss rate is applied to the amortized cost basis. The Company has divided its portfolio into discrete segments, as the loans within the segments have similar characteristics. Characteristics considered include: purpose, tenor, amortization, repayment source, payment frequency, collateral and recourse. The Company's identified portfolio segments include commercial loans/lines, commercial mortgages, consumer loans residential lines of credit, and residential loans, as well as certain subcategories of these loan types.</w:t>
      </w:r>
    </w:p>
    <w:p>
      <w:pPr>
        <w:spacing w:after="0" w:line="71"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6"/>
          <w:szCs w:val="16"/>
          <w:color w:val="auto"/>
        </w:rPr>
        <w:t>The Company utilizes the Discounted Cash Flow (“DCF”) method for its pooled segment calculation. The DCF method implements a probability of default with loss given default and loss exposure at default estimation. The probability of default and loss given default are applied to expected future cash flows to the exposures at the projected point of loss occurrence, including estimates of borrower prepayment activity, that are adjusted to present value and these discounted expected losses become the quantitatively-derived portion of the ACL.</w:t>
      </w:r>
    </w:p>
    <w:p>
      <w:pPr>
        <w:spacing w:after="0" w:line="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DCF analysis is reliant upon a variety of loan -level data, peripheral model outputs and key assumptions. The data fields required to create the contractual portion of the forward- looking cash flow schedule relate to the terms of each loan and include information regarding payment amount, payment frequency, interest rate, interest type, maturity date, amortization term, etc. Contractual terms must be adjusted for prepayments to arrive at expected cash flows. The Company modeled amortizing/installment notes with a prepayment rate, annualized to one-year. For loans where principal collection is dominated by borrower election, e.g., lines of credit, interest-only, etc., and not by contractual obligation, the Company modeled a statistical tendency to repay as a curtailment rate, normalized to a one-year rate.</w:t>
      </w:r>
    </w:p>
    <w:p>
      <w:pPr>
        <w:spacing w:after="0" w:line="4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uses forecasts to predict how modeled economic factors will perform. The Company currently elects to forecast economic factors over a period for which it can produce a reliable and defensible forecast from widely accepted economic forecast resources. After the forecast period, the following eight quarters are reverted on a straight- line basis to the economic factor’s average. The Company uses an eight-quarter straight-line reversion to reduce the potential for a spike impact on the model caused by a rapid reversion. Additionally, as the Company is past its point of forecast, a straight-line reversion represents a most-likely scenario absent a reasonable and supportable forecast.</w:t>
      </w:r>
    </w:p>
    <w:p>
      <w:pPr>
        <w:spacing w:after="0" w:line="73"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In the Company’s analysis at the portfolio level, management found that the best model for predicting defaults considers economic metrics such as the National Unemployment Rate, the U.S. Federal Housing Finance Agency National House Price Index and the U.S. Retail Sales Index. With the large number of observations afforded by using peer data, the default curve is less sensitive to unusual loss</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6" w:name="page67"/>
    <w:bookmarkEnd w:id="66"/>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events and has a much smoother shape. These metrics are considered to be extremely strong predictors of defaults and explain almost all variation in the default rate.</w:t>
      </w:r>
    </w:p>
    <w:p>
      <w:pPr>
        <w:spacing w:after="0" w:line="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reserve is calculated based on a life of loan basis. The life of loan is assumed with consideration of prepayments and contractual maturity dates. If a given loan does not have a populated maturity date, based upon historical experience, the Company elected to amortize the loan for a length of time equal to the average life of the loan’s segment before the remaining balance will balloon with the exception of Commercial Demand Lines of Credit where the Company uses one year, reflecting the demand nature of these exposures.</w:t>
      </w:r>
    </w:p>
    <w:p>
      <w:pPr>
        <w:spacing w:after="0" w:line="7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Management quarterly assesses the magnitude of QF adjustments necessary to be applied to the quantitatively-derived ACL in order to incorporate forward-looking projections in its final evaluation of current expected credit losses.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Individually Evaluated Loans</w:t>
      </w:r>
    </w:p>
    <w:p>
      <w:pPr>
        <w:spacing w:after="0" w:line="9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Excluded from pooled analysis are loans to be individually evaluated due to the assets not maintaining similar risk characteristics to those in the designated pool segments. These loans are generally considered to be collateral dependent and, therefore, an analysis of the collateral position versus the collectively evaluated loan discounted cash flow approach better reflects the potential loss. Non-collateral dependent loans follow the discontinued cash flow model. Individually evaluated loans include: loans over 90 days past due, loans to borrowers experiencing financial difficulty, loans placed on non-accrual status and classified assets with exposure greater than $300,000 for residential and consumer loans, and $100,000 for commercial lines and loans, commercial real estate and tax-exempt loans.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Held to Maturity (“HTM”) Debt Securities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Company’s HTM debt securities are also required to utilize the current expected credit losses approach to estimate expected credit losses. The Company’s HTM debt securities included securities that are issued by U.S. government agencies or U.S. government-sponsored enterprises. These securities carry the explicit and/or implicit guarantee of the U.S. government, are widely recognized as “risk free,” and have a long history of zero credit loss. The Company also carries a portfolio of HTM municipal bonds and privately issued mortgage- and asset-backed securities. The Company measures its allowance for credit losses on HTM debt securities on a collective basis by major security type. The estimate of credit loss is based on historical credit losses, if any, adjusted for current conditions and reasonable and supportable forecasts. The Company considers the nature of the collateral, potential future changes in collateral values and available loss information. Adjustments to the allowance are reported in the Statements of Income as a component of provision for credit losses.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 for Sale (“AFS”) Debt Securities</w:t>
      </w:r>
    </w:p>
    <w:p>
      <w:pPr>
        <w:spacing w:after="0" w:line="9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For AFS securities in an unrealized loss position, the Company first assesses whether (i) it intends to sell, or (ii) it is more likely than not that the Company will be required to sell the security before recovery of its amortized cost basis. If either case is affirmative, any previously recognized allowances are charged- off and the security’s amortized cost is written down to fair value through income. If neither case is affirmative, the security is evaluated to determine whether the decline in fair value has resulted from credit losses or other factors. In making this assessment, management considers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Adjustments to the allowance are reported in our income statement as a component of provision for credit losses. AFS securities are charged-off against the allowance or, in the absence of any allowance, written down through income when deemed uncollectible by management or when either of the aforementioned criteria regarding intent or requirement to sell is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Accrued Interest Receivable</w:t>
      </w:r>
    </w:p>
    <w:p>
      <w:pPr>
        <w:spacing w:after="0" w:line="9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Accrued interest receivable balances are presented separately within other assets on the statement of financial condition. Accrued interest receivable that is included in the amortized cost of financial receivables and debt securities are excluded from related disclosure requirements. The Company does not measure an allowance for credit losses for accrued interest receivable as the Company writes off accrued interest receivable, in a timely manner,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w:t>
      </w:r>
    </w:p>
    <w:p>
      <w:pPr>
        <w:spacing w:after="0" w:line="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7" w:name="page68"/>
    <w:bookmarkEnd w:id="67"/>
    <w:p>
      <w:pPr>
        <w:spacing w:after="0" w:line="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Reserve for Unfunded Commitments</w:t>
      </w:r>
    </w:p>
    <w:p>
      <w:pPr>
        <w:spacing w:after="0" w:line="9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The reserve for unfunded commitments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liability (other liabilities in the consolidated statements of financial condition), with adjustments to the reserve recognized as a provision for credit loss expense in the consolidated statements of income. The Unfunded Reserve is determined by estimating expected future fundings, under each segment, and applying the expected loss rates. Expected future fundings are based on historical averages of funding rates (i.e., the likelihood of draws taken). Average funding rates are determined based on the most recent 20 quarters (5 years) of actual fundings on lines of credit. The average funding rate for each segment is compared to the current funding rate on each line to determine the average fundings available to be drawn. The fund up rate (the difference between the average funding rate and the current funding rate) for each segment is then applied within CECL model to the unfunded commitment balance to estimate the expected future fundings under each segment. The loss rate derived for each segment in the current CECL calculation is then applied to the expected future fundings to derive the estimate of allowance for credit losses for unfunded commitments.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Recognition on Individually Evaluated and Nonaccrual Loans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For all classes of loans receivable, the accrual of interest is discontinued when the contractual payment of principal or interest has become 90 days past due or management has serious doubts about further collectability of principal or interest, even though the loan may be currently performing. A loan may remain on accrual status if it is either well secured or guaranteed and in the process of collection. When a loan is placed on nonaccrual status, unpaid interest is reversed and recorded against interest income. Interest received on nonaccrual loans, including individually evaluated loans, generally is either applied against principal or reported as interest income, according to management’s judgment as to the collectability of principal. Generally, loans are restored to accrual status when the obligation is brought current, has performed in accordance with the contractual terms for a reasonable period of time, generally six months, and the ultimate collectability of the total contractual principal and interest is no longer in doubt. Nonaccrual loans that have been modified are restored to accrual status if principal and interest payments, under the modified terms, are current for six consecutive months after modification.</w:t>
      </w:r>
    </w:p>
    <w:p>
      <w:pPr>
        <w:spacing w:after="0" w:line="7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For nonaccrual loans, when future collectability of the recorded loan balance is expected, interest income may be recognized on a cash basis when payments are made. In the case where a nonaccrual loan had been partially charged off, recognition of interest on a cash basis is limited to that which would have been recognized on the recorded loan balance at the contractual interest rate. Cash interest receipts in excess of that amount are recorded as recoveries to the allowance for credit losses until prior charge-offs have been fully recovered.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Credit Related Financial Instruments</w:t>
      </w:r>
    </w:p>
    <w:p>
      <w:pPr>
        <w:spacing w:after="0" w:line="94"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commitments to extend credit, including commitments under standby letters of credit. Such financial instruments are recorded to the balance sheet when they are funded.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Premises and Equipment</w:t>
      </w:r>
    </w:p>
    <w:p>
      <w:pPr>
        <w:spacing w:after="0" w:line="9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Premises and equipment are stated at cost, less accumulated depreciation. Depreciation is computed on a straight-line basis over the estimated useful lives of the related assets, ranging up to 40 years for premises and leasehold improvements (or the lesser of the lease term) and 10 years for equipment. Maintenance and repairs are recorded to operating expenses as incurred. The asset cost and accumulated depreciation are removed from the accounts for assets sold or retired and any resulting gain or loss is included in the determination of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Foreclosed Real Estate</w:t>
      </w:r>
    </w:p>
    <w:p>
      <w:pPr>
        <w:spacing w:after="0" w:line="9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Physical possession of residential real estate property collateralizing a residential mortgage loan occurs when legal title is obtained upon completion of foreclosure or when the borrower conveys all interest in the property to satisfy the loan through completion of a deed-in -lieu of foreclosure or through a similar legal agreement. Properties acquired through foreclosure, or by deed-in- lieu of foreclosure, are recorded at their fair value less estimated costs to sell. Fair value is typically determined based on evaluations by third parties. Costs incurred in connection with preparing the foreclosed real estate for disposition are capitalized to the extent that they enhance the overall fair value of the property. Any write-downs on the asset’s fair value less costs to sell at the date of acquisition are recorded to the allowance for credit losses. Subsequent write downs and expenses of foreclosed real estate are included as a valuation allowance and recorded in noninterest expense.</w:t>
      </w:r>
    </w:p>
    <w:p>
      <w:pPr>
        <w:spacing w:after="0" w:line="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8" w:name="page69"/>
    <w:bookmarkEnd w:id="68"/>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Goodwill represents the excess cost of an acquisition over the fair value of the net assets acquired. Goodwill is not amortized, but is evaluated annually or when there is a triggering event for impairment. Intangible assets, such as customer lists, are amortized over their useful lives, generally 15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Mortgage Servicing Rights</w:t>
      </w:r>
    </w:p>
    <w:p>
      <w:pPr>
        <w:spacing w:after="0" w:line="9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Originated mortgage servicing rights are recorded at their fair value at the time of transfer of the related loans and are amortized in proportion to, and over the period of, estimated net servicing income or loss. The carrying value of the originated mortgage servicing rights is periodically evaluated for impairment or between annual evaluations under certain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9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Compensation costs related to share-based payment transactions are recognized based on the grant -date fair value of the stock-based compensation issued. Compensation costs are recognized over the period that an employee provides service in exchange for the award. Compensation costs related to the Employee Stock Ownership Plan are dependent upon the average stock price and the shares committed to be released to plan participants through the period in which income is reported.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Benefits</w:t>
      </w:r>
    </w:p>
    <w:p>
      <w:pPr>
        <w:spacing w:after="0" w:line="9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The Company has a non-contributory defined benefit pension plan that covered substantially all employees.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 Pension expense under these plans is recorded to current operations and consists of several components of net pension cost based on various actuarial assumptions regarding future experience under the plans.</w:t>
      </w:r>
    </w:p>
    <w:p>
      <w:pPr>
        <w:spacing w:after="0" w:line="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Gains and losses, prior service costs and credits, and any remaining transition amounts that have not yet been recognized through net periodic benefit cost are recognized in accumulated other comprehensive loss, net of tax effects, until they are amortized as a component of net periodic cost. Plan assets and obligations are measured as of the Company’s statement of condition date.</w:t>
      </w:r>
    </w:p>
    <w:p>
      <w:pPr>
        <w:spacing w:after="0" w:line="68"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The Company has unfunded deferred compensation and supplemental executive retirement plans for selected current and former employees and officers that provide benefits that cannot be paid from a qualified retirement plan due to Internal Revenue Code restrictions. These plans are nonqualified under the Internal Revenue Code, and assets used to fund benefit payments are not segregated from other assets of the Company, therefore, in general, a participant's or beneficiary's claim to benefits under these plans is as a general creditor.</w:t>
      </w:r>
    </w:p>
    <w:p>
      <w:pPr>
        <w:spacing w:after="0" w:line="7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Bank sponsors an Employee Stock Ownership Plan (“ESOP”) covering substantially all full time employees. The cost of shares issued to the ESOP but not committed to be released to the participants is presented in the Consolidated Statements of Condition as a reduction of shareholders’ equity. ESOP shares are released to the participants on an annual basis in accordance with a predetermined schedule. The Company records ESOP compensation expense based on the shares committed to be released and allocated to the participant’s accounts multiplied by the average share price of the Company’s stock over the period. Dividends related to unallocated shares are recorded as compensation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Derivative instruments are recorded on the statements of condition as assets and liabilities measured at their fair value. The accounting for changes in the fair value of a derivative depends on whether or not the derivative has been designated and qualifies as part of a hedging relationship. The Company acquires derivatives with the intent of designating and qualifying those instruments as part of hedging relationships to other balance sheet assets or liabilities. The specific accounting treatment for increases and decreases in the value of derivatives further depends upon the use of the specific derivatives. There are two primary types of interest rate derivatives that may be employed by the Company:</w:t>
      </w:r>
    </w:p>
    <w:p>
      <w:pPr>
        <w:spacing w:after="0" w:line="7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Fair Value Hedge -</w:t>
      </w:r>
      <w:r>
        <w:rPr>
          <w:rFonts w:ascii="Times New Roman" w:cs="Times New Roman" w:eastAsia="Times New Roman" w:hAnsi="Times New Roman"/>
          <w:sz w:val="16"/>
          <w:szCs w:val="16"/>
          <w:color w:val="auto"/>
        </w:rPr>
        <w:t xml:space="preserve"> As a result of interest rate fluctuations, fixed- rate assets and liabilities will appreciate or depreciate in fair value over the course of their economic lives prior to maturity. When effectively hedged, this appreciation or depreciation will generally be offset by fluctuations in the fair value of derivative instruments that are linked to the hedged assets and liabilities. This strategy is referred to as a fair value hedge. For a fair value hedge, changes in the fair value of the derivative instrument and changes in the fair value of the hedged asset or liability are expected to substantially offset each other and these changes are recognized currently in earnings.</w:t>
      </w:r>
    </w:p>
    <w:p>
      <w:pPr>
        <w:spacing w:after="0" w:line="73"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Cash Flow Hedge -</w:t>
      </w:r>
      <w:r>
        <w:rPr>
          <w:rFonts w:ascii="Times New Roman" w:cs="Times New Roman" w:eastAsia="Times New Roman" w:hAnsi="Times New Roman"/>
          <w:sz w:val="16"/>
          <w:szCs w:val="16"/>
          <w:color w:val="auto"/>
        </w:rPr>
        <w:t xml:space="preserve"> Cash flows related to floating rate assets and liabilities will fluctuate with changes in the underlying rate index. When effectively hedged, the increases or decreases in cash flows related to the floating-rate asset or liability will generally be</w:t>
      </w:r>
    </w:p>
    <w:p>
      <w:pPr>
        <w:spacing w:after="0" w:line="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9" w:name="page70"/>
    <w:bookmarkEnd w:id="69"/>
    <w:p>
      <w:pPr>
        <w:spacing w:after="0" w:line="5"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offset by changes in cash flows of the derivative instruments designated as a hedge. This strategy is referred to as a cash flow hedge. For a cash flow hedge, changes in the fair value of the derivative instrument, to the extent that it is effective, are recorded in other comprehensive income and subsequently reclassified to earnings as the hedged transaction impacts net income. Any ineffective portion of a cash flow hedge is recognized currently in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provision for income taxes is based on taxes currently payable or refundable and deferred income taxes on temporary differences between the tax basis of assets and liabilities and their reported amounts in the consolidated financial statements. Deferred tax assets and liabilities are reported in the consolidated financial statements at currently enacted income tax rates applicable to the period in which the deferred tax assets and liabilities are expected to be realized or settled.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Basic net income per share is calculated using the two-class method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 Note 3 provides more information related to earnings per share.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Reporting</w:t>
      </w:r>
    </w:p>
    <w:p>
      <w:pPr>
        <w:spacing w:after="0" w:line="94"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 xml:space="preserve">The Company has evaluated the activities relating to its strategic business units. The controlling interest the Company had in the FitzGibbons Agency is dissimilar in nature and management when compared to the Company’s other strategic business units which are judged to be similar in nature and management. The Company has determined that the FitzGibbons Agency is below the reporting threshold in size in accordance with Accounting Standards Codification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Accordingly, the Company has determined it has no reportable segments.</w:t>
      </w:r>
    </w:p>
    <w:p>
      <w:pPr>
        <w:spacing w:after="0" w:line="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reportable segments are determined by the Chief Executive Officer, who is designated as the chief operating decision maker (“CODM”), based on information provided about the Company’s products and services offered. A segment is distinguished by the level of information provided to the CODM, who uses information to review performance of various components of the business. The CODM will evaluate the financial performance of the Company’s business components by evaluating revenue streams, significant expenses, and budget to actual results in assessing the Company’s segments and in the determination of allocating resources. The CODM uses consolidated net income to benchmark the Company against its competitors. The benchmarking analysis along with monitoring budget to actual results are used in assessing performance. The financial information used for performance assessment by the CODM is the same as the financial information included on the accompanying Consolidated Statements of Condition and Consolidated Statements of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p>
      <w:pPr>
        <w:spacing w:after="0" w:line="94"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Accounting principles generally require that recognized revenue, expenses, gains and losses be included in net income. Although certain changes in assets and liabilities are reported as a separate component of the equity section of the statement of condition, such items, along with net income, are components of comprehensive income.</w:t>
      </w:r>
    </w:p>
    <w:p>
      <w:pPr>
        <w:spacing w:after="0" w:line="1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Accumulated other comprehensive loss represents the sum of these items, with the exception of net income, as of the balance sheet date and is represented in the table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As of December 31,</w:t>
            </w:r>
          </w:p>
        </w:tc>
        <w:tc>
          <w:tcPr>
            <w:tcW w:w="780" w:type="dxa"/>
            <w:vAlign w:val="bottom"/>
          </w:tcPr>
          <w:p>
            <w:pPr>
              <w:spacing w:after="0"/>
              <w:rPr>
                <w:sz w:val="14"/>
                <w:szCs w:val="14"/>
                <w:color w:val="auto"/>
              </w:rPr>
            </w:pP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By Component:</w:t>
            </w:r>
          </w:p>
        </w:tc>
        <w:tc>
          <w:tcPr>
            <w:tcW w:w="2080" w:type="dxa"/>
            <w:vAlign w:val="bottom"/>
          </w:tcPr>
          <w:p>
            <w:pPr>
              <w:spacing w:after="0"/>
              <w:rPr>
                <w:sz w:val="15"/>
                <w:szCs w:val="15"/>
                <w:color w:val="auto"/>
              </w:rPr>
            </w:pPr>
          </w:p>
        </w:tc>
        <w:tc>
          <w:tcPr>
            <w:tcW w:w="180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r>
      <w:tr>
        <w:trPr>
          <w:trHeight w:val="168"/>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for pension and other postretirement obligations</w:t>
            </w:r>
          </w:p>
        </w:tc>
        <w:tc>
          <w:tcPr>
            <w:tcW w:w="2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(2,696 )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(2,806 )</w:t>
            </w:r>
          </w:p>
        </w:tc>
      </w:tr>
      <w:tr>
        <w:trPr>
          <w:trHeight w:val="168"/>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2080" w:type="dxa"/>
            <w:vAlign w:val="bottom"/>
          </w:tcPr>
          <w:p>
            <w:pPr>
              <w:spacing w:after="0"/>
              <w:rPr>
                <w:sz w:val="14"/>
                <w:szCs w:val="14"/>
                <w:color w:val="auto"/>
              </w:rPr>
            </w:pPr>
          </w:p>
        </w:tc>
        <w:tc>
          <w:tcPr>
            <w:tcW w:w="180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705</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733</w:t>
            </w:r>
          </w:p>
        </w:tc>
      </w:tr>
      <w:tr>
        <w:trPr>
          <w:trHeight w:val="168"/>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for pension and other postretirement obligations, net of tax</w:t>
            </w:r>
          </w:p>
        </w:tc>
        <w:tc>
          <w:tcPr>
            <w:tcW w:w="2080" w:type="dxa"/>
            <w:vAlign w:val="bottom"/>
            <w:shd w:val="clear" w:color="auto" w:fill="CFF0FC"/>
          </w:tcPr>
          <w:p>
            <w:pPr>
              <w:spacing w:after="0"/>
              <w:rPr>
                <w:sz w:val="14"/>
                <w:szCs w:val="14"/>
                <w:color w:val="auto"/>
              </w:rPr>
            </w:pPr>
          </w:p>
        </w:tc>
        <w:tc>
          <w:tcPr>
            <w:tcW w:w="180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(1,991 )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(2,073 )</w:t>
            </w:r>
          </w:p>
        </w:tc>
      </w:tr>
      <w:tr>
        <w:trPr>
          <w:trHeight w:val="168"/>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2080" w:type="dxa"/>
            <w:vAlign w:val="bottom"/>
          </w:tcPr>
          <w:p>
            <w:pPr>
              <w:spacing w:after="0"/>
              <w:rPr>
                <w:sz w:val="14"/>
                <w:szCs w:val="14"/>
                <w:color w:val="auto"/>
              </w:rPr>
            </w:pPr>
          </w:p>
        </w:tc>
        <w:tc>
          <w:tcPr>
            <w:tcW w:w="18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(10,219 )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(10,241 )</w:t>
            </w:r>
          </w:p>
        </w:tc>
      </w:tr>
      <w:tr>
        <w:trPr>
          <w:trHeight w:val="168"/>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2080" w:type="dxa"/>
            <w:vAlign w:val="bottom"/>
            <w:shd w:val="clear" w:color="auto" w:fill="CFF0FC"/>
          </w:tcPr>
          <w:p>
            <w:pPr>
              <w:spacing w:after="0"/>
              <w:rPr>
                <w:sz w:val="14"/>
                <w:szCs w:val="14"/>
                <w:color w:val="auto"/>
              </w:rPr>
            </w:pPr>
          </w:p>
        </w:tc>
        <w:tc>
          <w:tcPr>
            <w:tcW w:w="1800" w:type="dxa"/>
            <w:vAlign w:val="bottom"/>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rPr>
              <w:t>2,671</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2,677</w:t>
            </w:r>
          </w:p>
        </w:tc>
      </w:tr>
      <w:tr>
        <w:trPr>
          <w:trHeight w:val="168"/>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 net of tax</w:t>
            </w:r>
          </w:p>
        </w:tc>
        <w:tc>
          <w:tcPr>
            <w:tcW w:w="2080" w:type="dxa"/>
            <w:vAlign w:val="bottom"/>
          </w:tcPr>
          <w:p>
            <w:pPr>
              <w:spacing w:after="0"/>
              <w:rPr>
                <w:sz w:val="14"/>
                <w:szCs w:val="14"/>
                <w:color w:val="auto"/>
              </w:rPr>
            </w:pPr>
          </w:p>
        </w:tc>
        <w:tc>
          <w:tcPr>
            <w:tcW w:w="18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(7,548 )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(7,564 )</w:t>
            </w:r>
          </w:p>
        </w:tc>
      </w:tr>
      <w:tr>
        <w:trPr>
          <w:trHeight w:val="168"/>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on hedging activities arising during the period</w:t>
            </w:r>
          </w:p>
        </w:tc>
        <w:tc>
          <w:tcPr>
            <w:tcW w:w="2080" w:type="dxa"/>
            <w:vAlign w:val="bottom"/>
            <w:shd w:val="clear" w:color="auto" w:fill="CFF0FC"/>
          </w:tcPr>
          <w:p>
            <w:pPr>
              <w:spacing w:after="0"/>
              <w:rPr>
                <w:sz w:val="14"/>
                <w:szCs w:val="14"/>
                <w:color w:val="auto"/>
              </w:rPr>
            </w:pPr>
          </w:p>
        </w:tc>
        <w:tc>
          <w:tcPr>
            <w:tcW w:w="1800" w:type="dxa"/>
            <w:vAlign w:val="bottom"/>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rPr>
              <w:t>535</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r>
      <w:tr>
        <w:trPr>
          <w:trHeight w:val="168"/>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2080" w:type="dxa"/>
            <w:vAlign w:val="bottom"/>
          </w:tcPr>
          <w:p>
            <w:pPr>
              <w:spacing w:after="0"/>
              <w:rPr>
                <w:sz w:val="14"/>
                <w:szCs w:val="14"/>
                <w:color w:val="auto"/>
              </w:rPr>
            </w:pPr>
          </w:p>
        </w:tc>
        <w:tc>
          <w:tcPr>
            <w:tcW w:w="18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(140 )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68"/>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on hedging activities, net of tax</w:t>
            </w:r>
          </w:p>
        </w:tc>
        <w:tc>
          <w:tcPr>
            <w:tcW w:w="2080" w:type="dxa"/>
            <w:vAlign w:val="bottom"/>
            <w:shd w:val="clear" w:color="auto" w:fill="CFF0FC"/>
          </w:tcPr>
          <w:p>
            <w:pPr>
              <w:spacing w:after="0"/>
              <w:rPr>
                <w:sz w:val="14"/>
                <w:szCs w:val="14"/>
                <w:color w:val="auto"/>
              </w:rPr>
            </w:pPr>
          </w:p>
        </w:tc>
        <w:tc>
          <w:tcPr>
            <w:tcW w:w="1800" w:type="dxa"/>
            <w:vAlign w:val="bottom"/>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rPr>
              <w:t>395</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(9,144 )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(9,605 )</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Certain amounts in the 2023 consolidated financial statements have been reclassified to conform to the current year presentation. These reclassifications had no effect on net income as previously reported.</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NOTE 2: NEW ACCOUNTING PRONOUNCEMENTS</w:t>
      </w:r>
    </w:p>
    <w:p>
      <w:pPr>
        <w:spacing w:after="0" w:line="9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Financial Accounting Standards Board (“FASB”) and, to a lesser extent, other authoritative rulemaking bodies promulgate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standards that have not yet been adopted as of December 31, 2024, but could have an impact on the Company's consolidated financial statements upon adoption.</w:t>
      </w:r>
    </w:p>
    <w:p>
      <w:pPr>
        <w:sectPr>
          <w:pgSz w:w="11900" w:h="16840" w:orient="portrait"/>
          <w:cols w:equalWidth="0" w:num="1">
            <w:col w:w="10380"/>
          </w:cols>
          <w:pgMar w:left="660" w:top="1347" w:right="860" w:bottom="1440" w:gutter="0" w:footer="0" w:header="0"/>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Standards Adopted as of December 31, 2024</w:t>
      </w:r>
    </w:p>
    <w:p>
      <w:pPr>
        <w:spacing w:after="0" w:line="39"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16"/>
          <w:szCs w:val="16"/>
          <w:b w:val="1"/>
          <w:bCs w:val="1"/>
          <w:color w:val="auto"/>
        </w:rPr>
        <w:t>Standard</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-106680</wp:posOffset>
            </wp:positionV>
            <wp:extent cx="6707505" cy="228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of Implementation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p>
      <w:pPr>
        <w:spacing w:after="0" w:line="1" w:lineRule="exact"/>
        <w:rPr>
          <w:sz w:val="20"/>
          <w:szCs w:val="20"/>
          <w:color w:val="auto"/>
        </w:rPr>
      </w:pPr>
    </w:p>
    <w:p>
      <w:pPr>
        <w:sectPr>
          <w:pgSz w:w="11900" w:h="16840" w:orient="portrait"/>
          <w:cols w:equalWidth="0" w:num="3">
            <w:col w:w="6300" w:space="720"/>
            <w:col w:w="1240" w:space="340"/>
            <w:col w:w="1780"/>
          </w:cols>
          <w:pgMar w:left="660" w:top="1347" w:right="860" w:bottom="1440" w:gutter="0" w:footer="0" w:header="0"/>
          <w:type w:val="continuous"/>
        </w:sectPr>
      </w:pPr>
    </w:p>
    <w:p>
      <w:pPr>
        <w:ind w:left="20"/>
        <w:spacing w:after="0" w:line="253" w:lineRule="auto"/>
        <w:rPr>
          <w:sz w:val="20"/>
          <w:szCs w:val="20"/>
          <w:color w:val="auto"/>
        </w:rPr>
      </w:pPr>
      <w:r>
        <w:rPr>
          <w:rFonts w:ascii="Times New Roman" w:cs="Times New Roman" w:eastAsia="Times New Roman" w:hAnsi="Times New Roman"/>
          <w:sz w:val="13"/>
          <w:szCs w:val="13"/>
          <w:color w:val="auto"/>
        </w:rPr>
        <w:t xml:space="preserve">Reference Rate Reform </w:t>
      </w:r>
      <w:r>
        <w:rPr>
          <w:rFonts w:ascii="Times New Roman" w:cs="Times New Roman" w:eastAsia="Times New Roman" w:hAnsi="Times New Roman"/>
          <w:sz w:val="13"/>
          <w:szCs w:val="13"/>
          <w:i w:val="1"/>
          <w:iCs w:val="1"/>
          <w:color w:val="auto"/>
        </w:rPr>
        <w:t>(ASU</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2020-04: Facilitation of the Effects of Reference Rate Reform on Financial Reporting [Topic 848]: Deferral of the Sunset Date of Topic 848)</w:t>
      </w:r>
    </w:p>
    <w:p>
      <w:pPr>
        <w:spacing w:after="0" w:line="20" w:lineRule="exact"/>
        <w:rPr>
          <w:sz w:val="20"/>
          <w:szCs w:val="20"/>
          <w:color w:val="auto"/>
        </w:rPr>
      </w:pPr>
      <w:r>
        <w:rPr>
          <w:sz w:val="20"/>
          <w:szCs w:val="20"/>
          <w:color w:val="auto"/>
        </w:rPr>
        <w:br w:type="column"/>
      </w:r>
    </w:p>
    <w:p>
      <w:pPr>
        <w:ind w:left="1"/>
        <w:spacing w:after="0" w:line="250" w:lineRule="auto"/>
        <w:rPr>
          <w:sz w:val="20"/>
          <w:szCs w:val="20"/>
          <w:color w:val="auto"/>
        </w:rPr>
      </w:pPr>
      <w:r>
        <w:rPr>
          <w:rFonts w:ascii="Times New Roman" w:cs="Times New Roman" w:eastAsia="Times New Roman" w:hAnsi="Times New Roman"/>
          <w:sz w:val="13"/>
          <w:szCs w:val="13"/>
          <w:color w:val="auto"/>
        </w:rPr>
        <w:t>The amendments provide optional expedients and exceptions for applying generally accepted accounting principles (GAAP) to contracts, hedging relationships, and other transactions affected by reference rate reform. The amendments apply only to contracts, hedging relationships, and other transactions that reference LIBOR or another reference rate expected to be discontinued because of reference rate reform. The amendments (1) apply to contract modifications that replace a reference rate affected by reference rate reform, (2) provide exceptions to existing guidance related to changes to the critical terms of a hedging relationship due to reference rate reform (3) provide optional expedients for fair value hedging relationships, cash flow hedging relationships, and net investment hedging relationships, and</w:t>
      </w:r>
    </w:p>
    <w:p>
      <w:pPr>
        <w:spacing w:after="0" w:line="3" w:lineRule="exact"/>
        <w:rPr>
          <w:sz w:val="20"/>
          <w:szCs w:val="20"/>
          <w:color w:val="auto"/>
        </w:rPr>
      </w:pPr>
    </w:p>
    <w:p>
      <w:pPr>
        <w:ind w:left="1" w:right="20" w:hanging="1"/>
        <w:spacing w:after="0" w:line="252" w:lineRule="auto"/>
        <w:tabs>
          <w:tab w:leader="none" w:pos="18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a onetime election to sell, transfer, or both sell and transfer debt securities classified as held-to-maturity that reference a rate affected by reference rate reform and that are classified as held-to-maturity before January 1, 2020. In January 2021, the FASB issued ASU 2021-01, Reference Rate Reform (Topic 848): Scope. ASU 2021-01 clarifies that certain optional expedients and exceptions in ASC 848 for contract modifications and hedge accounting apply to derivatives that are affected by the discounting transition. ASU 2021-01 also amends the expedients and exceptions in ASC 848 to capture the incremental consequences of the scope clarification and to tailor the existing guidance to derivative instruments affected by the discounting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-6350</wp:posOffset>
            </wp:positionV>
            <wp:extent cx="6707505" cy="990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3"/>
          <w:szCs w:val="13"/>
          <w:color w:val="auto"/>
        </w:rPr>
        <w:t>Adopted as of December 31, 2024, as amended by ASU 2022-06.</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3"/>
          <w:szCs w:val="13"/>
          <w:color w:val="auto"/>
        </w:rPr>
        <w:t>The adoption of this ASU did not have a material impact to the Company's consolidated financial statements.</w:t>
      </w:r>
    </w:p>
    <w:p>
      <w:pPr>
        <w:spacing w:after="0" w:line="2318" w:lineRule="exact"/>
        <w:rPr>
          <w:sz w:val="20"/>
          <w:szCs w:val="20"/>
          <w:color w:val="auto"/>
        </w:rPr>
      </w:pPr>
    </w:p>
    <w:p>
      <w:pPr>
        <w:sectPr>
          <w:pgSz w:w="11900" w:h="16840" w:orient="portrait"/>
          <w:cols w:equalWidth="0" w:num="4">
            <w:col w:w="1680" w:space="199"/>
            <w:col w:w="5001" w:space="140"/>
            <w:col w:w="1500" w:space="80"/>
            <w:col w:w="1780"/>
          </w:cols>
          <w:pgMar w:left="660" w:top="1347" w:right="860" w:bottom="1440" w:gutter="0" w:footer="0" w:header="0"/>
          <w:type w:val="continuous"/>
        </w:sectPr>
      </w:pPr>
    </w:p>
    <w:p>
      <w:pPr>
        <w:ind w:left="20"/>
        <w:spacing w:after="0" w:line="262" w:lineRule="auto"/>
        <w:rPr>
          <w:sz w:val="20"/>
          <w:szCs w:val="20"/>
          <w:color w:val="auto"/>
        </w:rPr>
      </w:pPr>
      <w:r>
        <w:rPr>
          <w:rFonts w:ascii="Times New Roman" w:cs="Times New Roman" w:eastAsia="Times New Roman" w:hAnsi="Times New Roman"/>
          <w:sz w:val="13"/>
          <w:szCs w:val="13"/>
          <w:color w:val="auto"/>
        </w:rPr>
        <w:t>Segment Reporting ASU 2023-07 (</w:t>
      </w:r>
      <w:r>
        <w:rPr>
          <w:rFonts w:ascii="Times New Roman" w:cs="Times New Roman" w:eastAsia="Times New Roman" w:hAnsi="Times New Roman"/>
          <w:sz w:val="13"/>
          <w:szCs w:val="13"/>
          <w:i w:val="1"/>
          <w:iCs w:val="1"/>
          <w:color w:val="auto"/>
        </w:rPr>
        <w:t>Topic 280): Improvements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to Reportable Segment Disclosures</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3"/>
          <w:szCs w:val="13"/>
          <w:color w:val="auto"/>
        </w:rPr>
        <w:t>ASU 2023-07 was issued to expand the disclosures for reportable segments made by public entities in response to</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3"/>
          <w:szCs w:val="13"/>
          <w:color w:val="auto"/>
        </w:rPr>
        <w:t>stakeholders’ requests for more detailed information about expenses within each reportable segment. The guidance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disclosure of significant expenses for reportable segments including disclosures related to a reportable segment’s profit or loss and assets. In addition, entities with a single reportable segment must now provide all segment disclosures required in ASC 280, including the new disclosures for reportable segments under the amendments in ASU 2023- 07. The amendments do not change the existing guidance on how a public entity identifies and determines its reportable segments.</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Times New Roman" w:cs="Times New Roman" w:eastAsia="Times New Roman" w:hAnsi="Times New Roman"/>
          <w:sz w:val="13"/>
          <w:szCs w:val="13"/>
          <w:color w:val="auto"/>
        </w:rPr>
        <w:t>Effective for fiscal years</w:t>
      </w:r>
      <w:r>
        <w:rPr>
          <w:sz w:val="20"/>
          <w:szCs w:val="20"/>
          <w:color w:val="auto"/>
        </w:rPr>
        <w:tab/>
      </w:r>
      <w:r>
        <w:rPr>
          <w:rFonts w:ascii="Times New Roman" w:cs="Times New Roman" w:eastAsia="Times New Roman" w:hAnsi="Times New Roman"/>
          <w:sz w:val="13"/>
          <w:szCs w:val="13"/>
          <w:color w:val="auto"/>
        </w:rPr>
        <w:t>The adoption of this ASU did not</w:t>
      </w:r>
    </w:p>
    <w:p>
      <w:pPr>
        <w:spacing w:after="0" w:line="21"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3"/>
          <w:szCs w:val="13"/>
          <w:color w:val="auto"/>
        </w:rPr>
        <w:t>beginning after December</w:t>
        <w:tab/>
        <w:t>have a material impact to the</w:t>
      </w:r>
    </w:p>
    <w:p>
      <w:pPr>
        <w:spacing w:after="0" w:line="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15, 2023, and interim periods Company's consolidated financial within fiscal years beginning statements. after December 15, 2024.</w:t>
      </w:r>
    </w:p>
    <w:p>
      <w:pPr>
        <w:spacing w:after="0" w:line="977" w:lineRule="exact"/>
        <w:rPr>
          <w:sz w:val="20"/>
          <w:szCs w:val="20"/>
          <w:color w:val="auto"/>
        </w:rPr>
      </w:pPr>
    </w:p>
    <w:p>
      <w:pPr>
        <w:sectPr>
          <w:pgSz w:w="11900" w:h="16840" w:orient="portrait"/>
          <w:cols w:equalWidth="0" w:num="3">
            <w:col w:w="1680" w:space="200"/>
            <w:col w:w="4960" w:space="180"/>
            <w:col w:w="3360"/>
          </w:cols>
          <w:pgMar w:left="660" w:top="1347" w:right="860" w:bottom="1440" w:gutter="0" w:footer="0" w:header="0"/>
          <w:type w:val="continuous"/>
        </w:sectPr>
      </w:pPr>
    </w:p>
    <w:p>
      <w:pPr>
        <w:spacing w:after="0" w:line="2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1347" w:right="860" w:bottom="1440" w:gutter="0" w:footer="0" w:header="0"/>
          <w:type w:val="continuous"/>
        </w:sectPr>
      </w:pPr>
    </w:p>
    <w:bookmarkStart w:id="72" w:name="page73"/>
    <w:bookmarkEnd w:id="72"/>
    <w:p>
      <w:pPr>
        <w:ind w:left="20"/>
        <w:spacing w:after="0"/>
        <w:rPr>
          <w:sz w:val="20"/>
          <w:szCs w:val="20"/>
          <w:color w:val="auto"/>
        </w:rPr>
      </w:pPr>
      <w:r>
        <w:rPr>
          <w:rFonts w:ascii="Times New Roman" w:cs="Times New Roman" w:eastAsia="Times New Roman" w:hAnsi="Times New Roman"/>
          <w:sz w:val="14"/>
          <w:szCs w:val="14"/>
          <w:b w:val="1"/>
          <w:bCs w:val="1"/>
          <w:color w:val="auto"/>
        </w:rPr>
        <w:t>Standards Not Yet Adopted as of December 31, 2024</w:t>
      </w:r>
    </w:p>
    <w:p>
      <w:pPr>
        <w:spacing w:after="0" w:line="39"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16"/>
          <w:szCs w:val="16"/>
          <w:b w:val="1"/>
          <w:bCs w:val="1"/>
          <w:color w:val="auto"/>
        </w:rPr>
        <w:t>Standard</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-106680</wp:posOffset>
            </wp:positionV>
            <wp:extent cx="6707505" cy="228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of Implementation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p>
      <w:pPr>
        <w:spacing w:after="0" w:line="1" w:lineRule="exact"/>
        <w:rPr>
          <w:sz w:val="20"/>
          <w:szCs w:val="20"/>
          <w:color w:val="auto"/>
        </w:rPr>
      </w:pPr>
    </w:p>
    <w:p>
      <w:pPr>
        <w:sectPr>
          <w:pgSz w:w="11900" w:h="16840" w:orient="portrait"/>
          <w:cols w:equalWidth="0" w:num="3">
            <w:col w:w="6300" w:space="720"/>
            <w:col w:w="1240" w:space="340"/>
            <w:col w:w="1940"/>
          </w:cols>
          <w:pgMar w:left="660" w:top="1371" w:right="700" w:bottom="1440" w:gutter="0" w:footer="0" w:header="0"/>
        </w:sectPr>
      </w:pPr>
    </w:p>
    <w:p>
      <w:pPr>
        <w:ind w:left="20"/>
        <w:spacing w:after="0" w:line="257" w:lineRule="auto"/>
        <w:rPr>
          <w:sz w:val="20"/>
          <w:szCs w:val="20"/>
          <w:color w:val="auto"/>
        </w:rPr>
      </w:pPr>
      <w:r>
        <w:rPr>
          <w:rFonts w:ascii="Times New Roman" w:cs="Times New Roman" w:eastAsia="Times New Roman" w:hAnsi="Times New Roman"/>
          <w:sz w:val="13"/>
          <w:szCs w:val="13"/>
          <w:color w:val="auto"/>
        </w:rPr>
        <w:t xml:space="preserve">Income taxes </w:t>
      </w:r>
      <w:r>
        <w:rPr>
          <w:rFonts w:ascii="Times New Roman" w:cs="Times New Roman" w:eastAsia="Times New Roman" w:hAnsi="Times New Roman"/>
          <w:sz w:val="13"/>
          <w:szCs w:val="13"/>
          <w:i w:val="1"/>
          <w:iCs w:val="1"/>
          <w:color w:val="auto"/>
        </w:rPr>
        <w:t>(Topic 740):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Improvements to Income Tax Disclosures 2023-09</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Times New Roman" w:cs="Times New Roman" w:eastAsia="Times New Roman" w:hAnsi="Times New Roman"/>
          <w:sz w:val="13"/>
          <w:szCs w:val="13"/>
          <w:color w:val="auto"/>
        </w:rPr>
        <w:t>Amendments to ASC740 are being made to enhance the transparency and decision usefulness of income tax disclosures. The enhancements are made to provide information to better assess how an entity's operations and related tax risks and tax planning and operational opportunities affect its tax rate and prospects for future cash flows. The objective of these disclosure requirements is for an entity, particularly an entity operating in multiple jurisdictions, to disclose sufficient information to enable users of financial statements to understand the nature and magnitude of factors contributing to the difference between the effective tax rate and the statutory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0</wp:posOffset>
            </wp:positionV>
            <wp:extent cx="6707505" cy="228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3"/>
          <w:szCs w:val="13"/>
          <w:color w:val="auto"/>
        </w:rPr>
        <w:t>Public business entities are required to apply this guidance to annual periods beginning after December 15, 2024.</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Times New Roman" w:cs="Times New Roman" w:eastAsia="Times New Roman" w:hAnsi="Times New Roman"/>
          <w:sz w:val="13"/>
          <w:szCs w:val="13"/>
          <w:color w:val="auto"/>
        </w:rPr>
        <w:t>The adoption of this ASU is not expected to have a material impact to the Company's consolidated financial statements.</w:t>
      </w:r>
    </w:p>
    <w:p>
      <w:pPr>
        <w:spacing w:after="0" w:line="613" w:lineRule="exact"/>
        <w:rPr>
          <w:sz w:val="20"/>
          <w:szCs w:val="20"/>
          <w:color w:val="auto"/>
        </w:rPr>
      </w:pPr>
    </w:p>
    <w:p>
      <w:pPr>
        <w:sectPr>
          <w:pgSz w:w="11900" w:h="16840" w:orient="portrait"/>
          <w:cols w:equalWidth="0" w:num="4">
            <w:col w:w="1560" w:space="320"/>
            <w:col w:w="5000" w:space="140"/>
            <w:col w:w="1420" w:space="160"/>
            <w:col w:w="1940"/>
          </w:cols>
          <w:pgMar w:left="660" w:top="1371" w:right="700" w:bottom="1440" w:gutter="0" w:footer="0" w:header="0"/>
          <w:type w:val="continuous"/>
        </w:sectPr>
      </w:pPr>
    </w:p>
    <w:p>
      <w:pPr>
        <w:spacing w:after="0" w:line="3"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14"/>
          <w:szCs w:val="14"/>
          <w:b w:val="1"/>
          <w:bCs w:val="1"/>
          <w:color w:val="auto"/>
        </w:rPr>
        <w:t>Standard</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Required Date</w:t>
      </w:r>
    </w:p>
    <w:p>
      <w:pPr>
        <w:spacing w:after="0"/>
        <w:rPr>
          <w:sz w:val="20"/>
          <w:szCs w:val="20"/>
          <w:color w:val="auto"/>
        </w:rPr>
      </w:pPr>
      <w:r>
        <w:rPr>
          <w:rFonts w:ascii="Times New Roman" w:cs="Times New Roman" w:eastAsia="Times New Roman" w:hAnsi="Times New Roman"/>
          <w:sz w:val="14"/>
          <w:szCs w:val="14"/>
          <w:b w:val="1"/>
          <w:bCs w:val="1"/>
          <w:color w:val="auto"/>
        </w:rPr>
        <w:t>of Implementation</w:t>
      </w:r>
    </w:p>
    <w:p>
      <w:pPr>
        <w:spacing w:after="0" w:line="20" w:lineRule="exact"/>
        <w:rPr>
          <w:sz w:val="20"/>
          <w:szCs w:val="20"/>
          <w:color w:val="auto"/>
        </w:rPr>
      </w:pPr>
      <w:r>
        <w:rPr>
          <w:sz w:val="20"/>
          <w:szCs w:val="20"/>
          <w:color w:val="auto"/>
        </w:rPr>
        <w:br w:type="column"/>
      </w:r>
    </w:p>
    <w:p>
      <w:pPr>
        <w:ind w:right="420"/>
        <w:spacing w:after="0" w:line="267" w:lineRule="auto"/>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p>
      <w:pPr>
        <w:spacing w:after="0" w:line="1" w:lineRule="exact"/>
        <w:rPr>
          <w:sz w:val="20"/>
          <w:szCs w:val="20"/>
          <w:color w:val="auto"/>
        </w:rPr>
      </w:pPr>
    </w:p>
    <w:p>
      <w:pPr>
        <w:sectPr>
          <w:pgSz w:w="11900" w:h="16840" w:orient="portrait"/>
          <w:cols w:equalWidth="0" w:num="3">
            <w:col w:w="6300" w:space="720"/>
            <w:col w:w="1240" w:space="340"/>
            <w:col w:w="1940"/>
          </w:cols>
          <w:pgMar w:left="660" w:top="1371" w:right="700" w:bottom="1440" w:gutter="0" w:footer="0" w:header="0"/>
          <w:type w:val="continuous"/>
        </w:sectPr>
      </w:pPr>
    </w:p>
    <w:p>
      <w:pPr>
        <w:ind w:left="20"/>
        <w:spacing w:after="0" w:line="254" w:lineRule="auto"/>
        <w:rPr>
          <w:sz w:val="20"/>
          <w:szCs w:val="20"/>
          <w:color w:val="auto"/>
        </w:rPr>
      </w:pPr>
      <w:r>
        <w:rPr>
          <w:rFonts w:ascii="Times New Roman" w:cs="Times New Roman" w:eastAsia="Times New Roman" w:hAnsi="Times New Roman"/>
          <w:sz w:val="13"/>
          <w:szCs w:val="13"/>
          <w:color w:val="auto"/>
        </w:rPr>
        <w:t xml:space="preserve">Income Statement ASU 2024-03 </w:t>
      </w:r>
      <w:r>
        <w:rPr>
          <w:rFonts w:ascii="Times New Roman" w:cs="Times New Roman" w:eastAsia="Times New Roman" w:hAnsi="Times New Roman"/>
          <w:sz w:val="13"/>
          <w:szCs w:val="13"/>
          <w:i w:val="1"/>
          <w:iCs w:val="1"/>
          <w:color w:val="auto"/>
        </w:rPr>
        <w:t>(Subtopic 220-40): Disaggregation of Income Statement Expenses</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3"/>
          <w:szCs w:val="13"/>
          <w:color w:val="auto"/>
        </w:rPr>
        <w:t>Amendments to ASC740 are being made to enhance the transparency and decision usefulness of income tax disclosures. The enhancements are made to provide information to better assess how an entity's operations and related tax risks and tax planning and operational opportunities affect its tax rate and prospects for future cash flows. The objective of these disclosure requirements is for an entity, particularly an entity operating in multiple jurisdictions, to disclose sufficient information to enable users of financial statements to understand the nature and magnitude of factors contributing to the difference between the effective tax rate and the statutory tax rate.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3"/>
          <w:szCs w:val="13"/>
          <w:color w:val="auto"/>
        </w:rPr>
        <w:t>Fiscal years beginning after December 15, 2026, and interim periods within fiscal years beginning after December 15, 2027.</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3"/>
          <w:szCs w:val="13"/>
          <w:color w:val="auto"/>
        </w:rPr>
        <w:t>The Company is evaluating the adoption of the ASU but does not expect it will have a material impact to the Company's consolidated financial statements.</w:t>
      </w:r>
    </w:p>
    <w:p>
      <w:pPr>
        <w:spacing w:after="0" w:line="667" w:lineRule="exact"/>
        <w:rPr>
          <w:sz w:val="20"/>
          <w:szCs w:val="20"/>
          <w:color w:val="auto"/>
        </w:rPr>
      </w:pPr>
    </w:p>
    <w:p>
      <w:pPr>
        <w:sectPr>
          <w:pgSz w:w="11900" w:h="16840" w:orient="portrait"/>
          <w:cols w:equalWidth="0" w:num="4">
            <w:col w:w="1740" w:space="140"/>
            <w:col w:w="5000" w:space="140"/>
            <w:col w:w="1480" w:space="100"/>
            <w:col w:w="1940"/>
          </w:cols>
          <w:pgMar w:left="660" w:top="1371" w:right="700"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EARNINGS PER SHARE</w:t>
      </w:r>
    </w:p>
    <w:p>
      <w:pPr>
        <w:spacing w:after="0" w:line="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Following shareholder approval received on June 4, 2021, the Company converted 1,380,283 shares of its Series B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68"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6"/>
          <w:szCs w:val="16"/>
          <w:color w:val="auto"/>
        </w:rPr>
        <w:t>The Company has voting common stock, non -voting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7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 applying the two-class method, basic net income per share was calculated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7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Anti-dilutive shares are common stock equivalents with average exercise prices in excess of the weighted average market price for the period presented. Anti-dilutive stock options, not included in the computation below, were $-0- for the years ended 2024 and 2023, respectively.</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71" w:right="700" w:bottom="1440" w:gutter="0" w:footer="0" w:header="0"/>
          <w:type w:val="continuous"/>
        </w:sectPr>
      </w:pPr>
    </w:p>
    <w:bookmarkStart w:id="73" w:name="page74"/>
    <w:bookmarkEnd w:id="73"/>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calculation of basic and diluted earnings per share for the years ended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440" w:type="dxa"/>
            <w:vAlign w:val="bottom"/>
          </w:tcPr>
          <w:p>
            <w:pPr>
              <w:spacing w:after="0"/>
              <w:rPr>
                <w:sz w:val="15"/>
                <w:szCs w:val="15"/>
                <w:color w:val="auto"/>
              </w:rPr>
            </w:pPr>
          </w:p>
        </w:tc>
        <w:tc>
          <w:tcPr>
            <w:tcW w:w="13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8"/>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Pathfinder Bancorp, Inc.</w:t>
            </w:r>
          </w:p>
        </w:tc>
        <w:tc>
          <w:tcPr>
            <w:tcW w:w="14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3,383</w:t>
            </w:r>
          </w:p>
        </w:tc>
        <w:tc>
          <w:tcPr>
            <w:tcW w:w="10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9,293</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Non-Voting Common Stock dividends</w:t>
            </w:r>
          </w:p>
        </w:tc>
        <w:tc>
          <w:tcPr>
            <w:tcW w:w="14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552</w:t>
            </w:r>
          </w:p>
        </w:tc>
        <w:tc>
          <w:tcPr>
            <w:tcW w:w="10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68"/>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w:t>
            </w:r>
          </w:p>
        </w:tc>
        <w:tc>
          <w:tcPr>
            <w:tcW w:w="14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50</w:t>
            </w: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14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216</w:t>
            </w:r>
          </w:p>
        </w:tc>
        <w:tc>
          <w:tcPr>
            <w:tcW w:w="10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1,729</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shareholders-Voting</w:t>
            </w:r>
          </w:p>
        </w:tc>
        <w:tc>
          <w:tcPr>
            <w:tcW w:w="144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2,565</w:t>
            </w:r>
          </w:p>
        </w:tc>
        <w:tc>
          <w:tcPr>
            <w:tcW w:w="104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7,022</w:t>
            </w: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Pathfinder Bancorp, Inc.</w:t>
            </w:r>
          </w:p>
        </w:tc>
        <w:tc>
          <w:tcPr>
            <w:tcW w:w="14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3,383</w:t>
            </w:r>
          </w:p>
        </w:tc>
        <w:tc>
          <w:tcPr>
            <w:tcW w:w="10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9,293</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Voting Common Stock dividends</w:t>
            </w:r>
          </w:p>
        </w:tc>
        <w:tc>
          <w:tcPr>
            <w:tcW w:w="14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1,888</w:t>
            </w:r>
          </w:p>
        </w:tc>
        <w:tc>
          <w:tcPr>
            <w:tcW w:w="10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168"/>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w:t>
            </w:r>
          </w:p>
        </w:tc>
        <w:tc>
          <w:tcPr>
            <w:tcW w:w="14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50</w:t>
            </w: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1440" w:type="dxa"/>
            <w:vAlign w:val="bottom"/>
          </w:tcPr>
          <w:p>
            <w:pPr>
              <w:spacing w:after="0"/>
              <w:rPr>
                <w:sz w:val="16"/>
                <w:szCs w:val="16"/>
                <w:color w:val="auto"/>
              </w:rPr>
            </w:pPr>
          </w:p>
        </w:tc>
        <w:tc>
          <w:tcPr>
            <w:tcW w:w="13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695</w:t>
            </w:r>
          </w:p>
        </w:tc>
        <w:tc>
          <w:tcPr>
            <w:tcW w:w="10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5,487</w:t>
            </w:r>
          </w:p>
        </w:tc>
        <w:tc>
          <w:tcPr>
            <w:tcW w:w="0" w:type="dxa"/>
            <w:vAlign w:val="bottom"/>
          </w:tcPr>
          <w:p>
            <w:pPr>
              <w:spacing w:after="0"/>
              <w:rPr>
                <w:sz w:val="1"/>
                <w:szCs w:val="1"/>
                <w:color w:val="auto"/>
              </w:rPr>
            </w:pPr>
          </w:p>
        </w:tc>
      </w:tr>
      <w:tr>
        <w:trPr>
          <w:trHeight w:val="100"/>
        </w:trPr>
        <w:tc>
          <w:tcPr>
            <w:tcW w:w="5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shareholders-Voting</w:t>
            </w:r>
          </w:p>
        </w:tc>
        <w:tc>
          <w:tcPr>
            <w:tcW w:w="144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750</w:t>
            </w:r>
          </w:p>
        </w:tc>
        <w:tc>
          <w:tcPr>
            <w:tcW w:w="104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common shares outstanding-Voting</w:t>
            </w:r>
          </w:p>
        </w:tc>
        <w:tc>
          <w:tcPr>
            <w:tcW w:w="14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4,714</w:t>
            </w: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4,653</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common shares outstanding-Series A Non-Voting</w:t>
            </w:r>
          </w:p>
        </w:tc>
        <w:tc>
          <w:tcPr>
            <w:tcW w:w="14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1,380</w:t>
            </w:r>
          </w:p>
        </w:tc>
        <w:tc>
          <w:tcPr>
            <w:tcW w:w="10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68"/>
        </w:trPr>
        <w:tc>
          <w:tcPr>
            <w:tcW w:w="57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earnings per common share-Voting</w:t>
            </w:r>
          </w:p>
        </w:tc>
        <w:tc>
          <w:tcPr>
            <w:tcW w:w="14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0.54</w:t>
            </w:r>
          </w:p>
        </w:tc>
        <w:tc>
          <w:tcPr>
            <w:tcW w:w="1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68"/>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and diluted earnings per common share-Series A Non-Voting</w:t>
            </w:r>
          </w:p>
        </w:tc>
        <w:tc>
          <w:tcPr>
            <w:tcW w:w="14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0.54</w:t>
            </w:r>
          </w:p>
        </w:tc>
        <w:tc>
          <w:tcPr>
            <w:tcW w:w="10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4: INVESTMENT SECURITIES</w:t>
            </w: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amortized cost and estimated fair value of investment securities are summarized as follows: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jc w:val="right"/>
              <w:ind w:right="662"/>
              <w:spacing w:after="0"/>
              <w:rPr>
                <w:sz w:val="20"/>
                <w:szCs w:val="20"/>
                <w:color w:val="auto"/>
              </w:rPr>
            </w:pPr>
            <w:r>
              <w:rPr>
                <w:rFonts w:ascii="Times New Roman" w:cs="Times New Roman" w:eastAsia="Times New Roman" w:hAnsi="Times New Roman"/>
                <w:sz w:val="16"/>
                <w:szCs w:val="16"/>
                <w:color w:val="auto"/>
              </w:rPr>
              <w:t>December 31, 2024</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Gross</w:t>
            </w:r>
          </w:p>
        </w:tc>
        <w:tc>
          <w:tcPr>
            <w:tcW w:w="34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Gross</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18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Amortized</w:t>
            </w: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Unrealized</w:t>
            </w:r>
          </w:p>
        </w:tc>
        <w:tc>
          <w:tcPr>
            <w:tcW w:w="34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Unrealized</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Fair</w:t>
            </w:r>
          </w:p>
        </w:tc>
        <w:tc>
          <w:tcPr>
            <w:tcW w:w="0" w:type="dxa"/>
            <w:vAlign w:val="bottom"/>
          </w:tcPr>
          <w:p>
            <w:pPr>
              <w:spacing w:after="0"/>
              <w:rPr>
                <w:sz w:val="1"/>
                <w:szCs w:val="1"/>
                <w:color w:val="auto"/>
              </w:rPr>
            </w:pPr>
          </w:p>
        </w:tc>
      </w:tr>
      <w:tr>
        <w:trPr>
          <w:trHeight w:val="193"/>
        </w:trPr>
        <w:tc>
          <w:tcPr>
            <w:tcW w:w="43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Cost</w:t>
            </w:r>
          </w:p>
        </w:tc>
        <w:tc>
          <w:tcPr>
            <w:tcW w:w="360" w:type="dxa"/>
            <w:vAlign w:val="bottom"/>
          </w:tcPr>
          <w:p>
            <w:pPr>
              <w:spacing w:after="0"/>
              <w:rPr>
                <w:sz w:val="16"/>
                <w:szCs w:val="16"/>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Gains</w:t>
            </w:r>
          </w:p>
        </w:tc>
        <w:tc>
          <w:tcPr>
            <w:tcW w:w="34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Losses</w:t>
            </w:r>
          </w:p>
        </w:tc>
        <w:tc>
          <w:tcPr>
            <w:tcW w:w="32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1480" w:type="dxa"/>
            <w:vAlign w:val="bottom"/>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73,888</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(3,834 )</w:t>
            </w:r>
          </w:p>
        </w:tc>
        <w:tc>
          <w:tcPr>
            <w:tcW w:w="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70,425</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14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35,128</w:t>
            </w:r>
          </w:p>
        </w:tc>
        <w:tc>
          <w:tcPr>
            <w:tcW w:w="36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3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(1,928 )</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33,322</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10,956</w:t>
            </w: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(284 )</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10,881</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14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18,934</w:t>
            </w: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(473 )</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18,487</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40,636</w:t>
            </w: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(1,500 )</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39,171</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14,376</w:t>
            </w:r>
          </w:p>
        </w:tc>
        <w:tc>
          <w:tcPr>
            <w:tcW w:w="360" w:type="dxa"/>
            <w:vAlign w:val="bottom"/>
          </w:tcPr>
          <w:p>
            <w:pPr>
              <w:spacing w:after="0"/>
              <w:rPr>
                <w:sz w:val="17"/>
                <w:szCs w:val="17"/>
                <w:color w:val="auto"/>
              </w:rPr>
            </w:pPr>
          </w:p>
        </w:tc>
        <w:tc>
          <w:tcPr>
            <w:tcW w:w="96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45</w:t>
            </w:r>
          </w:p>
        </w:tc>
        <w:tc>
          <w:tcPr>
            <w:tcW w:w="340" w:type="dxa"/>
            <w:vAlign w:val="bottom"/>
          </w:tcPr>
          <w:p>
            <w:pPr>
              <w:spacing w:after="0"/>
              <w:rPr>
                <w:sz w:val="17"/>
                <w:szCs w:val="17"/>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(891 )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13,530</w:t>
            </w:r>
          </w:p>
        </w:tc>
        <w:tc>
          <w:tcPr>
            <w:tcW w:w="0" w:type="dxa"/>
            <w:vAlign w:val="bottom"/>
          </w:tcPr>
          <w:p>
            <w:pPr>
              <w:spacing w:after="0"/>
              <w:rPr>
                <w:sz w:val="1"/>
                <w:szCs w:val="1"/>
                <w:color w:val="auto"/>
              </w:rPr>
            </w:pPr>
          </w:p>
        </w:tc>
      </w:tr>
      <w:tr>
        <w:trPr>
          <w:trHeight w:val="85"/>
        </w:trPr>
        <w:tc>
          <w:tcPr>
            <w:tcW w:w="4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85,426</w:t>
            </w: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(2,275 )</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83,309</w:t>
            </w:r>
          </w:p>
        </w:tc>
        <w:tc>
          <w:tcPr>
            <w:tcW w:w="0" w:type="dxa"/>
            <w:vAlign w:val="bottom"/>
          </w:tcPr>
          <w:p>
            <w:pPr>
              <w:spacing w:after="0"/>
              <w:rPr>
                <w:sz w:val="1"/>
                <w:szCs w:val="1"/>
                <w:color w:val="auto"/>
              </w:rPr>
            </w:pPr>
          </w:p>
        </w:tc>
      </w:tr>
      <w:tr>
        <w:trPr>
          <w:trHeight w:val="180"/>
        </w:trPr>
        <w:tc>
          <w:tcPr>
            <w:tcW w:w="43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8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279,344</w:t>
            </w:r>
          </w:p>
        </w:tc>
        <w:tc>
          <w:tcPr>
            <w:tcW w:w="36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966</w:t>
            </w:r>
          </w:p>
        </w:tc>
        <w:tc>
          <w:tcPr>
            <w:tcW w:w="3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(11,185 )</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269,125</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14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436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available-for-sale</w:t>
            </w:r>
          </w:p>
        </w:tc>
        <w:tc>
          <w:tcPr>
            <w:tcW w:w="1480" w:type="dxa"/>
            <w:vAlign w:val="bottom"/>
            <w:tcBorders>
              <w:bottom w:val="single" w:sz="8" w:color="auto"/>
            </w:tcBorders>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279,550</w:t>
            </w:r>
          </w:p>
        </w:tc>
        <w:tc>
          <w:tcPr>
            <w:tcW w:w="3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966</w:t>
            </w:r>
          </w:p>
        </w:tc>
        <w:tc>
          <w:tcPr>
            <w:tcW w:w="34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(11,185 )</w:t>
            </w:r>
          </w:p>
        </w:tc>
        <w:tc>
          <w:tcPr>
            <w:tcW w:w="32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269,331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Held-to-Maturity Portfolio</w:t>
            </w: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1480" w:type="dxa"/>
            <w:vAlign w:val="bottom"/>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3,648</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(282 )</w:t>
            </w:r>
          </w:p>
        </w:tc>
        <w:tc>
          <w:tcPr>
            <w:tcW w:w="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288"/>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17,153</w:t>
            </w:r>
          </w:p>
        </w:tc>
        <w:tc>
          <w:tcPr>
            <w:tcW w:w="3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2"/>
              <w:spacing w:after="0" w:line="287" w:lineRule="exact"/>
              <w:rPr>
                <w:sz w:val="20"/>
                <w:szCs w:val="20"/>
                <w:color w:val="auto"/>
              </w:rPr>
            </w:pPr>
            <w:r>
              <w:rPr>
                <w:rFonts w:ascii="Times New Roman" w:cs="Times New Roman" w:eastAsia="Times New Roman" w:hAnsi="Times New Roman"/>
                <w:sz w:val="16"/>
                <w:szCs w:val="16"/>
                <w:color w:val="auto"/>
              </w:rPr>
              <w:t xml:space="preserve">(1,833 </w:t>
            </w:r>
            <w:r>
              <w:rPr>
                <w:rFonts w:ascii="Times New Roman" w:cs="Times New Roman" w:eastAsia="Times New Roman" w:hAnsi="Times New Roman"/>
                <w:sz w:val="31"/>
                <w:szCs w:val="31"/>
                <w:color w:val="auto"/>
                <w:vertAlign w:val="subscript"/>
              </w:rPr>
              <w:t>)</w:t>
            </w:r>
          </w:p>
        </w:tc>
        <w:tc>
          <w:tcPr>
            <w:tcW w:w="32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15,330</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4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43,628</w:t>
            </w: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3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(1,740 )</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41,911</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13,050</w:t>
            </w: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(557 )</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12,501</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148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9,575</w:t>
            </w: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(728 )</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8,879</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11,940</w:t>
            </w: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(1,223 )</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10,720</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4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59,946</w:t>
            </w: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3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(1,670 )</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58,316</w:t>
            </w:r>
          </w:p>
        </w:tc>
        <w:tc>
          <w:tcPr>
            <w:tcW w:w="0" w:type="dxa"/>
            <w:vAlign w:val="bottom"/>
          </w:tcPr>
          <w:p>
            <w:pPr>
              <w:spacing w:after="0"/>
              <w:rPr>
                <w:sz w:val="1"/>
                <w:szCs w:val="1"/>
                <w:color w:val="auto"/>
              </w:rPr>
            </w:pPr>
          </w:p>
        </w:tc>
      </w:tr>
      <w:tr>
        <w:trPr>
          <w:trHeight w:val="180"/>
        </w:trPr>
        <w:tc>
          <w:tcPr>
            <w:tcW w:w="43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158,940</w:t>
            </w: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3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(8,033 )</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151,023</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14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36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held-to-maturity</w:t>
            </w:r>
          </w:p>
        </w:tc>
        <w:tc>
          <w:tcPr>
            <w:tcW w:w="1480" w:type="dxa"/>
            <w:vAlign w:val="bottom"/>
            <w:tcBorders>
              <w:bottom w:val="single" w:sz="8" w:color="auto"/>
            </w:tcBorders>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158,683</w:t>
            </w:r>
          </w:p>
        </w:tc>
        <w:tc>
          <w:tcPr>
            <w:tcW w:w="3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3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(8,033 )</w:t>
            </w:r>
          </w:p>
        </w:tc>
        <w:tc>
          <w:tcPr>
            <w:tcW w:w="32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151,023</w:t>
            </w:r>
          </w:p>
        </w:tc>
        <w:tc>
          <w:tcPr>
            <w:tcW w:w="0" w:type="dxa"/>
            <w:vAlign w:val="bottom"/>
          </w:tcPr>
          <w:p>
            <w:pPr>
              <w:spacing w:after="0"/>
              <w:rPr>
                <w:sz w:val="1"/>
                <w:szCs w:val="1"/>
                <w:color w:val="auto"/>
              </w:rPr>
            </w:pPr>
          </w:p>
        </w:tc>
      </w:tr>
      <w:tr>
        <w:trPr>
          <w:trHeight w:val="474"/>
        </w:trPr>
        <w:tc>
          <w:tcPr>
            <w:tcW w:w="4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- 75 -</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436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75" w:name="page76"/>
    <w:bookmarkEnd w:id="75"/>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gridSpan w:val="3"/>
          </w:tcPr>
          <w:p>
            <w:pPr>
              <w:jc w:val="right"/>
              <w:ind w:right="662"/>
              <w:spacing w:after="0"/>
              <w:rPr>
                <w:sz w:val="20"/>
                <w:szCs w:val="20"/>
                <w:color w:val="auto"/>
              </w:rPr>
            </w:pPr>
            <w:r>
              <w:rPr>
                <w:rFonts w:ascii="Times New Roman" w:cs="Times New Roman" w:eastAsia="Times New Roman" w:hAnsi="Times New Roman"/>
                <w:sz w:val="16"/>
                <w:szCs w:val="16"/>
                <w:color w:val="auto"/>
              </w:rPr>
              <w:t>December 31, 2023</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Gross</w:t>
            </w:r>
          </w:p>
        </w:tc>
        <w:tc>
          <w:tcPr>
            <w:tcW w:w="36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Gross</w:t>
            </w:r>
          </w:p>
        </w:tc>
        <w:tc>
          <w:tcPr>
            <w:tcW w:w="34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180"/>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Amortized</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Unrealized</w:t>
            </w:r>
          </w:p>
        </w:tc>
        <w:tc>
          <w:tcPr>
            <w:tcW w:w="36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Unrealized</w:t>
            </w:r>
          </w:p>
        </w:tc>
        <w:tc>
          <w:tcPr>
            <w:tcW w:w="34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Fair</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jc w:val="right"/>
              <w:ind w:right="62"/>
              <w:spacing w:after="0" w:line="176" w:lineRule="exact"/>
              <w:rPr>
                <w:sz w:val="20"/>
                <w:szCs w:val="20"/>
                <w:color w:val="auto"/>
              </w:rPr>
            </w:pPr>
            <w:r>
              <w:rPr>
                <w:rFonts w:ascii="Times New Roman" w:cs="Times New Roman" w:eastAsia="Times New Roman" w:hAnsi="Times New Roman"/>
                <w:sz w:val="16"/>
                <w:szCs w:val="16"/>
                <w:color w:val="auto"/>
              </w:rPr>
              <w:t>Cost</w:t>
            </w:r>
          </w:p>
        </w:tc>
        <w:tc>
          <w:tcPr>
            <w:tcW w:w="340" w:type="dxa"/>
            <w:vAlign w:val="bottom"/>
          </w:tcPr>
          <w:p>
            <w:pPr>
              <w:spacing w:after="0"/>
              <w:rPr>
                <w:sz w:val="15"/>
                <w:szCs w:val="15"/>
                <w:color w:val="auto"/>
              </w:rPr>
            </w:pPr>
          </w:p>
        </w:tc>
        <w:tc>
          <w:tcPr>
            <w:tcW w:w="960" w:type="dxa"/>
            <w:vAlign w:val="bottom"/>
          </w:tcPr>
          <w:p>
            <w:pPr>
              <w:jc w:val="right"/>
              <w:ind w:right="42"/>
              <w:spacing w:after="0" w:line="176" w:lineRule="exact"/>
              <w:rPr>
                <w:sz w:val="20"/>
                <w:szCs w:val="20"/>
                <w:color w:val="auto"/>
              </w:rPr>
            </w:pPr>
            <w:r>
              <w:rPr>
                <w:rFonts w:ascii="Times New Roman" w:cs="Times New Roman" w:eastAsia="Times New Roman" w:hAnsi="Times New Roman"/>
                <w:sz w:val="16"/>
                <w:szCs w:val="16"/>
                <w:color w:val="auto"/>
              </w:rPr>
              <w:t>Gains</w:t>
            </w:r>
          </w:p>
        </w:tc>
        <w:tc>
          <w:tcPr>
            <w:tcW w:w="360" w:type="dxa"/>
            <w:vAlign w:val="bottom"/>
          </w:tcPr>
          <w:p>
            <w:pPr>
              <w:spacing w:after="0"/>
              <w:rPr>
                <w:sz w:val="15"/>
                <w:szCs w:val="15"/>
                <w:color w:val="auto"/>
              </w:rPr>
            </w:pPr>
          </w:p>
        </w:tc>
        <w:tc>
          <w:tcPr>
            <w:tcW w:w="980" w:type="dxa"/>
            <w:vAlign w:val="bottom"/>
          </w:tcPr>
          <w:p>
            <w:pPr>
              <w:jc w:val="right"/>
              <w:ind w:right="62"/>
              <w:spacing w:after="0" w:line="176" w:lineRule="exact"/>
              <w:rPr>
                <w:sz w:val="20"/>
                <w:szCs w:val="20"/>
                <w:color w:val="auto"/>
              </w:rPr>
            </w:pPr>
            <w:r>
              <w:rPr>
                <w:rFonts w:ascii="Times New Roman" w:cs="Times New Roman" w:eastAsia="Times New Roman" w:hAnsi="Times New Roman"/>
                <w:sz w:val="16"/>
                <w:szCs w:val="16"/>
                <w:color w:val="auto"/>
              </w:rPr>
              <w:t>Losses</w:t>
            </w:r>
          </w:p>
        </w:tc>
        <w:tc>
          <w:tcPr>
            <w:tcW w:w="340" w:type="dxa"/>
            <w:vAlign w:val="bottom"/>
          </w:tcPr>
          <w:p>
            <w:pPr>
              <w:spacing w:after="0"/>
              <w:rPr>
                <w:sz w:val="15"/>
                <w:szCs w:val="15"/>
                <w:color w:val="auto"/>
              </w:rPr>
            </w:pPr>
          </w:p>
        </w:tc>
        <w:tc>
          <w:tcPr>
            <w:tcW w:w="880" w:type="dxa"/>
            <w:vAlign w:val="bottom"/>
          </w:tcPr>
          <w:p>
            <w:pPr>
              <w:jc w:val="right"/>
              <w:ind w:right="2"/>
              <w:spacing w:after="0" w:line="176" w:lineRule="exact"/>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82,588</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754</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(3,259)</w:t>
            </w:r>
          </w:p>
        </w:tc>
        <w:tc>
          <w:tcPr>
            <w:tcW w:w="3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80,083</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34,588</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(1,809)</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32,924</w:t>
            </w: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11,008</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36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10,919</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20,251</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(359)</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19,892</w:t>
            </w: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25,446</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6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(1,085)</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24,418</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13,058</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(995)</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12,179</w:t>
            </w: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81,812</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36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(3,845)</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78,095</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268,751</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(11,717)</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258,510</w:t>
            </w: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44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20"/>
        </w:trPr>
        <w:tc>
          <w:tcPr>
            <w:tcW w:w="44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available-for-sale</w:t>
            </w:r>
          </w:p>
        </w:tc>
        <w:tc>
          <w:tcPr>
            <w:tcW w:w="132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268,957</w:t>
            </w:r>
          </w:p>
        </w:tc>
        <w:tc>
          <w:tcPr>
            <w:tcW w:w="3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3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(11,717)</w:t>
            </w:r>
          </w:p>
        </w:tc>
        <w:tc>
          <w:tcPr>
            <w:tcW w:w="34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258,716</w:t>
            </w: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Held-to-Maturity Portfolio</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3,760</w:t>
            </w:r>
          </w:p>
        </w:tc>
        <w:tc>
          <w:tcPr>
            <w:tcW w:w="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3,456</w:t>
            </w: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16,576</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6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(1,874)</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14,730</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45,427</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(3,281)</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42,155</w:t>
            </w: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16,860</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(1,180)</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15,680</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6,974</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(665)</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13,221</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(1,293)</w:t>
            </w:r>
          </w:p>
        </w:tc>
        <w:tc>
          <w:tcPr>
            <w:tcW w:w="34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11,928</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76,819</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(3,178)</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73,761</w:t>
            </w:r>
          </w:p>
        </w:tc>
        <w:tc>
          <w:tcPr>
            <w:tcW w:w="0" w:type="dxa"/>
            <w:vAlign w:val="bottom"/>
          </w:tcPr>
          <w:p>
            <w:pPr>
              <w:spacing w:after="0"/>
              <w:rPr>
                <w:sz w:val="1"/>
                <w:szCs w:val="1"/>
                <w:color w:val="auto"/>
              </w:rPr>
            </w:pPr>
          </w:p>
        </w:tc>
      </w:tr>
      <w:tr>
        <w:trPr>
          <w:trHeight w:val="180"/>
        </w:trPr>
        <w:tc>
          <w:tcPr>
            <w:tcW w:w="44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3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179,637</w:t>
            </w:r>
          </w:p>
        </w:tc>
        <w:tc>
          <w:tcPr>
            <w:tcW w:w="34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36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(11,775)</w:t>
            </w:r>
          </w:p>
        </w:tc>
        <w:tc>
          <w:tcPr>
            <w:tcW w:w="34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168,034</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351</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held-to-maturity</w:t>
            </w:r>
          </w:p>
        </w:tc>
        <w:tc>
          <w:tcPr>
            <w:tcW w:w="132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179,286</w:t>
            </w:r>
          </w:p>
        </w:tc>
        <w:tc>
          <w:tcPr>
            <w:tcW w:w="3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3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(11,775)</w:t>
            </w:r>
          </w:p>
        </w:tc>
        <w:tc>
          <w:tcPr>
            <w:tcW w:w="34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168,034</w:t>
            </w: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 substantial percentage of the Company’s investments in mortgage-backed securities include pass-through securities and collateralized mortgage obligations issued and guaranteed by Fannie Mae, Freddie Mac, and Ginnie Mae. At December 31, 2024, the Company also held a total of 115 private-label mortgage-backed securities,</w:t>
      </w:r>
    </w:p>
    <w:p>
      <w:pPr>
        <w:ind w:right="40"/>
        <w:spacing w:after="0" w:line="301" w:lineRule="auto"/>
        <w:rPr>
          <w:sz w:val="20"/>
          <w:szCs w:val="20"/>
          <w:color w:val="auto"/>
        </w:rPr>
      </w:pPr>
      <w:r>
        <w:rPr>
          <w:rFonts w:ascii="Times New Roman" w:cs="Times New Roman" w:eastAsia="Times New Roman" w:hAnsi="Times New Roman"/>
          <w:sz w:val="14"/>
          <w:szCs w:val="14"/>
          <w:color w:val="auto"/>
        </w:rPr>
        <w:t>collateralized mortgage obligations or asset-backed securities with an aggregate book balance of $177.4 million. At December 31, 2023, the Company also held a total of 119 private-label mortgage-backed securities, collateralized mortgage obligations or asset-backed securities with an aggregate book balance of $195.7 million. These investments are relatively short- duration securities with significant credit enhancements. The Company’s investments in state and political obligation securities are generally municipal obligations that are categorized as general obligations of the issuer that are supported by the overall taxing authority of the issuer, and in some cases are insured. The obligations issued by school districts are generally supported by state administered insurance funds or credit enhancement programs.</w:t>
      </w:r>
    </w:p>
    <w:p>
      <w:pPr>
        <w:spacing w:after="0" w:line="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6" w:name="page77"/>
    <w:bookmarkEnd w:id="76"/>
    <w:p>
      <w:pPr>
        <w:spacing w:after="0" w:line="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amortized cost and estimated fair value of debt investment securities at December 31, 2024 by contractual maturity are shown below. Expected maturities may differ from contractual maturities because borrowers may have the right to call or prepay obligations with or without penalties.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80" w:type="dxa"/>
            <w:vAlign w:val="bottom"/>
            <w:gridSpan w:val="3"/>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360" w:type="dxa"/>
            <w:vAlign w:val="bottom"/>
          </w:tcPr>
          <w:p>
            <w:pPr>
              <w:spacing w:after="0"/>
              <w:rPr>
                <w:sz w:val="16"/>
                <w:szCs w:val="16"/>
                <w:color w:val="auto"/>
              </w:rPr>
            </w:pPr>
          </w:p>
        </w:tc>
        <w:tc>
          <w:tcPr>
            <w:tcW w:w="2220" w:type="dxa"/>
            <w:vAlign w:val="bottom"/>
            <w:gridSpan w:val="3"/>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0" w:type="dxa"/>
            <w:vAlign w:val="bottom"/>
          </w:tcPr>
          <w:p>
            <w:pPr>
              <w:spacing w:after="0"/>
              <w:rPr>
                <w:sz w:val="1"/>
                <w:szCs w:val="1"/>
                <w:color w:val="auto"/>
              </w:rPr>
            </w:pPr>
          </w:p>
        </w:tc>
      </w:tr>
      <w:tr>
        <w:trPr>
          <w:trHeight w:val="18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Amortized</w:t>
            </w:r>
          </w:p>
        </w:tc>
        <w:tc>
          <w:tcPr>
            <w:tcW w:w="38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36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Amortized</w:t>
            </w:r>
          </w:p>
        </w:tc>
        <w:tc>
          <w:tcPr>
            <w:tcW w:w="3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193"/>
        </w:trPr>
        <w:tc>
          <w:tcPr>
            <w:tcW w:w="43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Cost</w:t>
            </w:r>
          </w:p>
        </w:tc>
        <w:tc>
          <w:tcPr>
            <w:tcW w:w="380" w:type="dxa"/>
            <w:vAlign w:val="bottom"/>
          </w:tcPr>
          <w:p>
            <w:pPr>
              <w:spacing w:after="0"/>
              <w:rPr>
                <w:sz w:val="16"/>
                <w:szCs w:val="16"/>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Fair Value</w:t>
            </w:r>
          </w:p>
        </w:tc>
        <w:tc>
          <w:tcPr>
            <w:tcW w:w="360" w:type="dxa"/>
            <w:vAlign w:val="bottom"/>
          </w:tcPr>
          <w:p>
            <w:pPr>
              <w:spacing w:after="0"/>
              <w:rPr>
                <w:sz w:val="16"/>
                <w:szCs w:val="16"/>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Cost</w:t>
            </w:r>
          </w:p>
        </w:tc>
        <w:tc>
          <w:tcPr>
            <w:tcW w:w="36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Due in one year or less</w:t>
            </w:r>
          </w:p>
        </w:tc>
        <w:tc>
          <w:tcPr>
            <w:tcW w:w="13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5,056</w:t>
            </w:r>
          </w:p>
        </w:tc>
        <w:tc>
          <w:tcPr>
            <w:tcW w:w="3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5,240</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6,428</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6,400</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Due after one year through five years</w:t>
            </w:r>
          </w:p>
        </w:tc>
        <w:tc>
          <w:tcPr>
            <w:tcW w:w="138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37,862</w:t>
            </w:r>
          </w:p>
        </w:tc>
        <w:tc>
          <w:tcPr>
            <w:tcW w:w="38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34,015</w:t>
            </w:r>
          </w:p>
        </w:tc>
        <w:tc>
          <w:tcPr>
            <w:tcW w:w="36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37,363</w:t>
            </w:r>
          </w:p>
        </w:tc>
        <w:tc>
          <w:tcPr>
            <w:tcW w:w="3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35,987</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Due after five years through ten years</w:t>
            </w:r>
          </w:p>
        </w:tc>
        <w:tc>
          <w:tcPr>
            <w:tcW w:w="13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14,544</w:t>
            </w:r>
          </w:p>
        </w:tc>
        <w:tc>
          <w:tcPr>
            <w:tcW w:w="38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13,479</w:t>
            </w: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20,188</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18,075</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Due after ten years</w:t>
            </w:r>
          </w:p>
        </w:tc>
        <w:tc>
          <w:tcPr>
            <w:tcW w:w="138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81,444</w:t>
            </w:r>
          </w:p>
        </w:tc>
        <w:tc>
          <w:tcPr>
            <w:tcW w:w="38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80,381</w:t>
            </w:r>
          </w:p>
        </w:tc>
        <w:tc>
          <w:tcPr>
            <w:tcW w:w="36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13,500</w:t>
            </w:r>
          </w:p>
        </w:tc>
        <w:tc>
          <w:tcPr>
            <w:tcW w:w="3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12,646</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Sub-total</w:t>
            </w:r>
          </w:p>
        </w:tc>
        <w:tc>
          <w:tcPr>
            <w:tcW w:w="13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138,906</w:t>
            </w:r>
          </w:p>
        </w:tc>
        <w:tc>
          <w:tcPr>
            <w:tcW w:w="38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133,115</w:t>
            </w: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77,479</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73,108</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138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40,636</w:t>
            </w:r>
          </w:p>
        </w:tc>
        <w:tc>
          <w:tcPr>
            <w:tcW w:w="38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39,171</w:t>
            </w:r>
          </w:p>
        </w:tc>
        <w:tc>
          <w:tcPr>
            <w:tcW w:w="36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9,575</w:t>
            </w:r>
          </w:p>
        </w:tc>
        <w:tc>
          <w:tcPr>
            <w:tcW w:w="3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8,879</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3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14,376</w:t>
            </w:r>
          </w:p>
        </w:tc>
        <w:tc>
          <w:tcPr>
            <w:tcW w:w="38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13,530</w:t>
            </w: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11,940</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10,720</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38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85,426</w:t>
            </w:r>
          </w:p>
        </w:tc>
        <w:tc>
          <w:tcPr>
            <w:tcW w:w="38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83,309</w:t>
            </w:r>
          </w:p>
        </w:tc>
        <w:tc>
          <w:tcPr>
            <w:tcW w:w="36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59,946</w:t>
            </w:r>
          </w:p>
        </w:tc>
        <w:tc>
          <w:tcPr>
            <w:tcW w:w="3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58,316</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auto"/>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Totals</w:t>
            </w:r>
          </w:p>
        </w:tc>
        <w:tc>
          <w:tcPr>
            <w:tcW w:w="138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279,344</w:t>
            </w:r>
          </w:p>
        </w:tc>
        <w:tc>
          <w:tcPr>
            <w:tcW w:w="38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269,125</w:t>
            </w:r>
          </w:p>
        </w:tc>
        <w:tc>
          <w:tcPr>
            <w:tcW w:w="3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158,940</w:t>
            </w:r>
          </w:p>
        </w:tc>
        <w:tc>
          <w:tcPr>
            <w:tcW w:w="3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151,023</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Company’s debt investment securities’ gross unrealized losses and fair value, aggregated by investment category and length of time that individual securities have been in a continuous unrealized loss position,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December 31, 2024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234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Less than Twelve Months</w:t>
            </w:r>
          </w:p>
        </w:tc>
        <w:tc>
          <w:tcPr>
            <w:tcW w:w="540" w:type="dxa"/>
            <w:vAlign w:val="bottom"/>
          </w:tcPr>
          <w:p>
            <w:pPr>
              <w:spacing w:after="0"/>
              <w:rPr>
                <w:sz w:val="11"/>
                <w:szCs w:val="1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Twelve Months or More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Number 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Number of</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Number of</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Individual</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9"/>
              </w:rPr>
              <w:t>Unrealized</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Fair</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Individual</w:t>
            </w:r>
          </w:p>
        </w:tc>
        <w:tc>
          <w:tcPr>
            <w:tcW w:w="220" w:type="dxa"/>
            <w:vAlign w:val="bottom"/>
          </w:tcPr>
          <w:p>
            <w:pPr>
              <w:spacing w:after="0"/>
              <w:rPr>
                <w:sz w:val="11"/>
                <w:szCs w:val="11"/>
                <w:color w:val="auto"/>
              </w:rPr>
            </w:pPr>
          </w:p>
        </w:tc>
        <w:tc>
          <w:tcPr>
            <w:tcW w:w="7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99"/>
              </w:rPr>
              <w:t>Unrealized</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Fair</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Individual</w:t>
            </w:r>
          </w:p>
        </w:tc>
        <w:tc>
          <w:tcPr>
            <w:tcW w:w="1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9"/>
              </w:rPr>
              <w:t>Unrealized</w:t>
            </w:r>
          </w:p>
        </w:tc>
        <w:tc>
          <w:tcPr>
            <w:tcW w:w="24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Fair</w:t>
            </w:r>
          </w:p>
        </w:tc>
        <w:tc>
          <w:tcPr>
            <w:tcW w:w="0" w:type="dxa"/>
            <w:vAlign w:val="bottom"/>
          </w:tcPr>
          <w:p>
            <w:pPr>
              <w:spacing w:after="0"/>
              <w:rPr>
                <w:sz w:val="1"/>
                <w:szCs w:val="1"/>
                <w:color w:val="auto"/>
              </w:rPr>
            </w:pPr>
          </w:p>
        </w:tc>
      </w:tr>
      <w:tr>
        <w:trPr>
          <w:trHeight w:val="132"/>
        </w:trPr>
        <w:tc>
          <w:tcPr>
            <w:tcW w:w="2960" w:type="dxa"/>
            <w:vAlign w:val="bottom"/>
            <w:vMerge w:val="continue"/>
          </w:tcPr>
          <w:p>
            <w:pPr>
              <w:spacing w:after="0"/>
              <w:rPr>
                <w:sz w:val="11"/>
                <w:szCs w:val="11"/>
                <w:color w:val="auto"/>
              </w:rPr>
            </w:pP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Securities</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Losses</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Value</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Securities</w:t>
            </w:r>
          </w:p>
        </w:tc>
        <w:tc>
          <w:tcPr>
            <w:tcW w:w="220" w:type="dxa"/>
            <w:vAlign w:val="bottom"/>
          </w:tcPr>
          <w:p>
            <w:pPr>
              <w:spacing w:after="0"/>
              <w:rPr>
                <w:sz w:val="11"/>
                <w:szCs w:val="11"/>
                <w:color w:val="auto"/>
              </w:rPr>
            </w:pPr>
          </w:p>
        </w:tc>
        <w:tc>
          <w:tcPr>
            <w:tcW w:w="7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Losses</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Value</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Securities</w:t>
            </w:r>
          </w:p>
        </w:tc>
        <w:tc>
          <w:tcPr>
            <w:tcW w:w="1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Losses</w:t>
            </w:r>
          </w:p>
        </w:tc>
        <w:tc>
          <w:tcPr>
            <w:tcW w:w="24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Value</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Available-for-Sale Portfolio</w:t>
            </w:r>
          </w:p>
        </w:tc>
        <w:tc>
          <w:tcPr>
            <w:tcW w:w="1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(132 )</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18,790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(3,702 )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26,748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(3,834 )</w:t>
            </w: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45,538</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900</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(1,925 )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25,211</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(1,928 )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26,111</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(284 )</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3,410</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(284 )</w:t>
            </w:r>
          </w:p>
        </w:tc>
        <w:tc>
          <w:tcPr>
            <w:tcW w:w="24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3,410</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(328 )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3,608</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(145 )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8,343</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(473 )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11,951</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(794 )</w:t>
            </w:r>
          </w:p>
        </w:tc>
        <w:tc>
          <w:tcPr>
            <w:tcW w:w="2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29,628</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(706 )</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6,107</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(1,500 )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35,735</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1,937</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(876 )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6,972</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(891 )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8,909</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(43 )</w:t>
            </w:r>
          </w:p>
        </w:tc>
        <w:tc>
          <w:tcPr>
            <w:tcW w:w="2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15,561</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(2,232 )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23,309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(2,275 )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38,870</w:t>
            </w:r>
          </w:p>
        </w:tc>
        <w:tc>
          <w:tcPr>
            <w:tcW w:w="0" w:type="dxa"/>
            <w:vAlign w:val="bottom"/>
          </w:tcPr>
          <w:p>
            <w:pPr>
              <w:spacing w:after="0"/>
              <w:rPr>
                <w:sz w:val="1"/>
                <w:szCs w:val="1"/>
                <w:color w:val="auto"/>
              </w:rPr>
            </w:pPr>
          </w:p>
        </w:tc>
      </w:tr>
      <w:tr>
        <w:trPr>
          <w:trHeight w:val="172"/>
        </w:trPr>
        <w:tc>
          <w:tcPr>
            <w:tcW w:w="2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(1,315 )</w:t>
            </w:r>
          </w:p>
        </w:tc>
        <w:tc>
          <w:tcPr>
            <w:tcW w:w="22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70,424</w:t>
            </w:r>
          </w:p>
        </w:tc>
        <w:tc>
          <w:tcPr>
            <w:tcW w:w="70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(9,870 )</w:t>
            </w: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100,100</w:t>
            </w:r>
          </w:p>
        </w:tc>
        <w:tc>
          <w:tcPr>
            <w:tcW w:w="7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(11,185 )</w:t>
            </w:r>
          </w:p>
        </w:tc>
        <w:tc>
          <w:tcPr>
            <w:tcW w:w="2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170,524</w:t>
            </w:r>
          </w:p>
        </w:tc>
        <w:tc>
          <w:tcPr>
            <w:tcW w:w="0" w:type="dxa"/>
            <w:vAlign w:val="bottom"/>
          </w:tcPr>
          <w:p>
            <w:pPr>
              <w:spacing w:after="0"/>
              <w:rPr>
                <w:sz w:val="1"/>
                <w:szCs w:val="1"/>
                <w:color w:val="auto"/>
              </w:rPr>
            </w:pPr>
          </w:p>
        </w:tc>
      </w:tr>
      <w:tr>
        <w:trPr>
          <w:trHeight w:val="108"/>
        </w:trPr>
        <w:tc>
          <w:tcPr>
            <w:tcW w:w="29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b w:val="1"/>
                <w:bCs w:val="1"/>
                <w:i w:val="1"/>
                <w:iCs w:val="1"/>
                <w:color w:val="auto"/>
              </w:rPr>
              <w:t>Held-to-Maturity Portfolio</w:t>
            </w: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(282 )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3,366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(282 )</w:t>
            </w:r>
          </w:p>
        </w:tc>
        <w:tc>
          <w:tcPr>
            <w:tcW w:w="2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3,366</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(5 )</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1,438</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(1,828 )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12,561</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(1,833 )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13,999</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993</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(1,733 )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28,603</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(1,740 )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29,596</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(5 )</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2,241</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(552 )</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6,862</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(557 )</w:t>
            </w:r>
          </w:p>
        </w:tc>
        <w:tc>
          <w:tcPr>
            <w:tcW w:w="24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9,103</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2,808</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(613 )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4,866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(728 )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7,674</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(1,223 )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10,121</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(1,223 )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10,121</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(55 )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8,644</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(1,615 )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34,539</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(1,670 )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43,183</w:t>
            </w:r>
          </w:p>
        </w:tc>
        <w:tc>
          <w:tcPr>
            <w:tcW w:w="0" w:type="dxa"/>
            <w:vAlign w:val="bottom"/>
          </w:tcPr>
          <w:p>
            <w:pPr>
              <w:spacing w:after="0"/>
              <w:rPr>
                <w:sz w:val="1"/>
                <w:szCs w:val="1"/>
                <w:color w:val="auto"/>
              </w:rPr>
            </w:pPr>
          </w:p>
        </w:tc>
      </w:tr>
      <w:tr>
        <w:trPr>
          <w:trHeight w:val="132"/>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(187 )</w:t>
            </w:r>
          </w:p>
        </w:tc>
        <w:tc>
          <w:tcPr>
            <w:tcW w:w="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16,124</w:t>
            </w:r>
          </w:p>
        </w:tc>
        <w:tc>
          <w:tcPr>
            <w:tcW w:w="7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(7,846 )</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100,918</w:t>
            </w:r>
          </w:p>
        </w:tc>
        <w:tc>
          <w:tcPr>
            <w:tcW w:w="7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(8,033 )</w:t>
            </w: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117,042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December 31, 2023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234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Less than Twelve Months</w:t>
            </w:r>
          </w:p>
        </w:tc>
        <w:tc>
          <w:tcPr>
            <w:tcW w:w="540" w:type="dxa"/>
            <w:vAlign w:val="bottom"/>
          </w:tcPr>
          <w:p>
            <w:pPr>
              <w:spacing w:after="0"/>
              <w:rPr>
                <w:sz w:val="11"/>
                <w:szCs w:val="1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Twelve Months or More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Number 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Number of</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Number of</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Individual</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9"/>
              </w:rPr>
              <w:t>Unrealized</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Fair</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Individual</w:t>
            </w:r>
          </w:p>
        </w:tc>
        <w:tc>
          <w:tcPr>
            <w:tcW w:w="220" w:type="dxa"/>
            <w:vAlign w:val="bottom"/>
          </w:tcPr>
          <w:p>
            <w:pPr>
              <w:spacing w:after="0"/>
              <w:rPr>
                <w:sz w:val="11"/>
                <w:szCs w:val="11"/>
                <w:color w:val="auto"/>
              </w:rPr>
            </w:pPr>
          </w:p>
        </w:tc>
        <w:tc>
          <w:tcPr>
            <w:tcW w:w="7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99"/>
              </w:rPr>
              <w:t>Unrealized</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Fair</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Individual</w:t>
            </w:r>
          </w:p>
        </w:tc>
        <w:tc>
          <w:tcPr>
            <w:tcW w:w="1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9"/>
              </w:rPr>
              <w:t>Unrealized</w:t>
            </w:r>
          </w:p>
        </w:tc>
        <w:tc>
          <w:tcPr>
            <w:tcW w:w="24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Fair</w:t>
            </w:r>
          </w:p>
        </w:tc>
        <w:tc>
          <w:tcPr>
            <w:tcW w:w="0" w:type="dxa"/>
            <w:vAlign w:val="bottom"/>
          </w:tcPr>
          <w:p>
            <w:pPr>
              <w:spacing w:after="0"/>
              <w:rPr>
                <w:sz w:val="1"/>
                <w:szCs w:val="1"/>
                <w:color w:val="auto"/>
              </w:rPr>
            </w:pPr>
          </w:p>
        </w:tc>
      </w:tr>
      <w:tr>
        <w:trPr>
          <w:trHeight w:val="132"/>
        </w:trPr>
        <w:tc>
          <w:tcPr>
            <w:tcW w:w="2960" w:type="dxa"/>
            <w:vAlign w:val="bottom"/>
            <w:vMerge w:val="continue"/>
          </w:tcPr>
          <w:p>
            <w:pPr>
              <w:spacing w:after="0"/>
              <w:rPr>
                <w:sz w:val="11"/>
                <w:szCs w:val="11"/>
                <w:color w:val="auto"/>
              </w:rPr>
            </w:pP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Securities</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Losses</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Value</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Securities</w:t>
            </w:r>
          </w:p>
        </w:tc>
        <w:tc>
          <w:tcPr>
            <w:tcW w:w="220" w:type="dxa"/>
            <w:vAlign w:val="bottom"/>
          </w:tcPr>
          <w:p>
            <w:pPr>
              <w:spacing w:after="0"/>
              <w:rPr>
                <w:sz w:val="11"/>
                <w:szCs w:val="11"/>
                <w:color w:val="auto"/>
              </w:rPr>
            </w:pPr>
          </w:p>
        </w:tc>
        <w:tc>
          <w:tcPr>
            <w:tcW w:w="7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Losses</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Value</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Securities</w:t>
            </w:r>
          </w:p>
        </w:tc>
        <w:tc>
          <w:tcPr>
            <w:tcW w:w="18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Losses</w:t>
            </w:r>
          </w:p>
        </w:tc>
        <w:tc>
          <w:tcPr>
            <w:tcW w:w="24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Value</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Available-for-Sale Portfolio</w:t>
            </w:r>
          </w:p>
        </w:tc>
        <w:tc>
          <w:tcPr>
            <w:tcW w:w="1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(13 )</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5,990</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(3,246 )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25,794</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(3,259 )</w:t>
            </w: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31,784</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(1,809 )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26,432</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(1,809 )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26,432</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(365 )</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4,351</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(365 )</w:t>
            </w:r>
          </w:p>
        </w:tc>
        <w:tc>
          <w:tcPr>
            <w:tcW w:w="24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4,351</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(65 )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5,907</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(294 )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13,985</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(359 )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19,892</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(14 )</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2,477</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(1,071 )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14,931</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(1,085 )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17,408</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(995 )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8,123</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(995 )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8,123</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(274 )</w:t>
            </w:r>
          </w:p>
        </w:tc>
        <w:tc>
          <w:tcPr>
            <w:tcW w:w="2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18,067</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(3,571 )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46,483</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(3,845 )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64,550</w:t>
            </w:r>
          </w:p>
        </w:tc>
        <w:tc>
          <w:tcPr>
            <w:tcW w:w="0" w:type="dxa"/>
            <w:vAlign w:val="bottom"/>
          </w:tcPr>
          <w:p>
            <w:pPr>
              <w:spacing w:after="0"/>
              <w:rPr>
                <w:sz w:val="1"/>
                <w:szCs w:val="1"/>
                <w:color w:val="auto"/>
              </w:rPr>
            </w:pPr>
          </w:p>
        </w:tc>
      </w:tr>
      <w:tr>
        <w:trPr>
          <w:trHeight w:val="172"/>
        </w:trPr>
        <w:tc>
          <w:tcPr>
            <w:tcW w:w="2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(366 )</w:t>
            </w:r>
          </w:p>
        </w:tc>
        <w:tc>
          <w:tcPr>
            <w:tcW w:w="22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32,441</w:t>
            </w:r>
          </w:p>
        </w:tc>
        <w:tc>
          <w:tcPr>
            <w:tcW w:w="70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(11,351 )</w:t>
            </w: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140,099</w:t>
            </w:r>
          </w:p>
        </w:tc>
        <w:tc>
          <w:tcPr>
            <w:tcW w:w="7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(11,717 )</w:t>
            </w:r>
          </w:p>
        </w:tc>
        <w:tc>
          <w:tcPr>
            <w:tcW w:w="2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172,540</w:t>
            </w:r>
          </w:p>
        </w:tc>
        <w:tc>
          <w:tcPr>
            <w:tcW w:w="0" w:type="dxa"/>
            <w:vAlign w:val="bottom"/>
          </w:tcPr>
          <w:p>
            <w:pPr>
              <w:spacing w:after="0"/>
              <w:rPr>
                <w:sz w:val="1"/>
                <w:szCs w:val="1"/>
                <w:color w:val="auto"/>
              </w:rPr>
            </w:pPr>
          </w:p>
        </w:tc>
      </w:tr>
      <w:tr>
        <w:trPr>
          <w:trHeight w:val="108"/>
        </w:trPr>
        <w:tc>
          <w:tcPr>
            <w:tcW w:w="29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b w:val="1"/>
                <w:bCs w:val="1"/>
                <w:i w:val="1"/>
                <w:iCs w:val="1"/>
                <w:color w:val="auto"/>
              </w:rPr>
              <w:t>Held-to-Maturity Portfolio</w:t>
            </w: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(304 )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3,456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(304 )</w:t>
            </w:r>
          </w:p>
        </w:tc>
        <w:tc>
          <w:tcPr>
            <w:tcW w:w="2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3,456</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(2 )</w:t>
            </w:r>
          </w:p>
        </w:tc>
        <w:tc>
          <w:tcPr>
            <w:tcW w:w="2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575</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(1,872 )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12,718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(1,874 )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13,293</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(61 )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439</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39</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(3,220 )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33,532</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(3,281 )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33,971</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(8 )</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2,877</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(1,172 )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10,652</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(1,180 )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13,529</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(665 )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4,942</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(665 )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4,942</w:t>
            </w:r>
          </w:p>
        </w:tc>
        <w:tc>
          <w:tcPr>
            <w:tcW w:w="0" w:type="dxa"/>
            <w:vAlign w:val="bottom"/>
          </w:tcPr>
          <w:p>
            <w:pPr>
              <w:spacing w:after="0"/>
              <w:rPr>
                <w:sz w:val="1"/>
                <w:szCs w:val="1"/>
                <w:color w:val="auto"/>
              </w:rPr>
            </w:pPr>
          </w:p>
        </w:tc>
      </w:tr>
      <w:tr>
        <w:trPr>
          <w:trHeight w:val="13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(1,293 )</w:t>
            </w:r>
          </w:p>
        </w:tc>
        <w:tc>
          <w:tcPr>
            <w:tcW w:w="12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11,928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(1,293 )</w:t>
            </w:r>
          </w:p>
        </w:tc>
        <w:tc>
          <w:tcPr>
            <w:tcW w:w="24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11,928</w:t>
            </w: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(38 )</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5,827</w:t>
            </w:r>
          </w:p>
        </w:tc>
        <w:tc>
          <w:tcPr>
            <w:tcW w:w="7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(3,140 )</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60,260</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47</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(3,178 )</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66,087</w:t>
            </w:r>
          </w:p>
        </w:tc>
        <w:tc>
          <w:tcPr>
            <w:tcW w:w="0" w:type="dxa"/>
            <w:vAlign w:val="bottom"/>
          </w:tcPr>
          <w:p>
            <w:pPr>
              <w:spacing w:after="0"/>
              <w:rPr>
                <w:sz w:val="1"/>
                <w:szCs w:val="1"/>
                <w:color w:val="auto"/>
              </w:rPr>
            </w:pPr>
          </w:p>
        </w:tc>
      </w:tr>
      <w:tr>
        <w:trPr>
          <w:trHeight w:val="132"/>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(109 )</w:t>
            </w:r>
          </w:p>
        </w:tc>
        <w:tc>
          <w:tcPr>
            <w:tcW w:w="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9,718</w:t>
            </w:r>
          </w:p>
        </w:tc>
        <w:tc>
          <w:tcPr>
            <w:tcW w:w="7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(11,666 )</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137,488</w:t>
            </w:r>
          </w:p>
        </w:tc>
        <w:tc>
          <w:tcPr>
            <w:tcW w:w="7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(11,775 )</w:t>
            </w: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147,206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Credit-related Impairment</w:t>
      </w:r>
    </w:p>
    <w:p>
      <w:pPr>
        <w:spacing w:after="0" w:line="9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Company conducts a formal review of debt investment securities on a quarterly basis for the presence of credit -related impairment. The Company assesses whether credit-related impairment is present when the fair value of a debt security is less than its amortized cost basis at the statement of condition date. Under these circumstances, impairment is considered to have occurred (1) if we intend to sell the security; (2) if it is “more likely than not” we will be required to sell the security before recovery of its amortized cost basis; or (3)</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7" w:name="page78"/>
    <w:bookmarkEnd w:id="77"/>
    <w:p>
      <w:pPr>
        <w:spacing w:after="0" w:line="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present value of expected cash flows is not anticipated to be sufficient to recover the entire amortized cost basis. ASC 326 requires that credit-related impairment is recognized in earnings while non-credit-related price depreciation for securities categorized as available-for-sale not expected to be sold is recognized in other comprehensive income (“OCI”). Non-credit-related market price depreciation is based on other factors, including illiquidity and changes in the general interest rate environment. Presentation of credit-related impairment, when present, is made in the Consolidated Statements of Income on a gross basis, including both the portion recognized in earnings, as well as the portion recorded in OCI.</w:t>
      </w:r>
    </w:p>
    <w:p>
      <w:pPr>
        <w:spacing w:after="0" w:line="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There were a total of 80 securities classified as available-for- sale with an aggregate amortized historical cost of $110.0 million and an unrealized aggregate loss of $9.9 million, or -9.0%, that were in an unrealized loss position for 12 months or longer at December 31, 2024. In addition, there were 100 securities classified as held -to-maturity with an aggregate amortized historical cost of $108.8 million and an unrealized aggregate loss of $7.8 million, or -7.2%, that were in an unrealized loss position for 12 months or longer at December 31, 2024. In total, therefore, at December 31, 2024 there were 180 securities with an aggregate book value of $218.8 million and an aggregate fair value of $201.1 million, representing a loss of $17.7 million, or -8.1%, that were in an unrealized loss position for 12 months or more on that date.</w:t>
      </w:r>
    </w:p>
    <w:p>
      <w:pPr>
        <w:spacing w:after="0" w:line="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All of the securities which have been in an unrealized loss position for 12 months or more at December 31, 2024 have been individually analyzed and none of the securities are considered to be credit impaired. These securities have unrealized losses primarily due to fluctuations in general interest rates or changes in expected prepayments. In all cases, price improvement in future periods will be realized as the issuances approach maturity. Of the 180 securities in an unrealized loss position for 12 months or more at December 31, 2024, 46 securities, with aggregate amortized cost balances of $65.6 million and representing 30.0% of the aggregate amortized cost of all securities in an unrealized loss position for 12 months or more, are issued by the United States government or GSEs (collectively, "government-issued securities") and are therefore either explicitly or implicitly guaranteed as to the timely payment of contractual principal and interest. These positions are deemed to have no credit impairment, thus, the disclosed unrealized losses relate primarily to changes in prevailing interest rates.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depicts a roll forward of the allowance for credit losses on held-to-maturity investment securities for the years ended December 31,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80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Government Issued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and Government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w w:val="99"/>
              </w:rPr>
              <w:t>Mortgage and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Issued By State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9"/>
              </w:rPr>
              <w:t>Sponsored Enterprise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8"/>
                <w:szCs w:val="18"/>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and Political</w:t>
            </w:r>
          </w:p>
        </w:tc>
        <w:tc>
          <w:tcPr>
            <w:tcW w:w="22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19"/>
                <w:szCs w:val="19"/>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8"/>
              </w:rPr>
              <w:t>Subdivisions</w:t>
            </w:r>
          </w:p>
        </w:tc>
        <w:tc>
          <w:tcPr>
            <w:tcW w:w="220" w:type="dxa"/>
            <w:vAlign w:val="bottom"/>
          </w:tcPr>
          <w:p>
            <w:pPr>
              <w:spacing w:after="0"/>
              <w:rPr>
                <w:sz w:val="19"/>
                <w:szCs w:val="19"/>
                <w:color w:val="auto"/>
              </w:rPr>
            </w:pP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Pr>
          <w:p>
            <w:pPr>
              <w:spacing w:after="0"/>
              <w:rPr>
                <w:sz w:val="19"/>
                <w:szCs w:val="19"/>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December 31, 2023</w:t>
            </w:r>
          </w:p>
        </w:tc>
        <w:tc>
          <w:tcPr>
            <w:tcW w:w="1800" w:type="dxa"/>
            <w:vAlign w:val="bottom"/>
            <w:shd w:val="clear" w:color="auto" w:fill="CFF0FC"/>
          </w:tcPr>
          <w:p>
            <w:pPr>
              <w:jc w:val="right"/>
              <w:ind w:right="14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350</w:t>
            </w:r>
          </w:p>
        </w:tc>
        <w:tc>
          <w:tcPr>
            <w:tcW w:w="3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credit losses</w:t>
            </w:r>
          </w:p>
        </w:tc>
        <w:tc>
          <w:tcPr>
            <w:tcW w:w="18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3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67"/>
        </w:trPr>
        <w:tc>
          <w:tcPr>
            <w:tcW w:w="30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Allowance on purchased financial assets with</w:t>
            </w:r>
          </w:p>
        </w:tc>
        <w:tc>
          <w:tcPr>
            <w:tcW w:w="1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credit deterioration</w:t>
            </w:r>
          </w:p>
        </w:tc>
        <w:tc>
          <w:tcPr>
            <w:tcW w:w="18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Charge-offs of securities</w:t>
            </w:r>
          </w:p>
        </w:tc>
        <w:tc>
          <w:tcPr>
            <w:tcW w:w="18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8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December 31, 2024</w:t>
            </w:r>
          </w:p>
        </w:tc>
        <w:tc>
          <w:tcPr>
            <w:tcW w:w="1800" w:type="dxa"/>
            <w:vAlign w:val="bottom"/>
            <w:tcBorders>
              <w:bottom w:val="single" w:sz="8" w:color="auto"/>
            </w:tcBorders>
          </w:tcPr>
          <w:p>
            <w:pPr>
              <w:jc w:val="right"/>
              <w:ind w:right="14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30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020" w:type="dxa"/>
            <w:vAlign w:val="bottom"/>
          </w:tcPr>
          <w:p>
            <w:pPr>
              <w:spacing w:after="0"/>
              <w:rPr>
                <w:sz w:val="24"/>
                <w:szCs w:val="24"/>
                <w:color w:val="auto"/>
              </w:rPr>
            </w:pPr>
          </w:p>
        </w:tc>
        <w:tc>
          <w:tcPr>
            <w:tcW w:w="180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Government Issued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and Government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w w:val="99"/>
              </w:rPr>
              <w:t>Mortgage and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Issued By State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9"/>
              </w:rPr>
              <w:t>Sponsored Enterprise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8"/>
                <w:szCs w:val="18"/>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and Political</w:t>
            </w:r>
          </w:p>
        </w:tc>
        <w:tc>
          <w:tcPr>
            <w:tcW w:w="22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18"/>
                <w:szCs w:val="18"/>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8"/>
              </w:rPr>
              <w:t>Subdivisions</w:t>
            </w:r>
          </w:p>
        </w:tc>
        <w:tc>
          <w:tcPr>
            <w:tcW w:w="22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800" w:type="dxa"/>
            <w:vAlign w:val="bottom"/>
          </w:tcPr>
          <w:p>
            <w:pPr>
              <w:jc w:val="right"/>
              <w:ind w:right="147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credit losses</w:t>
            </w:r>
          </w:p>
        </w:tc>
        <w:tc>
          <w:tcPr>
            <w:tcW w:w="18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409</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67"/>
        </w:trPr>
        <w:tc>
          <w:tcPr>
            <w:tcW w:w="30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Allowance on purchased financial assets with</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deterioration</w:t>
            </w:r>
          </w:p>
        </w:tc>
        <w:tc>
          <w:tcPr>
            <w:tcW w:w="1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6"/>
                <w:szCs w:val="16"/>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Charge-offs of securities</w:t>
            </w:r>
          </w:p>
        </w:tc>
        <w:tc>
          <w:tcPr>
            <w:tcW w:w="18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8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0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December 31, 2023</w:t>
            </w:r>
          </w:p>
        </w:tc>
        <w:tc>
          <w:tcPr>
            <w:tcW w:w="1800" w:type="dxa"/>
            <w:vAlign w:val="bottom"/>
            <w:tcBorders>
              <w:bottom w:val="single" w:sz="8" w:color="auto"/>
            </w:tcBorders>
            <w:shd w:val="clear" w:color="auto" w:fill="CFF0FC"/>
          </w:tcPr>
          <w:p>
            <w:pPr>
              <w:jc w:val="right"/>
              <w:ind w:right="14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18"/>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350</w:t>
            </w: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The Company monitors the credit quality of the debt securities categorized as held-to-maturity primarily through the use of credit ratings. These assessments are made on a quarterly basis. The following table summarizes the amortized cost of debt securities categorized as held-to-maturity at December 31, 2024, aggregated by credit quality indicators:</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8" w:name="page79"/>
    <w:bookmarkEnd w:id="78"/>
    <w:tbl>
      <w:tblPr>
        <w:tblLayout w:type="fixed"/>
        <w:tblInd w:w="960" w:type="dxa"/>
        <w:tblCellMar>
          <w:top w:w="0" w:type="dxa"/>
          <w:left w:w="0" w:type="dxa"/>
          <w:bottom w:w="0" w:type="dxa"/>
          <w:right w:w="0" w:type="dxa"/>
        </w:tblCellMar>
      </w:tblPr>
      <w:tr>
        <w:trPr>
          <w:trHeight w:val="184"/>
        </w:trPr>
        <w:tc>
          <w:tcPr>
            <w:tcW w:w="6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AAA or equivalent</w:t>
            </w: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38,304</w:t>
            </w:r>
          </w:p>
        </w:tc>
      </w:tr>
      <w:tr>
        <w:trPr>
          <w:trHeight w:val="167"/>
        </w:trPr>
        <w:tc>
          <w:tcPr>
            <w:tcW w:w="69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AA or equivalent, including securities issued by the United States Government or Government Sponsored</w:t>
            </w: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r>
      <w:tr>
        <w:trPr>
          <w:trHeight w:val="19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Enterprises</w:t>
            </w:r>
          </w:p>
        </w:tc>
        <w:tc>
          <w:tcPr>
            <w:tcW w:w="7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40,429</w:t>
            </w:r>
          </w:p>
        </w:tc>
      </w:tr>
      <w:tr>
        <w:trPr>
          <w:trHeight w:val="180"/>
        </w:trPr>
        <w:tc>
          <w:tcPr>
            <w:tcW w:w="6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 or equivalent</w:t>
            </w:r>
          </w:p>
        </w:tc>
        <w:tc>
          <w:tcPr>
            <w:tcW w:w="76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12,602</w:t>
            </w:r>
          </w:p>
        </w:tc>
      </w:tr>
      <w:tr>
        <w:trPr>
          <w:trHeight w:val="180"/>
        </w:trPr>
        <w:tc>
          <w:tcPr>
            <w:tcW w:w="6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BBB or equivalent</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15,265</w:t>
            </w:r>
          </w:p>
        </w:tc>
      </w:tr>
      <w:tr>
        <w:trPr>
          <w:trHeight w:val="167"/>
        </w:trPr>
        <w:tc>
          <w:tcPr>
            <w:tcW w:w="69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BB or equivalent</w:t>
            </w:r>
          </w:p>
        </w:tc>
        <w:tc>
          <w:tcPr>
            <w:tcW w:w="760" w:type="dxa"/>
            <w:vAlign w:val="bottom"/>
          </w:tcPr>
          <w:p>
            <w:pPr>
              <w:spacing w:after="0"/>
              <w:rPr>
                <w:sz w:val="14"/>
                <w:szCs w:val="14"/>
                <w:color w:val="auto"/>
              </w:rPr>
            </w:pPr>
          </w:p>
        </w:tc>
        <w:tc>
          <w:tcPr>
            <w:tcW w:w="900" w:type="dxa"/>
            <w:vAlign w:val="bottom"/>
          </w:tcPr>
          <w:p>
            <w:pPr>
              <w:jc w:val="right"/>
              <w:ind w:right="2"/>
              <w:spacing w:after="0" w:line="167" w:lineRule="exact"/>
              <w:rPr>
                <w:sz w:val="20"/>
                <w:szCs w:val="20"/>
                <w:color w:val="auto"/>
              </w:rPr>
            </w:pPr>
            <w:r>
              <w:rPr>
                <w:rFonts w:ascii="Times New Roman" w:cs="Times New Roman" w:eastAsia="Times New Roman" w:hAnsi="Times New Roman"/>
                <w:sz w:val="16"/>
                <w:szCs w:val="16"/>
                <w:color w:val="auto"/>
              </w:rPr>
              <w:t>1,487</w:t>
            </w:r>
          </w:p>
        </w:tc>
      </w:tr>
      <w:tr>
        <w:trPr>
          <w:trHeight w:val="180"/>
        </w:trPr>
        <w:tc>
          <w:tcPr>
            <w:tcW w:w="6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Unrated</w:t>
            </w:r>
          </w:p>
        </w:tc>
        <w:tc>
          <w:tcPr>
            <w:tcW w:w="76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50,853</w:t>
            </w:r>
          </w:p>
        </w:tc>
      </w:tr>
      <w:tr>
        <w:trPr>
          <w:trHeight w:val="193"/>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158,940</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Additional Disclosures</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Proceeds of $ 8.0 million and $18.0 million, respectively on sales and redemptions of securities for the years ended December 31, 2024 and 2023 resulted in net realized gains (losses) detailed below:</w:t>
      </w:r>
    </w:p>
    <w:p>
      <w:pPr>
        <w:spacing w:after="0" w:line="81" w:lineRule="exact"/>
        <w:rPr>
          <w:sz w:val="20"/>
          <w:szCs w:val="20"/>
          <w:color w:val="auto"/>
        </w:rPr>
      </w:pPr>
    </w:p>
    <w:tbl>
      <w:tblPr>
        <w:tblLayout w:type="fixed"/>
        <w:tblInd w:w="1600" w:type="dxa"/>
        <w:tblCellMar>
          <w:top w:w="0" w:type="dxa"/>
          <w:left w:w="0" w:type="dxa"/>
          <w:bottom w:w="0" w:type="dxa"/>
          <w:right w:w="0" w:type="dxa"/>
        </w:tblCellMar>
      </w:tblP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tcPr>
          <w:p>
            <w:pPr>
              <w:spacing w:after="0"/>
              <w:rPr>
                <w:sz w:val="16"/>
                <w:szCs w:val="16"/>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2024</w:t>
            </w:r>
          </w:p>
        </w:tc>
        <w:tc>
          <w:tcPr>
            <w:tcW w:w="62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3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Realized gains on investments</w:t>
            </w:r>
          </w:p>
        </w:tc>
        <w:tc>
          <w:tcPr>
            <w:tcW w:w="174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828</w:t>
            </w:r>
          </w:p>
        </w:tc>
        <w:tc>
          <w:tcPr>
            <w:tcW w:w="62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2,022</w:t>
            </w:r>
          </w:p>
        </w:tc>
      </w:tr>
      <w:tr>
        <w:trPr>
          <w:trHeight w:val="180"/>
        </w:trPr>
        <w:tc>
          <w:tcPr>
            <w:tcW w:w="3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Realized losses on investments</w:t>
            </w:r>
          </w:p>
        </w:tc>
        <w:tc>
          <w:tcPr>
            <w:tcW w:w="17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(899 )</w:t>
            </w:r>
          </w:p>
        </w:tc>
        <w:tc>
          <w:tcPr>
            <w:tcW w:w="6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(1,960 )</w:t>
            </w:r>
          </w:p>
        </w:tc>
      </w:tr>
      <w:tr>
        <w:trPr>
          <w:trHeight w:val="220"/>
        </w:trPr>
        <w:tc>
          <w:tcPr>
            <w:tcW w:w="308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(71 )</w:t>
            </w:r>
          </w:p>
        </w:tc>
        <w:tc>
          <w:tcPr>
            <w:tcW w:w="620" w:type="dxa"/>
            <w:vAlign w:val="bottom"/>
            <w:tcBorders>
              <w:bottom w:val="single" w:sz="8" w:color="auto"/>
            </w:tcBorders>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62</w:t>
            </w:r>
          </w:p>
        </w:tc>
      </w:tr>
    </w:tbl>
    <w:p>
      <w:pPr>
        <w:spacing w:after="0" w:line="17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As of December 31, 2024 and December 31, 2023, securities with a fair value of $119.8 million and $110.3 million, respectively, were pledged to collateralize certain municipal deposit relationships. As of the same dates, securities with a fair value of $123.2 million and $114.3 million were pledged against certain borrowing arrangements.</w:t>
      </w:r>
    </w:p>
    <w:p>
      <w:pPr>
        <w:spacing w:after="0" w:line="6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Management has reviewed its loan and mortgage-backed securities portfolios and determined that, to the best of its knowledge, little or no exposure exists to sub-prime or other high-risk residential mortgages. The Company is not in the practice of investing in, or originating, these types of investments.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5: LOANS</w:t>
            </w:r>
          </w:p>
        </w:tc>
        <w:tc>
          <w:tcPr>
            <w:tcW w:w="2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Major classifications of loans are as follows:</w:t>
            </w:r>
          </w:p>
        </w:tc>
        <w:tc>
          <w:tcPr>
            <w:tcW w:w="2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80" w:type="dxa"/>
            <w:vAlign w:val="bottom"/>
          </w:tcPr>
          <w:p>
            <w:pPr>
              <w:spacing w:after="0"/>
              <w:rPr>
                <w:sz w:val="24"/>
                <w:szCs w:val="24"/>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December 31,</w:t>
            </w:r>
          </w:p>
        </w:tc>
        <w:tc>
          <w:tcPr>
            <w:tcW w:w="42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93"/>
        </w:trPr>
        <w:tc>
          <w:tcPr>
            <w:tcW w:w="504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6"/>
                <w:szCs w:val="16"/>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258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251,373</w:t>
            </w:r>
          </w:p>
        </w:tc>
        <w:tc>
          <w:tcPr>
            <w:tcW w:w="4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257,604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2580" w:type="dxa"/>
            <w:vAlign w:val="bottom"/>
          </w:tcPr>
          <w:p>
            <w:pPr>
              <w:spacing w:after="0"/>
              <w:rPr>
                <w:sz w:val="15"/>
                <w:szCs w:val="15"/>
                <w:color w:val="auto"/>
              </w:rPr>
            </w:pP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256,237</w:t>
            </w:r>
          </w:p>
        </w:tc>
        <w:tc>
          <w:tcPr>
            <w:tcW w:w="42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258,959</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580" w:type="dxa"/>
            <w:vAlign w:val="bottom"/>
          </w:tcPr>
          <w:p>
            <w:pPr>
              <w:spacing w:after="0"/>
              <w:rPr>
                <w:sz w:val="15"/>
                <w:szCs w:val="15"/>
                <w:color w:val="auto"/>
              </w:rPr>
            </w:pP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377,619</w:t>
            </w:r>
          </w:p>
        </w:tc>
        <w:tc>
          <w:tcPr>
            <w:tcW w:w="42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358,707</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67,602</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72,069</w:t>
            </w:r>
          </w:p>
        </w:tc>
        <w:tc>
          <w:tcPr>
            <w:tcW w:w="0" w:type="dxa"/>
            <w:vAlign w:val="bottom"/>
          </w:tcPr>
          <w:p>
            <w:pPr>
              <w:spacing w:after="0"/>
              <w:rPr>
                <w:sz w:val="1"/>
                <w:szCs w:val="1"/>
                <w:color w:val="auto"/>
              </w:rPr>
            </w:pPr>
          </w:p>
        </w:tc>
      </w:tr>
      <w:tr>
        <w:trPr>
          <w:trHeight w:val="180"/>
        </w:trPr>
        <w:tc>
          <w:tcPr>
            <w:tcW w:w="50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2580" w:type="dxa"/>
            <w:vAlign w:val="bottom"/>
          </w:tcPr>
          <w:p>
            <w:pPr>
              <w:spacing w:after="0"/>
              <w:rPr>
                <w:sz w:val="15"/>
                <w:szCs w:val="15"/>
                <w:color w:val="auto"/>
              </w:rPr>
            </w:pP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89,800</w:t>
            </w:r>
          </w:p>
        </w:tc>
        <w:tc>
          <w:tcPr>
            <w:tcW w:w="4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89,803</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Paycheck Protection Program loans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3"/>
        </w:trPr>
        <w:tc>
          <w:tcPr>
            <w:tcW w:w="50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Tax exempt loans</w:t>
            </w:r>
          </w:p>
        </w:tc>
        <w:tc>
          <w:tcPr>
            <w:tcW w:w="25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4,544</w:t>
            </w:r>
          </w:p>
        </w:tc>
        <w:tc>
          <w:tcPr>
            <w:tcW w:w="42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97"/>
        </w:trPr>
        <w:tc>
          <w:tcPr>
            <w:tcW w:w="504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539,678</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524,167</w:t>
            </w: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2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51,948</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34,858</w:t>
            </w:r>
          </w:p>
        </w:tc>
        <w:tc>
          <w:tcPr>
            <w:tcW w:w="0" w:type="dxa"/>
            <w:vAlign w:val="bottom"/>
          </w:tcPr>
          <w:p>
            <w:pPr>
              <w:spacing w:after="0"/>
              <w:rPr>
                <w:sz w:val="1"/>
                <w:szCs w:val="1"/>
                <w:color w:val="auto"/>
              </w:rPr>
            </w:pPr>
          </w:p>
        </w:tc>
      </w:tr>
      <w:tr>
        <w:trPr>
          <w:trHeight w:val="180"/>
        </w:trPr>
        <w:tc>
          <w:tcPr>
            <w:tcW w:w="50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2580" w:type="dxa"/>
            <w:vAlign w:val="bottom"/>
          </w:tcPr>
          <w:p>
            <w:pPr>
              <w:spacing w:after="0"/>
              <w:rPr>
                <w:sz w:val="15"/>
                <w:szCs w:val="15"/>
                <w:color w:val="auto"/>
              </w:rPr>
            </w:pP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72,710</w:t>
            </w:r>
          </w:p>
        </w:tc>
        <w:tc>
          <w:tcPr>
            <w:tcW w:w="4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79,797</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124,658</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114,655</w:t>
            </w:r>
          </w:p>
        </w:tc>
        <w:tc>
          <w:tcPr>
            <w:tcW w:w="0" w:type="dxa"/>
            <w:vAlign w:val="bottom"/>
          </w:tcPr>
          <w:p>
            <w:pPr>
              <w:spacing w:after="0"/>
              <w:rPr>
                <w:sz w:val="1"/>
                <w:szCs w:val="1"/>
                <w:color w:val="auto"/>
              </w:rPr>
            </w:pPr>
          </w:p>
        </w:tc>
      </w:tr>
      <w:tr>
        <w:trPr>
          <w:trHeight w:val="180"/>
        </w:trPr>
        <w:tc>
          <w:tcPr>
            <w:tcW w:w="50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Subtotal loans</w:t>
            </w:r>
          </w:p>
        </w:tc>
        <w:tc>
          <w:tcPr>
            <w:tcW w:w="2580" w:type="dxa"/>
            <w:vAlign w:val="bottom"/>
          </w:tcPr>
          <w:p>
            <w:pPr>
              <w:spacing w:after="0"/>
              <w:rPr>
                <w:sz w:val="15"/>
                <w:szCs w:val="15"/>
                <w:color w:val="auto"/>
              </w:rPr>
            </w:pP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920,573</w:t>
            </w:r>
          </w:p>
        </w:tc>
        <w:tc>
          <w:tcPr>
            <w:tcW w:w="42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897,781</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deferred loan fees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(1,587)</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2580" w:type="dxa"/>
            <w:vAlign w:val="bottom"/>
          </w:tcPr>
          <w:p>
            <w:pPr>
              <w:spacing w:after="0"/>
              <w:rPr>
                <w:sz w:val="15"/>
                <w:szCs w:val="15"/>
                <w:color w:val="auto"/>
              </w:rPr>
            </w:pP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918,986</w:t>
            </w:r>
          </w:p>
        </w:tc>
        <w:tc>
          <w:tcPr>
            <w:tcW w:w="42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897,207</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25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17,243</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15,975</w:t>
            </w:r>
          </w:p>
        </w:tc>
        <w:tc>
          <w:tcPr>
            <w:tcW w:w="0" w:type="dxa"/>
            <w:vAlign w:val="bottom"/>
          </w:tcPr>
          <w:p>
            <w:pPr>
              <w:spacing w:after="0"/>
              <w:rPr>
                <w:sz w:val="1"/>
                <w:szCs w:val="1"/>
                <w:color w:val="auto"/>
              </w:rPr>
            </w:pPr>
          </w:p>
        </w:tc>
      </w:tr>
      <w:tr>
        <w:trPr>
          <w:trHeight w:val="180"/>
        </w:trPr>
        <w:tc>
          <w:tcPr>
            <w:tcW w:w="504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Loans receivable, net</w:t>
            </w:r>
          </w:p>
        </w:tc>
        <w:tc>
          <w:tcPr>
            <w:tcW w:w="258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901,743</w:t>
            </w:r>
          </w:p>
        </w:tc>
        <w:tc>
          <w:tcPr>
            <w:tcW w:w="42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881,232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5" w:right="680" w:bottom="1440" w:gutter="0" w:footer="0" w:header="0"/>
        </w:sectPr>
      </w:pPr>
    </w:p>
    <w:bookmarkStart w:id="79" w:name="page80"/>
    <w:bookmarkEnd w:id="79"/>
    <w:p>
      <w:pPr>
        <w:spacing w:after="0" w:line="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Future credit-related performance of a loan portfolio generally depends upon the types of loans within the portfolio, concentrations by type of loan and the quality of the collateral securing the loans. The following table details the Company's loan portfolio by collateral type within major categories as of December 31,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4"/>
                <w:szCs w:val="14"/>
                <w:color w:val="auto"/>
              </w:rPr>
            </w:pPr>
          </w:p>
        </w:tc>
        <w:tc>
          <w:tcPr>
            <w:tcW w:w="9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4"/>
                <w:szCs w:val="1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Loan</w:t>
            </w:r>
          </w:p>
        </w:tc>
        <w:tc>
          <w:tcPr>
            <w:tcW w:w="280" w:type="dxa"/>
            <w:vAlign w:val="bottom"/>
          </w:tcPr>
          <w:p>
            <w:pPr>
              <w:spacing w:after="0"/>
              <w:rPr>
                <w:sz w:val="14"/>
                <w:szCs w:val="14"/>
                <w:color w:val="auto"/>
              </w:rPr>
            </w:pPr>
          </w:p>
        </w:tc>
        <w:tc>
          <w:tcPr>
            <w:tcW w:w="96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of Loans</w:t>
            </w:r>
          </w:p>
        </w:tc>
        <w:tc>
          <w:tcPr>
            <w:tcW w:w="240" w:type="dxa"/>
            <w:vAlign w:val="bottom"/>
          </w:tcPr>
          <w:p>
            <w:pPr>
              <w:spacing w:after="0"/>
              <w:rPr>
                <w:sz w:val="14"/>
                <w:szCs w:val="14"/>
                <w:color w:val="auto"/>
              </w:rPr>
            </w:pPr>
          </w:p>
        </w:tc>
        <w:tc>
          <w:tcPr>
            <w:tcW w:w="8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4"/>
                <w:szCs w:val="14"/>
                <w:color w:val="auto"/>
              </w:rPr>
            </w:pPr>
          </w:p>
        </w:tc>
        <w:tc>
          <w:tcPr>
            <w:tcW w:w="152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20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Loans</w:t>
            </w:r>
          </w:p>
        </w:tc>
      </w:tr>
      <w:tr>
        <w:trPr>
          <w:trHeight w:val="18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256,237</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1,968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4,767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2,059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68"/>
        </w:trPr>
        <w:tc>
          <w:tcPr>
            <w:tcW w:w="29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Multi Family (5 or More)</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77,175</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1,118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8,175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1,388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Mixed Use</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56,827</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932</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5,801</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1,021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Office Space</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40,927</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630</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4,037</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735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Hotels and Motels</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31,009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3,101</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11,371</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1-4 Family</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23,978</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165</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2,354</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431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Retail Space</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21,119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449</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2,706</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Recreation/ Golf Course/ Marina</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18,740</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1,041</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4,543</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Auto Dealership</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15,335</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1,534</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4,578</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Nursing Home</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12,226</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4,075</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11,781</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Self Storage/Mini Storage</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11,900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5,950</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3,800</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8,100</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Manufacturing/Industrial</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9,208</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654</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3,001</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Land</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9,869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822</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3,689</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Warehouse</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12,660</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542</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5,200</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Assisted Living</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7,180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7,180</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7,180</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7,180</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Restaurant</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6,687</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557</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1,964</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Auto Repair</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5,176</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246</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986</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16"/>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Hospitals</w:t>
            </w:r>
          </w:p>
        </w:tc>
        <w:tc>
          <w:tcPr>
            <w:tcW w:w="8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4,591</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2,296</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1,697</w:t>
            </w:r>
          </w:p>
        </w:tc>
        <w:tc>
          <w:tcPr>
            <w:tcW w:w="4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2,894</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for Community Service</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3,002</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1,001</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1,509</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All Others</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10,010</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3,307</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377,619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672</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11,781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6,746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68"/>
        </w:trPr>
        <w:tc>
          <w:tcPr>
            <w:tcW w:w="29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Secured Term Loans</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82,331</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411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1,887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Unsecured Term Loans</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7,471</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885</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Secured Lines of Credit</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56,920</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265</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167</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1,014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Unsecured Lines of Credit</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10,680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153</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54"/>
        </w:trPr>
        <w:tc>
          <w:tcPr>
            <w:tcW w:w="2920" w:type="dxa"/>
            <w:vAlign w:val="bottom"/>
            <w:shd w:val="clear" w:color="auto" w:fill="CFF0FC"/>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Total Commercial and</w:t>
            </w: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82"/>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Industrial Loans</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157,402</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903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3,628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Tax Exempt Loans</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4,544</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649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4,051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Paycheck Protection Program Loans</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113</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51,948</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1,352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Vehicle</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12,955</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588</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711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Consumer Secured</w:t>
            </w:r>
          </w:p>
        </w:tc>
        <w:tc>
          <w:tcPr>
            <w:tcW w:w="8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26,141</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1,318</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1,434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Consumer Unsecured</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31,433</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1,637</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1,873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Others</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2,181</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1,222</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6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 Loans</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124,658</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6,117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998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4,806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deferred loan fees</w:t>
            </w: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(1,587 )</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8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(17,243 )</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net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901,743</w:t>
            </w:r>
          </w:p>
        </w:tc>
        <w:tc>
          <w:tcPr>
            <w:tcW w:w="9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9,559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94</w:t>
            </w:r>
          </w:p>
        </w:tc>
        <w:tc>
          <w:tcPr>
            <w:tcW w:w="2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17,243</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25400" cy="154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00" cy="15494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-141605</wp:posOffset>
            </wp:positionV>
            <wp:extent cx="25400" cy="154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00" cy="154940"/>
                    </a:xfrm>
                    <a:prstGeom prst="rect">
                      <a:avLst/>
                    </a:prstGeom>
                    <a:noFill/>
                  </pic:spPr>
                </pic:pic>
              </a:graphicData>
            </a:graphic>
          </wp:anchor>
        </w:drawing>
      </w:r>
    </w:p>
    <w:p>
      <w:pPr>
        <w:spacing w:after="0" w:line="159"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4"/>
          <w:szCs w:val="14"/>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purchased loan pool positions, held by the Bank in purchased loans at year end (month and date of acquisition in parentheses):</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December 31, 2024</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0"/>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Unamortize</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Cumulativ</w:t>
            </w:r>
          </w:p>
        </w:tc>
      </w:tr>
      <w:tr>
        <w:trPr>
          <w:trHeight w:val="180"/>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w:t>
            </w:r>
          </w:p>
        </w:tc>
        <w:tc>
          <w:tcPr>
            <w:tcW w:w="220" w:type="dxa"/>
            <w:vAlign w:val="bottom"/>
          </w:tcPr>
          <w:p>
            <w:pPr>
              <w:spacing w:after="0"/>
              <w:rPr>
                <w:sz w:val="15"/>
                <w:szCs w:val="15"/>
                <w:color w:val="auto"/>
              </w:rPr>
            </w:pPr>
          </w:p>
        </w:tc>
        <w:tc>
          <w:tcPr>
            <w:tcW w:w="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04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d Premium/</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Number of</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Maturity</w:t>
            </w:r>
          </w:p>
        </w:tc>
        <w:tc>
          <w:tcPr>
            <w:tcW w:w="240" w:type="dxa"/>
            <w:vAlign w:val="bottom"/>
          </w:tcPr>
          <w:p>
            <w:pPr>
              <w:spacing w:after="0"/>
              <w:rPr>
                <w:sz w:val="15"/>
                <w:szCs w:val="15"/>
                <w:color w:val="auto"/>
              </w:rPr>
            </w:pPr>
          </w:p>
        </w:tc>
        <w:tc>
          <w:tcPr>
            <w:tcW w:w="66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7"/>
              </w:rPr>
              <w:t>e net</w:t>
            </w:r>
          </w:p>
        </w:tc>
      </w:tr>
      <w:tr>
        <w:trPr>
          <w:trHeight w:val="193"/>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(Discount)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Loans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Range</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charge-offs</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and industrial loans (6/2019)</w:t>
            </w: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6,800</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1,200</w:t>
            </w:r>
          </w:p>
        </w:tc>
        <w:tc>
          <w:tcPr>
            <w:tcW w:w="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 years</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Home equity lines of credit (8/2019)</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21,900</w:t>
            </w:r>
          </w:p>
        </w:tc>
        <w:tc>
          <w:tcPr>
            <w:tcW w:w="22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280" w:type="dxa"/>
            <w:vAlign w:val="bottom"/>
          </w:tcPr>
          <w:p>
            <w:pPr>
              <w:spacing w:after="0"/>
              <w:rPr>
                <w:sz w:val="15"/>
                <w:szCs w:val="15"/>
                <w:color w:val="auto"/>
              </w:rPr>
            </w:pPr>
          </w:p>
        </w:tc>
        <w:tc>
          <w:tcPr>
            <w:tcW w:w="7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4-25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97</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Unsecured consumer loan pool 2 (11/2019)</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26,600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0-1 years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real estate loans (12/2019)</w:t>
            </w:r>
          </w:p>
        </w:tc>
        <w:tc>
          <w:tcPr>
            <w:tcW w:w="320" w:type="dxa"/>
            <w:vAlign w:val="bottom"/>
          </w:tcPr>
          <w:p>
            <w:pPr>
              <w:spacing w:after="0"/>
              <w:rPr>
                <w:sz w:val="15"/>
                <w:szCs w:val="15"/>
                <w:color w:val="auto"/>
              </w:rPr>
            </w:pPr>
          </w:p>
        </w:tc>
        <w:tc>
          <w:tcPr>
            <w:tcW w:w="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4,300</w:t>
            </w:r>
          </w:p>
        </w:tc>
        <w:tc>
          <w:tcPr>
            <w:tcW w:w="22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4,200</w:t>
            </w:r>
          </w:p>
        </w:tc>
        <w:tc>
          <w:tcPr>
            <w:tcW w:w="280" w:type="dxa"/>
            <w:vAlign w:val="bottom"/>
          </w:tcPr>
          <w:p>
            <w:pPr>
              <w:spacing w:after="0"/>
              <w:rPr>
                <w:sz w:val="15"/>
                <w:szCs w:val="15"/>
                <w:color w:val="auto"/>
              </w:rPr>
            </w:pPr>
          </w:p>
        </w:tc>
        <w:tc>
          <w:tcPr>
            <w:tcW w:w="7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278</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16-25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Unsecured consumer loan pool 1 (12/2019)</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 years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Unsecured consumer installment loans pool 3 (12/2019)</w:t>
            </w:r>
            <w:r>
              <w:rPr>
                <w:rFonts w:ascii="Times New Roman" w:cs="Times New Roman" w:eastAsia="Times New Roman" w:hAnsi="Times New Roman"/>
                <w:sz w:val="20"/>
                <w:szCs w:val="20"/>
                <w:color w:val="auto"/>
                <w:vertAlign w:val="superscript"/>
              </w:rPr>
              <w:t>(2)</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10,300</w:t>
            </w:r>
          </w:p>
        </w:tc>
        <w:tc>
          <w:tcPr>
            <w:tcW w:w="22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280" w:type="dxa"/>
            <w:vAlign w:val="bottom"/>
          </w:tcPr>
          <w:p>
            <w:pPr>
              <w:spacing w:after="0"/>
              <w:rPr>
                <w:sz w:val="15"/>
                <w:szCs w:val="15"/>
                <w:color w:val="auto"/>
              </w:rPr>
            </w:pPr>
          </w:p>
        </w:tc>
        <w:tc>
          <w:tcPr>
            <w:tcW w:w="7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0-8 years</w:t>
            </w:r>
          </w:p>
        </w:tc>
        <w:tc>
          <w:tcPr>
            <w:tcW w:w="240" w:type="dxa"/>
            <w:vAlign w:val="bottom"/>
          </w:tcPr>
          <w:p>
            <w:pPr>
              <w:spacing w:after="0"/>
              <w:rPr>
                <w:sz w:val="15"/>
                <w:szCs w:val="15"/>
                <w:color w:val="auto"/>
              </w:rPr>
            </w:pPr>
          </w:p>
        </w:tc>
        <w:tc>
          <w:tcPr>
            <w:tcW w:w="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14,500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9,300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(1,257)</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475</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21-24 years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Unsecured consumer loans pool 5 (1/2021)</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24,400</w:t>
            </w:r>
          </w:p>
        </w:tc>
        <w:tc>
          <w:tcPr>
            <w:tcW w:w="22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12,600</w:t>
            </w:r>
          </w:p>
        </w:tc>
        <w:tc>
          <w:tcPr>
            <w:tcW w:w="28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(342)</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6-21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1,124</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1 (3/2021)</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11,600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0-1 year</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(11/2021)</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21,300</w:t>
            </w:r>
          </w:p>
        </w:tc>
        <w:tc>
          <w:tcPr>
            <w:tcW w:w="22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16,300</w:t>
            </w:r>
          </w:p>
        </w:tc>
        <w:tc>
          <w:tcPr>
            <w:tcW w:w="28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(2,613)</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802</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17-24 years</w:t>
            </w:r>
          </w:p>
        </w:tc>
        <w:tc>
          <w:tcPr>
            <w:tcW w:w="240" w:type="dxa"/>
            <w:vAlign w:val="bottom"/>
          </w:tcPr>
          <w:p>
            <w:pPr>
              <w:spacing w:after="0"/>
              <w:rPr>
                <w:sz w:val="15"/>
                <w:szCs w:val="15"/>
                <w:color w:val="auto"/>
              </w:rPr>
            </w:pPr>
          </w:p>
        </w:tc>
        <w:tc>
          <w:tcPr>
            <w:tcW w:w="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467</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Unsecured consumer loans pool 6 (11/2021)</w:t>
            </w:r>
            <w:r>
              <w:rPr>
                <w:rFonts w:ascii="Times New Roman" w:cs="Times New Roman" w:eastAsia="Times New Roman" w:hAnsi="Times New Roman"/>
                <w:sz w:val="20"/>
                <w:szCs w:val="20"/>
                <w:color w:val="auto"/>
                <w:vertAlign w:val="superscript"/>
              </w:rPr>
              <w:t>(1)</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22,200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15,200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(2,069)</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506</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7-23 years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1,196</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1 (7/2024)</w:t>
            </w:r>
          </w:p>
        </w:tc>
        <w:tc>
          <w:tcPr>
            <w:tcW w:w="320" w:type="dxa"/>
            <w:vAlign w:val="bottom"/>
          </w:tcPr>
          <w:p>
            <w:pPr>
              <w:spacing w:after="0"/>
              <w:rPr>
                <w:sz w:val="15"/>
                <w:szCs w:val="15"/>
                <w:color w:val="auto"/>
              </w:rPr>
            </w:pPr>
          </w:p>
        </w:tc>
        <w:tc>
          <w:tcPr>
            <w:tcW w:w="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22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4,800</w:t>
            </w:r>
          </w:p>
        </w:tc>
        <w:tc>
          <w:tcPr>
            <w:tcW w:w="28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0-1 year</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474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170,350</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75,660</w:t>
            </w:r>
          </w:p>
        </w:tc>
        <w:tc>
          <w:tcPr>
            <w:tcW w:w="280" w:type="dxa"/>
            <w:vAlign w:val="bottom"/>
            <w:tcBorders>
              <w:bottom w:val="single" w:sz="8" w:color="auto"/>
            </w:tcBorders>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(5,964)</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2,677</w:t>
            </w: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3,018</w:t>
            </w:r>
          </w:p>
        </w:tc>
      </w:tr>
      <w:tr>
        <w:trPr>
          <w:trHeight w:val="3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December 31, 2023</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Unamortize</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Cumulativ</w:t>
            </w:r>
          </w:p>
        </w:tc>
      </w:tr>
      <w:tr>
        <w:trPr>
          <w:trHeight w:val="180"/>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w:t>
            </w:r>
          </w:p>
        </w:tc>
        <w:tc>
          <w:tcPr>
            <w:tcW w:w="220" w:type="dxa"/>
            <w:vAlign w:val="bottom"/>
          </w:tcPr>
          <w:p>
            <w:pPr>
              <w:spacing w:after="0"/>
              <w:rPr>
                <w:sz w:val="15"/>
                <w:szCs w:val="15"/>
                <w:color w:val="auto"/>
              </w:rPr>
            </w:pPr>
          </w:p>
        </w:tc>
        <w:tc>
          <w:tcPr>
            <w:tcW w:w="7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04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d Premium/</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Number of</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Maturity</w:t>
            </w:r>
          </w:p>
        </w:tc>
        <w:tc>
          <w:tcPr>
            <w:tcW w:w="240" w:type="dxa"/>
            <w:vAlign w:val="bottom"/>
          </w:tcPr>
          <w:p>
            <w:pPr>
              <w:spacing w:after="0"/>
              <w:rPr>
                <w:sz w:val="15"/>
                <w:szCs w:val="15"/>
                <w:color w:val="auto"/>
              </w:rPr>
            </w:pPr>
          </w:p>
        </w:tc>
        <w:tc>
          <w:tcPr>
            <w:tcW w:w="66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7"/>
              </w:rPr>
              <w:t>e net</w:t>
            </w:r>
          </w:p>
        </w:tc>
      </w:tr>
      <w:tr>
        <w:trPr>
          <w:trHeight w:val="193"/>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(Discount)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Loans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Range</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charge-offs</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and industrial loans (6/2019)</w:t>
            </w: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6,800</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1,600</w:t>
            </w:r>
          </w:p>
        </w:tc>
        <w:tc>
          <w:tcPr>
            <w:tcW w:w="2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 years</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Home equity lines of credit (8/2019)</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21,900</w:t>
            </w:r>
          </w:p>
        </w:tc>
        <w:tc>
          <w:tcPr>
            <w:tcW w:w="22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280" w:type="dxa"/>
            <w:vAlign w:val="bottom"/>
          </w:tcPr>
          <w:p>
            <w:pPr>
              <w:spacing w:after="0"/>
              <w:rPr>
                <w:sz w:val="15"/>
                <w:szCs w:val="15"/>
                <w:color w:val="auto"/>
              </w:rPr>
            </w:pPr>
          </w:p>
        </w:tc>
        <w:tc>
          <w:tcPr>
            <w:tcW w:w="7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1-26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Unsecured consumer loan pool 2 (11/2019)</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26,600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0-2 years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real estate loans (12/2019)</w:t>
            </w:r>
          </w:p>
        </w:tc>
        <w:tc>
          <w:tcPr>
            <w:tcW w:w="320" w:type="dxa"/>
            <w:vAlign w:val="bottom"/>
          </w:tcPr>
          <w:p>
            <w:pPr>
              <w:spacing w:after="0"/>
              <w:rPr>
                <w:sz w:val="15"/>
                <w:szCs w:val="15"/>
                <w:color w:val="auto"/>
              </w:rPr>
            </w:pPr>
          </w:p>
        </w:tc>
        <w:tc>
          <w:tcPr>
            <w:tcW w:w="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4,300</w:t>
            </w:r>
          </w:p>
        </w:tc>
        <w:tc>
          <w:tcPr>
            <w:tcW w:w="22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280" w:type="dxa"/>
            <w:vAlign w:val="bottom"/>
          </w:tcPr>
          <w:p>
            <w:pPr>
              <w:spacing w:after="0"/>
              <w:rPr>
                <w:sz w:val="15"/>
                <w:szCs w:val="15"/>
                <w:color w:val="auto"/>
              </w:rPr>
            </w:pPr>
          </w:p>
        </w:tc>
        <w:tc>
          <w:tcPr>
            <w:tcW w:w="7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17-25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Unsecured consumer loan pool 1 (12/2019)</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 years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Unsecured consumer installment loans pool 3 (12/2019)</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10,300</w:t>
            </w:r>
          </w:p>
        </w:tc>
        <w:tc>
          <w:tcPr>
            <w:tcW w:w="22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0-9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14,500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10,600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(1,252)</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499</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21-25 years</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Unsecured consumer loans pool 5 (1/2021)</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24,400</w:t>
            </w:r>
          </w:p>
        </w:tc>
        <w:tc>
          <w:tcPr>
            <w:tcW w:w="22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15,600</w:t>
            </w:r>
          </w:p>
        </w:tc>
        <w:tc>
          <w:tcPr>
            <w:tcW w:w="28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644</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7-22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1 (3/2021)</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11,600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12,400</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0-1 year</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(11/2021)</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21,300</w:t>
            </w:r>
          </w:p>
        </w:tc>
        <w:tc>
          <w:tcPr>
            <w:tcW w:w="22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18,000</w:t>
            </w:r>
          </w:p>
        </w:tc>
        <w:tc>
          <w:tcPr>
            <w:tcW w:w="28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(2,923)</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821</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17-24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2 (11/2021) paid in full at 12/11/23</w:t>
            </w: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10,500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Unsecured consumer loans pool 6 (11/2021)</w:t>
            </w:r>
          </w:p>
        </w:tc>
        <w:tc>
          <w:tcPr>
            <w:tcW w:w="3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22,200</w:t>
            </w:r>
          </w:p>
        </w:tc>
        <w:tc>
          <w:tcPr>
            <w:tcW w:w="22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18,200</w:t>
            </w:r>
          </w:p>
        </w:tc>
        <w:tc>
          <w:tcPr>
            <w:tcW w:w="28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(2,292)</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522</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7-24 years</w:t>
            </w:r>
          </w:p>
        </w:tc>
        <w:tc>
          <w:tcPr>
            <w:tcW w:w="2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474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179,800</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87,400</w:t>
            </w:r>
          </w:p>
        </w:tc>
        <w:tc>
          <w:tcPr>
            <w:tcW w:w="280" w:type="dxa"/>
            <w:vAlign w:val="bottom"/>
            <w:tcBorders>
              <w:bottom w:val="single" w:sz="8" w:color="auto"/>
            </w:tcBorders>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(6,504)</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3,093</w:t>
            </w: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69</w:t>
            </w: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9" w:right="680" w:bottom="1440" w:gutter="0" w:footer="0" w:header="0"/>
        </w:sectPr>
      </w:pPr>
    </w:p>
    <w:bookmarkStart w:id="81" w:name="page82"/>
    <w:bookmarkEnd w:id="81"/>
    <w:p>
      <w:pPr>
        <w:ind w:left="360" w:right="120"/>
        <w:spacing w:after="0" w:line="231"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4"/>
          <w:szCs w:val="14"/>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 The Bank realized gains related to the settlement of these two hedging contracts in the amounts of $117,000 and $694,000, respectively. These gains on the extinguishment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$705,000 at December 31, 2024.</w:t>
      </w:r>
    </w:p>
    <w:p>
      <w:pPr>
        <w:spacing w:after="0" w:line="152" w:lineRule="exact"/>
        <w:rPr>
          <w:sz w:val="20"/>
          <w:szCs w:val="20"/>
          <w:color w:val="auto"/>
        </w:rPr>
      </w:pPr>
    </w:p>
    <w:p>
      <w:pPr>
        <w:ind w:left="360" w:right="180"/>
        <w:spacing w:after="0" w:line="231" w:lineRule="auto"/>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4"/>
          <w:szCs w:val="14"/>
          <w:color w:val="auto"/>
        </w:rPr>
        <w:t>In December 2023, the primary servicer for a purchased pool of consumer installment loans declared bankruptcy and the Bank placed the loans within the serviced pool on nonaccrual status pending the release of collected funds by the U.S. Bankruptcy Court of jurisdiction. The current balance reflects anticipated principal payments that are expected to be received from the pool’s underlying borrowers. At December 31, 2024, approximately $182,000 remains due from borrowers under the scheduled repayment terms of their original loan agreements. Under a series of released orders from the Court, monthly payments to the Bank resumed in late 2024 and the Bank’s management expects to ultimately collect substantially all of the outstanding principal balance collected from underlying borrowers. Therefore, management does not consider the loans in this pool to be impaired at December 31, 2024.</w:t>
      </w:r>
    </w:p>
    <w:p>
      <w:pPr>
        <w:spacing w:after="0" w:line="175"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residential mortgage loans with a carrying value of $113.8 million and $113.6 million, respectively, have been pledged by the Company to the FHLBNY under a blanket collateral agreement to secure the Company’s line of credit and term borrowings.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Characteristics of Portfolio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portfolio segment generally carries its own unique risk characteristics.</w:t>
      </w:r>
    </w:p>
    <w:p>
      <w:pPr>
        <w:spacing w:after="0" w:line="9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The residential mortgage loan segment is impacted by general economic conditions, unemployment rates in the Bank’s service area, real estate values and the forward expectation of improvement or deterioration in economic conditions. First and second lien residential mortgages, acquired via purchase are impacted by general economic conditions, unemployment rates in the general areas in which the loan collateral is located, real estate values in those areas and the forward expectation of improvement or deterioration in economic conditions.</w:t>
      </w:r>
    </w:p>
    <w:p>
      <w:pPr>
        <w:spacing w:after="0" w:line="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commercial loan segment is impacted by general economic conditions but, more specifically, the industry segment in which each borrower participates. Unique competitive changes within a borrower’s specific industry, or geographic location could cause significant changes in the borrower’s revenue stream, and therefore, impact its ability to repay its obligations. Commercial real estate is also subject to general economic conditions but changes within this segment typically lag changes seen within the consumer and commercial segment. Included within this portfolio are both owner occupied real estate, in which the borrower occupies the majority of the real estate property and upon which the majority of the sources of repayment of the obligation is dependent upon, and non-owner occupied real estate, in which several tenants comprise the repayment source for this portfolio segment. The composition and competitive position of the tenant structure may cause adverse changes in the repayment of debt obligations for the non-owner occupied class within this segment.</w:t>
      </w:r>
    </w:p>
    <w:p>
      <w:pPr>
        <w:spacing w:after="0" w:line="74"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The consumer loan segment is impacted by general economic conditions, unemployment rates in the geographic areas in which borrowers and loan collateral are located, and the forward expectation of improvement or deterioration in economic conditions.</w:t>
      </w:r>
    </w:p>
    <w:p>
      <w:pPr>
        <w:spacing w:after="0" w:line="5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Real estate loans, including residential mortgages, commercial real estate loans and home equity, comprised 74.5% and 72.7% of the total loans held in the portfolio in 2024 and 2023, respectively. Loans secured by real estate generally provide strong collateral protection and thus significantly reduce the inherent credit risk in the portfolio.</w:t>
      </w:r>
    </w:p>
    <w:p>
      <w:pPr>
        <w:spacing w:after="0" w:line="6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Management has reviewed its loan portfolio and determined that, to the best of its knowledge, little or no exposure exists to sub-prime or other high-risk residential mortgages. The Company is not in the practice of originating these types of loans.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Credit Quality Indicators</w:t>
      </w:r>
    </w:p>
    <w:p>
      <w:pPr>
        <w:spacing w:after="0" w:line="9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The Company utilizes an eight tier risk rating system to evaluate the quality of its loan portfolio. Loans that are risk rated “1” through “4” are considered “Pass” loans. In accordance with regulatory guidelines, loans rated “5” through “8” are termed “criticized” loans and loans rated “6” through “8” are termed “classified” loans. A description of the Company’s credit quality indicators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Commercial Loans:</w:t>
      </w:r>
    </w:p>
    <w:p>
      <w:pPr>
        <w:spacing w:after="0" w:line="94"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6"/>
          <w:szCs w:val="16"/>
          <w:color w:val="auto"/>
        </w:rPr>
        <w:t>1. Prime: A loan that is fully secured by properly margined Pathfinder Bank deposit account(s) or an obligation of the US Government. It may also be unsecured if it is supported by a very strong financial condition and, in the case of a commercial loan, excellent management. There exists an unquestioned ability to repay the loan in accordance with its terms.</w:t>
      </w:r>
    </w:p>
    <w:p>
      <w:pPr>
        <w:spacing w:after="0" w:line="68"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6"/>
          <w:szCs w:val="16"/>
          <w:color w:val="auto"/>
        </w:rPr>
        <w:t>2.Strong: Desirable relationship of somewhat less stature than Prime grade. Possesses a sound documented repayment source, and back up, which will allow repayment within the terms of the loan. Individual loans backed by solid assets, character</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82" w:name="page83"/>
    <w:bookmarkEnd w:id="82"/>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and integrity. Ability of individual or company management is good and well established. Probability of serious financial deterioration is unlikely.</w:t>
      </w:r>
    </w:p>
    <w:p>
      <w:pPr>
        <w:spacing w:after="0" w:line="92" w:lineRule="exact"/>
        <w:rPr>
          <w:sz w:val="20"/>
          <w:szCs w:val="20"/>
          <w:color w:val="auto"/>
        </w:rPr>
      </w:pPr>
    </w:p>
    <w:p>
      <w:pPr>
        <w:ind w:left="480" w:right="140"/>
        <w:spacing w:after="0" w:line="299" w:lineRule="auto"/>
        <w:rPr>
          <w:sz w:val="20"/>
          <w:szCs w:val="20"/>
          <w:color w:val="auto"/>
        </w:rPr>
      </w:pPr>
      <w:r>
        <w:rPr>
          <w:rFonts w:ascii="Times New Roman" w:cs="Times New Roman" w:eastAsia="Times New Roman" w:hAnsi="Times New Roman"/>
          <w:sz w:val="14"/>
          <w:szCs w:val="14"/>
          <w:color w:val="auto"/>
        </w:rPr>
        <w:t>3.Satisfactory: Stable financial condition with cash flow sufficient for debt service coverage. Satisfactory loans of average strength having some deficiency or vulnerability to changing economic or industry conditions but performing as agreed with documented evidence of repayment capacity. May be unsecured loans to borrowers with satisfactory credit and financial strength. Satisfactory provisions for management succession and a secondary source of repayment exists.</w:t>
      </w:r>
    </w:p>
    <w:p>
      <w:pPr>
        <w:spacing w:after="0" w:line="34" w:lineRule="exact"/>
        <w:rPr>
          <w:sz w:val="20"/>
          <w:szCs w:val="20"/>
          <w:color w:val="auto"/>
        </w:rPr>
      </w:pPr>
    </w:p>
    <w:p>
      <w:pPr>
        <w:ind w:left="480" w:right="160"/>
        <w:spacing w:after="0" w:line="243" w:lineRule="auto"/>
        <w:rPr>
          <w:sz w:val="20"/>
          <w:szCs w:val="20"/>
          <w:color w:val="auto"/>
        </w:rPr>
      </w:pPr>
      <w:r>
        <w:rPr>
          <w:rFonts w:ascii="Times New Roman" w:cs="Times New Roman" w:eastAsia="Times New Roman" w:hAnsi="Times New Roman"/>
          <w:sz w:val="16"/>
          <w:szCs w:val="16"/>
          <w:color w:val="auto"/>
        </w:rPr>
        <w:t>4.Satisfactory Watch: A four is not a criticized or classified credit. These credits do not display the characteristics of a criticized asset as defined by the regulatory definitions. A credit is given a Satisfactory Watch designation if there are matters or trends observed deserving attention somewhat beyond normal monitoring. Borrowing obligations may be handled according to agreement but could be adversely impacted by developing factors such as industry conditions, operating problems, pending litigation of a significant nature or declining collateral quality and adequacy.</w:t>
      </w:r>
    </w:p>
    <w:p>
      <w:pPr>
        <w:spacing w:after="0" w:line="71" w:lineRule="exact"/>
        <w:rPr>
          <w:sz w:val="20"/>
          <w:szCs w:val="20"/>
          <w:color w:val="auto"/>
        </w:rPr>
      </w:pPr>
    </w:p>
    <w:p>
      <w:pPr>
        <w:ind w:left="480" w:right="340"/>
        <w:spacing w:after="0" w:line="289" w:lineRule="auto"/>
        <w:rPr>
          <w:sz w:val="20"/>
          <w:szCs w:val="20"/>
          <w:color w:val="auto"/>
        </w:rPr>
      </w:pPr>
      <w:r>
        <w:rPr>
          <w:rFonts w:ascii="Times New Roman" w:cs="Times New Roman" w:eastAsia="Times New Roman" w:hAnsi="Times New Roman"/>
          <w:sz w:val="14"/>
          <w:szCs w:val="14"/>
          <w:color w:val="auto"/>
        </w:rPr>
        <w:t>5.Special Mention: A warning risk grade that portrays one or more weaknesses that may be tolerated in the short term. Assets in this category are currently protected but are potentially weak. This loan would not normally be booked as a new credit, but may have redeeming characteristics persuading the Bank to continue working with the borrower. Loans accorded this classification have potential weaknesses which may, if not checked or corrected, weaken the Company’s assets, inadequately protect the Bank’s position or effect the orderly, scheduled reduction of the debt at some future time.</w:t>
      </w:r>
    </w:p>
    <w:p>
      <w:pPr>
        <w:spacing w:after="0" w:line="41" w:lineRule="exact"/>
        <w:rPr>
          <w:sz w:val="20"/>
          <w:szCs w:val="20"/>
          <w:color w:val="auto"/>
        </w:rPr>
      </w:pPr>
    </w:p>
    <w:p>
      <w:pPr>
        <w:ind w:left="480"/>
        <w:spacing w:after="0" w:line="284" w:lineRule="auto"/>
        <w:rPr>
          <w:sz w:val="20"/>
          <w:szCs w:val="20"/>
          <w:color w:val="auto"/>
        </w:rPr>
      </w:pPr>
      <w:r>
        <w:rPr>
          <w:rFonts w:ascii="Times New Roman" w:cs="Times New Roman" w:eastAsia="Times New Roman" w:hAnsi="Times New Roman"/>
          <w:sz w:val="14"/>
          <w:szCs w:val="14"/>
          <w:color w:val="auto"/>
        </w:rPr>
        <w:t>6.Substandard: The relationship is inadequately protected by the current net worth and cash flow capacity of the borrower, guarantor/endorser, or of the collateral pledged. Assets have a well-defined weakness or weaknesses that jeopardize the orderly liquidation of the debt. The relationship shows deteriorating trends or other deficient areas. The loan may be nonperforming and expected to remain so for the foreseeable future. Relationship balances may be adequately secured by asset value; however a deteriorated financial condition may necessitate collateral liquidation to effect repayment. This would also include any relationship with an unacceptable financial condition requiring excessive attention of the officer due to the nature of the credit risk or lack of borrower cooperation.</w:t>
      </w:r>
    </w:p>
    <w:p>
      <w:pPr>
        <w:spacing w:after="0" w:line="44" w:lineRule="exact"/>
        <w:rPr>
          <w:sz w:val="20"/>
          <w:szCs w:val="20"/>
          <w:color w:val="auto"/>
        </w:rPr>
      </w:pPr>
    </w:p>
    <w:p>
      <w:pPr>
        <w:ind w:left="480"/>
        <w:spacing w:after="0" w:line="299" w:lineRule="auto"/>
        <w:rPr>
          <w:sz w:val="20"/>
          <w:szCs w:val="20"/>
          <w:color w:val="auto"/>
        </w:rPr>
      </w:pPr>
      <w:r>
        <w:rPr>
          <w:rFonts w:ascii="Times New Roman" w:cs="Times New Roman" w:eastAsia="Times New Roman" w:hAnsi="Times New Roman"/>
          <w:sz w:val="14"/>
          <w:szCs w:val="14"/>
          <w:color w:val="auto"/>
        </w:rPr>
        <w:t>7.Doubtful: The relationship has all the weaknesses inherent in a credit graded 6 with the added characteristic that the weaknesses make collection on the basis of currently existing facts, conditions and value, highly questionable or improbable. The possibility of some loss is extremely high, however its classification as an anticipated loss is deferred until a more exact determination of the extent of loss is determined. Loans in this category must be on nonaccrual.</w:t>
      </w:r>
    </w:p>
    <w:p>
      <w:pPr>
        <w:spacing w:after="0" w:line="34"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8.Loss: Loans are considered uncollectible and of such little value that continuance as bankable assets is not warranted. It is not practicable or desirable to defer writing off this basically worthless asset even though partial recovery may be possible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Residential Mortgage and Consumer Loans: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Residential mortgage and consumer loans are assigned a “Pass” rating unless the loan has demonstrated signs of weakness as indicated by the ratings below.</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1.Special Mention: All loans sixty days past due are classified Special Mention. The loan is not upgraded until it has been current for six consecutive months.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2.Substandard: All loans 90 days past due are classified Substandard. The loan is not upgraded until it has been current for six consecutive months.</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3.Doubtful: The relationship has all the weaknesses inherent in a credit graded 6 with the added characteristic that the weaknesses make collection on the basis of currently existing facts, conditions and value, highly questionable or improbable. The possibility of some loss is extremely high.</w:t>
      </w:r>
    </w:p>
    <w:p>
      <w:pPr>
        <w:spacing w:after="0" w:line="59"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The risk ratings for classified loans are evaluated at least quarterly for commercial loans or when credit deficiencies arise, such as delinquent loan payments, for commercial, residential mortgage or consumer loans. See further discussion of risk ratings in Note 1.</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3" w:name="page84"/>
    <w:bookmarkEnd w:id="83"/>
    <w:p>
      <w:pPr>
        <w:spacing w:after="0" w:line="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classes of the loan portfolio, summarized by the aggregate pass rating and the classified ratings of special mention, substandard and doubtful within the Company's internal risk rating system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Revolving</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Pr>
          <w:p>
            <w:pPr>
              <w:spacing w:after="0"/>
              <w:rPr>
                <w:sz w:val="14"/>
                <w:szCs w:val="14"/>
                <w:color w:val="auto"/>
              </w:rPr>
            </w:pPr>
          </w:p>
        </w:tc>
        <w:tc>
          <w:tcPr>
            <w:tcW w:w="32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8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Revolving</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loans converted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vMerge w:val="continue"/>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2020</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Prior</w:t>
            </w:r>
          </w:p>
        </w:tc>
        <w:tc>
          <w:tcPr>
            <w:tcW w:w="30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to term loans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8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45,123</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51,531</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61,943</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$ 50,014</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$ 27,688</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$ 107,106</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343,405</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16,160</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4,370</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20,530</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838</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4,165</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4,819</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2,938</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13,475</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45,961</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55,846</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78,603</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54,833</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27,903</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114,473</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377,619</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8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57,618</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2,495</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60,113</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5,622</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5,812</w:t>
            </w:r>
          </w:p>
        </w:tc>
        <w:tc>
          <w:tcPr>
            <w:tcW w:w="0" w:type="dxa"/>
            <w:vAlign w:val="bottom"/>
          </w:tcPr>
          <w:p>
            <w:pPr>
              <w:spacing w:after="0"/>
              <w:rPr>
                <w:sz w:val="1"/>
                <w:szCs w:val="1"/>
                <w:color w:val="auto"/>
              </w:rPr>
            </w:pPr>
          </w:p>
        </w:tc>
      </w:tr>
      <w:tr>
        <w:trPr>
          <w:trHeight w:val="192"/>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1,309</w:t>
            </w:r>
          </w:p>
        </w:tc>
        <w:tc>
          <w:tcPr>
            <w:tcW w:w="2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Lines of Credit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64,549</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3,053</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67,602</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Commercial and Industrial:</w:t>
            </w:r>
          </w:p>
        </w:tc>
        <w:tc>
          <w:tcPr>
            <w:tcW w:w="8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14,141</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20,814</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14,160</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4,186</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3,987</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14,609</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6,022</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77,919</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2,640</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2,220</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258</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5,217</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1,041</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4,398</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5,883</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328</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429</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Commercial and Industrial</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16,781</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23,494</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15,290</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4,873</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4,333</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19,007</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6,022</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89,800</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Paycheck Protection Program Loans</w:t>
            </w:r>
          </w:p>
        </w:tc>
        <w:tc>
          <w:tcPr>
            <w:tcW w:w="8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Paycheck Protection Program Loans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Exempt Loans</w:t>
            </w:r>
          </w:p>
        </w:tc>
        <w:tc>
          <w:tcPr>
            <w:tcW w:w="8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4,363</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4,544</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Tax Exempt Loans</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4,363</w:t>
            </w:r>
          </w:p>
        </w:tc>
        <w:tc>
          <w:tcPr>
            <w:tcW w:w="30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4,544</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8"/>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Revolving</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6"/>
          </w:tcPr>
          <w:p>
            <w:pPr>
              <w:jc w:val="right"/>
              <w:ind w:right="608"/>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Revolving</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loans converted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Prior</w:t>
            </w:r>
          </w:p>
        </w:tc>
        <w:tc>
          <w:tcPr>
            <w:tcW w:w="26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to term loans</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first-lien residential mortgages: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11,085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15,922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29,167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48,525</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$ 35,973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107,571</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248,243</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554</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473</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91</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207</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713</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940</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1-4 family first-lien residential</w:t>
            </w: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mortgages</w:t>
            </w:r>
          </w:p>
        </w:tc>
        <w:tc>
          <w:tcPr>
            <w:tcW w:w="3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11,085</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15,922</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29,167</w:t>
            </w: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48,616</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36,886</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109,697</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251,373</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4,864</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Construction</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4,864</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Equity and Junior Liens: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6,113</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4,092</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3,181</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2,906</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1,692</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11,807</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20,352</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706</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50,849</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320</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657</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Home Equity and Junior Liens</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6,113</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4,092</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3,181</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2,918</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1,692</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12,202</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21,029</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721</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51,948</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Consumer:</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4,475</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58,818</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3,908</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1,031</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2,305</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72,558</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76</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Consumer</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4,477</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58,820</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3,938</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2,102</w:t>
            </w: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1,055</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2,318</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72,710</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Loan Fees</w:t>
            </w:r>
          </w:p>
        </w:tc>
        <w:tc>
          <w:tcPr>
            <w:tcW w:w="30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(462 )</w:t>
            </w: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(171 )</w:t>
            </w:r>
          </w:p>
        </w:tc>
        <w:tc>
          <w:tcPr>
            <w:tcW w:w="18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(197 )</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(70 )</w:t>
            </w:r>
          </w:p>
        </w:tc>
        <w:tc>
          <w:tcPr>
            <w:tcW w:w="1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(705 )</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(1,587 )</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113,14</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88,906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158,192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130,008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$ 72,006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261,355</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91,600</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3,774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918,986</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Nonaccrual and Past Due Loans</w:t>
      </w:r>
    </w:p>
    <w:p>
      <w:pPr>
        <w:spacing w:after="0" w:line="9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Loans are placed on nonaccrual when the contractual payment of principal and interest has become 90 days past due or management has serious doubts about further collectability of principal or interest, even though the loan may be performing.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are considered past due if the required principal and interest payments have not been received within thirty days of the payment due date.</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3" w:right="680" w:bottom="1440" w:gutter="0" w:footer="0" w:header="0"/>
        </w:sectPr>
      </w:pPr>
    </w:p>
    <w:bookmarkStart w:id="85" w:name="page86"/>
    <w:bookmarkEnd w:id="85"/>
    <w:p>
      <w:pPr>
        <w:spacing w:after="0" w:line="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An age analysis of loans, not including net deferred loan costs, segregated by portfolio segment and class of loans, as of December 31, 2024 and 2023, are detailed in the following tables: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auto"/>
                <w:w w:val="98"/>
              </w:rPr>
              <w:t>As of December 31, 2024</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0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30-59 Days</w:t>
            </w:r>
          </w:p>
        </w:tc>
        <w:tc>
          <w:tcPr>
            <w:tcW w:w="260" w:type="dxa"/>
            <w:vAlign w:val="bottom"/>
          </w:tcPr>
          <w:p>
            <w:pPr>
              <w:spacing w:after="0"/>
              <w:rPr>
                <w:sz w:val="24"/>
                <w:szCs w:val="24"/>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60-89 Days</w:t>
            </w:r>
          </w:p>
        </w:tc>
        <w:tc>
          <w:tcPr>
            <w:tcW w:w="220" w:type="dxa"/>
            <w:vAlign w:val="bottom"/>
          </w:tcPr>
          <w:p>
            <w:pPr>
              <w:spacing w:after="0"/>
              <w:rPr>
                <w:sz w:val="24"/>
                <w:szCs w:val="24"/>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 Days</w:t>
            </w:r>
          </w:p>
        </w:tc>
        <w:tc>
          <w:tcPr>
            <w:tcW w:w="30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8"/>
              </w:rPr>
              <w:t>Total Loans</w:t>
            </w:r>
          </w:p>
        </w:tc>
        <w:tc>
          <w:tcPr>
            <w:tcW w:w="0" w:type="dxa"/>
            <w:vAlign w:val="bottom"/>
          </w:tcPr>
          <w:p>
            <w:pPr>
              <w:spacing w:after="0"/>
              <w:rPr>
                <w:sz w:val="1"/>
                <w:szCs w:val="1"/>
                <w:color w:val="auto"/>
              </w:rPr>
            </w:pPr>
          </w:p>
        </w:tc>
      </w:tr>
      <w:tr>
        <w:trPr>
          <w:trHeight w:val="193"/>
        </w:trPr>
        <w:tc>
          <w:tcPr>
            <w:tcW w:w="33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26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220" w:type="dxa"/>
            <w:vAlign w:val="bottom"/>
          </w:tcPr>
          <w:p>
            <w:pPr>
              <w:spacing w:after="0"/>
              <w:rPr>
                <w:sz w:val="16"/>
                <w:szCs w:val="16"/>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and Over</w:t>
            </w:r>
          </w:p>
        </w:tc>
        <w:tc>
          <w:tcPr>
            <w:tcW w:w="300" w:type="dxa"/>
            <w:vAlign w:val="bottom"/>
          </w:tcPr>
          <w:p>
            <w:pPr>
              <w:spacing w:after="0"/>
              <w:rPr>
                <w:sz w:val="16"/>
                <w:szCs w:val="16"/>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Current</w:t>
            </w:r>
          </w:p>
        </w:tc>
        <w:tc>
          <w:tcPr>
            <w:tcW w:w="22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7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2,262</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805</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6,229</w:t>
            </w:r>
          </w:p>
        </w:tc>
        <w:tc>
          <w:tcPr>
            <w:tcW w:w="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245,144</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251,373</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Loans held-for-sale</w:t>
            </w:r>
          </w:p>
        </w:tc>
        <w:tc>
          <w:tcPr>
            <w:tcW w:w="7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2,262</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805</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6,229</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250,008</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256,237</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1,110</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2,086</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10,261</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13,457</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364,162</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377,619</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953</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1,448</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2,429</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65,173</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67,602</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3,022</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6,503</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9,891</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79,909</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89,800</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Paycheck Protection Program loans</w:t>
            </w:r>
          </w:p>
        </w:tc>
        <w:tc>
          <w:tcPr>
            <w:tcW w:w="7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Tax exempt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4,544</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r>
        <w:trPr>
          <w:trHeight w:val="24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 loans</w:t>
            </w:r>
          </w:p>
        </w:tc>
        <w:tc>
          <w:tcPr>
            <w:tcW w:w="70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5,085</w:t>
            </w:r>
          </w:p>
        </w:tc>
        <w:tc>
          <w:tcPr>
            <w:tcW w:w="260" w:type="dxa"/>
            <w:vAlign w:val="bottom"/>
          </w:tcPr>
          <w:p>
            <w:pPr>
              <w:spacing w:after="0"/>
              <w:rPr>
                <w:sz w:val="20"/>
                <w:szCs w:val="20"/>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2,480</w:t>
            </w:r>
          </w:p>
        </w:tc>
        <w:tc>
          <w:tcPr>
            <w:tcW w:w="22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18,212</w:t>
            </w:r>
          </w:p>
        </w:tc>
        <w:tc>
          <w:tcPr>
            <w:tcW w:w="30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25,777</w:t>
            </w:r>
          </w:p>
        </w:tc>
        <w:tc>
          <w:tcPr>
            <w:tcW w:w="340" w:type="dxa"/>
            <w:vAlign w:val="bottom"/>
          </w:tcPr>
          <w:p>
            <w:pPr>
              <w:spacing w:after="0"/>
              <w:rPr>
                <w:sz w:val="20"/>
                <w:szCs w:val="20"/>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513,901</w:t>
            </w:r>
          </w:p>
        </w:tc>
        <w:tc>
          <w:tcPr>
            <w:tcW w:w="2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539,678</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584</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414</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1,327</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50,621</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51,948</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912</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560</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1,768</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70,942</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72,710</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1,496</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889</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710</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3,095</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121,563</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124,658</w:t>
            </w:r>
          </w:p>
        </w:tc>
        <w:tc>
          <w:tcPr>
            <w:tcW w:w="0" w:type="dxa"/>
            <w:vAlign w:val="bottom"/>
          </w:tcPr>
          <w:p>
            <w:pPr>
              <w:spacing w:after="0"/>
              <w:rPr>
                <w:sz w:val="1"/>
                <w:szCs w:val="1"/>
                <w:color w:val="auto"/>
              </w:rPr>
            </w:pPr>
          </w:p>
        </w:tc>
      </w:tr>
      <w:tr>
        <w:trPr>
          <w:trHeight w:val="220"/>
        </w:trPr>
        <w:tc>
          <w:tcPr>
            <w:tcW w:w="33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7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8,843</w:t>
            </w:r>
          </w:p>
        </w:tc>
        <w:tc>
          <w:tcPr>
            <w:tcW w:w="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4,174</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3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35,101</w:t>
            </w:r>
          </w:p>
        </w:tc>
        <w:tc>
          <w:tcPr>
            <w:tcW w:w="3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885,472</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920,573</w:t>
            </w:r>
          </w:p>
        </w:tc>
        <w:tc>
          <w:tcPr>
            <w:tcW w:w="0" w:type="dxa"/>
            <w:vAlign w:val="bottom"/>
          </w:tcPr>
          <w:p>
            <w:pPr>
              <w:spacing w:after="0"/>
              <w:rPr>
                <w:sz w:val="1"/>
                <w:szCs w:val="1"/>
                <w:color w:val="auto"/>
              </w:rPr>
            </w:pPr>
          </w:p>
        </w:tc>
      </w:tr>
      <w:tr>
        <w:trPr>
          <w:trHeight w:val="346"/>
        </w:trPr>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auto"/>
                <w:w w:val="98"/>
              </w:rPr>
              <w:t>As of December 31, 2023</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0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30-59 Days</w:t>
            </w:r>
          </w:p>
        </w:tc>
        <w:tc>
          <w:tcPr>
            <w:tcW w:w="260" w:type="dxa"/>
            <w:vAlign w:val="bottom"/>
          </w:tcPr>
          <w:p>
            <w:pPr>
              <w:spacing w:after="0"/>
              <w:rPr>
                <w:sz w:val="24"/>
                <w:szCs w:val="24"/>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60-89 Days</w:t>
            </w:r>
          </w:p>
        </w:tc>
        <w:tc>
          <w:tcPr>
            <w:tcW w:w="220" w:type="dxa"/>
            <w:vAlign w:val="bottom"/>
          </w:tcPr>
          <w:p>
            <w:pPr>
              <w:spacing w:after="0"/>
              <w:rPr>
                <w:sz w:val="24"/>
                <w:szCs w:val="24"/>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 Days</w:t>
            </w:r>
          </w:p>
        </w:tc>
        <w:tc>
          <w:tcPr>
            <w:tcW w:w="30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8"/>
              </w:rPr>
              <w:t>Total Loans</w:t>
            </w:r>
          </w:p>
        </w:tc>
        <w:tc>
          <w:tcPr>
            <w:tcW w:w="0" w:type="dxa"/>
            <w:vAlign w:val="bottom"/>
          </w:tcPr>
          <w:p>
            <w:pPr>
              <w:spacing w:after="0"/>
              <w:rPr>
                <w:sz w:val="1"/>
                <w:szCs w:val="1"/>
                <w:color w:val="auto"/>
              </w:rPr>
            </w:pPr>
          </w:p>
        </w:tc>
      </w:tr>
      <w:tr>
        <w:trPr>
          <w:trHeight w:val="180"/>
        </w:trPr>
        <w:tc>
          <w:tcPr>
            <w:tcW w:w="33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Past Due</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Past Due</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and Over</w:t>
            </w:r>
          </w:p>
        </w:tc>
        <w:tc>
          <w:tcPr>
            <w:tcW w:w="300" w:type="dxa"/>
            <w:vAlign w:val="bottom"/>
          </w:tcPr>
          <w:p>
            <w:pPr>
              <w:spacing w:after="0"/>
              <w:rPr>
                <w:sz w:val="15"/>
                <w:szCs w:val="15"/>
                <w:color w:val="auto"/>
              </w:rPr>
            </w:pPr>
          </w:p>
        </w:tc>
        <w:tc>
          <w:tcPr>
            <w:tcW w:w="7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7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1,462</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2,269</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1,770</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5,501</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252,103</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257,604</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7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1,355</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1,462</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2,269</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1,770</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5,501</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253,458</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258,959</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5,385</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196</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5,053</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10,634</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348,073</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358,707</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924</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1,104</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70,965</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72,069</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5,347</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322</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6,340</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12,009</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77,794</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89,803</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Paycheck Protection Program loans</w:t>
            </w:r>
          </w:p>
        </w:tc>
        <w:tc>
          <w:tcPr>
            <w:tcW w:w="7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Tax exempt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3,430</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10,912</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518</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12,317</w:t>
            </w:r>
          </w:p>
        </w:tc>
        <w:tc>
          <w:tcPr>
            <w:tcW w:w="300" w:type="dxa"/>
            <w:vAlign w:val="bottom"/>
          </w:tcPr>
          <w:p>
            <w:pPr>
              <w:spacing w:after="0"/>
              <w:rPr>
                <w:sz w:val="15"/>
                <w:szCs w:val="15"/>
                <w:color w:val="auto"/>
              </w:rPr>
            </w:pPr>
          </w:p>
        </w:tc>
        <w:tc>
          <w:tcPr>
            <w:tcW w:w="7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23,747</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500,420</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524,167</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300" w:type="dxa"/>
            <w:vAlign w:val="bottom"/>
          </w:tcPr>
          <w:p>
            <w:pPr>
              <w:spacing w:after="0"/>
              <w:rPr>
                <w:sz w:val="15"/>
                <w:szCs w:val="15"/>
                <w:color w:val="auto"/>
              </w:rPr>
            </w:pPr>
          </w:p>
        </w:tc>
        <w:tc>
          <w:tcPr>
            <w:tcW w:w="7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431</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34,427</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34,858</w:t>
            </w:r>
          </w:p>
        </w:tc>
        <w:tc>
          <w:tcPr>
            <w:tcW w:w="0" w:type="dxa"/>
            <w:vAlign w:val="bottom"/>
          </w:tcPr>
          <w:p>
            <w:pPr>
              <w:spacing w:after="0"/>
              <w:rPr>
                <w:sz w:val="1"/>
                <w:szCs w:val="1"/>
                <w:color w:val="auto"/>
              </w:rPr>
            </w:pPr>
          </w:p>
        </w:tc>
      </w:tr>
      <w:tr>
        <w:trPr>
          <w:trHeight w:val="180"/>
        </w:trPr>
        <w:tc>
          <w:tcPr>
            <w:tcW w:w="3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984</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383</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2,948</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4,315</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75,482</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79,797</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7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1,194</w:t>
            </w:r>
          </w:p>
        </w:tc>
        <w:tc>
          <w:tcPr>
            <w:tcW w:w="26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412</w:t>
            </w:r>
          </w:p>
        </w:tc>
        <w:tc>
          <w:tcPr>
            <w:tcW w:w="2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3,140</w:t>
            </w:r>
          </w:p>
        </w:tc>
        <w:tc>
          <w:tcPr>
            <w:tcW w:w="30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4,746</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109,909</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114,655</w:t>
            </w:r>
          </w:p>
        </w:tc>
        <w:tc>
          <w:tcPr>
            <w:tcW w:w="0" w:type="dxa"/>
            <w:vAlign w:val="bottom"/>
          </w:tcPr>
          <w:p>
            <w:pPr>
              <w:spacing w:after="0"/>
              <w:rPr>
                <w:sz w:val="1"/>
                <w:szCs w:val="1"/>
                <w:color w:val="auto"/>
              </w:rPr>
            </w:pPr>
          </w:p>
        </w:tc>
      </w:tr>
      <w:tr>
        <w:trPr>
          <w:trHeight w:val="220"/>
        </w:trPr>
        <w:tc>
          <w:tcPr>
            <w:tcW w:w="33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7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13,568</w:t>
            </w:r>
          </w:p>
        </w:tc>
        <w:tc>
          <w:tcPr>
            <w:tcW w:w="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3,199</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17,227</w:t>
            </w:r>
          </w:p>
        </w:tc>
        <w:tc>
          <w:tcPr>
            <w:tcW w:w="3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33,994</w:t>
            </w:r>
          </w:p>
        </w:tc>
        <w:tc>
          <w:tcPr>
            <w:tcW w:w="3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863,787</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897,781</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6" w:name="page87"/>
    <w:bookmarkEnd w:id="8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w w:val="99"/>
              </w:rPr>
              <w:t>Nonaccrual loans as of December 31, 2024 and 2023, segregated by class of loan, were as follows: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auto"/>
              </w:rPr>
              <w:t>December 31, 2024</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without related</w:t>
            </w:r>
          </w:p>
        </w:tc>
        <w:tc>
          <w:tcPr>
            <w:tcW w:w="26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7"/>
              </w:rPr>
              <w:t>Recognized</w:t>
            </w:r>
          </w:p>
        </w:tc>
        <w:tc>
          <w:tcPr>
            <w:tcW w:w="0" w:type="dxa"/>
            <w:vAlign w:val="bottom"/>
          </w:tcPr>
          <w:p>
            <w:pPr>
              <w:spacing w:after="0"/>
              <w:rPr>
                <w:sz w:val="1"/>
                <w:szCs w:val="1"/>
                <w:color w:val="auto"/>
              </w:rPr>
            </w:pPr>
          </w:p>
        </w:tc>
      </w:tr>
      <w:tr>
        <w:trPr>
          <w:trHeight w:val="180"/>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allowance for credit</w:t>
            </w:r>
          </w:p>
        </w:tc>
        <w:tc>
          <w:tcPr>
            <w:tcW w:w="26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0" w:type="dxa"/>
            <w:vAlign w:val="bottom"/>
          </w:tcPr>
          <w:p>
            <w:pPr>
              <w:spacing w:after="0"/>
              <w:rPr>
                <w:sz w:val="1"/>
                <w:szCs w:val="1"/>
                <w:color w:val="auto"/>
              </w:rPr>
            </w:pPr>
          </w:p>
        </w:tc>
      </w:tr>
      <w:tr>
        <w:trPr>
          <w:trHeight w:val="193"/>
        </w:trPr>
        <w:tc>
          <w:tcPr>
            <w:tcW w:w="6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Nonaccrual Loans</w:t>
            </w:r>
          </w:p>
        </w:tc>
        <w:tc>
          <w:tcPr>
            <w:tcW w:w="34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loss</w:t>
            </w:r>
          </w:p>
        </w:tc>
        <w:tc>
          <w:tcPr>
            <w:tcW w:w="260" w:type="dxa"/>
            <w:vAlign w:val="bottom"/>
          </w:tcPr>
          <w:p>
            <w:pPr>
              <w:spacing w:after="0"/>
              <w:rPr>
                <w:sz w:val="16"/>
                <w:szCs w:val="16"/>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income</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10,261</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4,537</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4"/>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Lines of credit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340" w:type="dxa"/>
            <w:vAlign w:val="bottom"/>
          </w:tcPr>
          <w:p>
            <w:pPr>
              <w:spacing w:after="0"/>
              <w:rPr>
                <w:sz w:val="17"/>
                <w:szCs w:val="17"/>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1,255</w:t>
            </w:r>
          </w:p>
        </w:tc>
        <w:tc>
          <w:tcPr>
            <w:tcW w:w="2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6,503</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1,921</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24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18,212</w:t>
            </w: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7,713</w:t>
            </w:r>
          </w:p>
        </w:tc>
        <w:tc>
          <w:tcPr>
            <w:tcW w:w="2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240" w:type="dxa"/>
            <w:vAlign w:val="bottom"/>
          </w:tcPr>
          <w:p>
            <w:pPr>
              <w:spacing w:after="0"/>
              <w:rPr>
                <w:sz w:val="15"/>
                <w:szCs w:val="15"/>
                <w:color w:val="auto"/>
              </w:rPr>
            </w:pPr>
          </w:p>
        </w:tc>
        <w:tc>
          <w:tcPr>
            <w:tcW w:w="1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414</w:t>
            </w: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240" w:type="dxa"/>
            <w:vAlign w:val="bottom"/>
          </w:tcPr>
          <w:p>
            <w:pPr>
              <w:spacing w:after="0"/>
              <w:rPr>
                <w:sz w:val="15"/>
                <w:szCs w:val="15"/>
                <w:color w:val="auto"/>
              </w:rPr>
            </w:pPr>
          </w:p>
        </w:tc>
        <w:tc>
          <w:tcPr>
            <w:tcW w:w="1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710</w:t>
            </w: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0"/>
        </w:trPr>
        <w:tc>
          <w:tcPr>
            <w:tcW w:w="6320" w:type="dxa"/>
            <w:vAlign w:val="bottom"/>
            <w:tcBorders>
              <w:bottom w:val="single" w:sz="8" w:color="auto"/>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nonaccrual loans</w:t>
            </w:r>
          </w:p>
        </w:tc>
        <w:tc>
          <w:tcPr>
            <w:tcW w:w="2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3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8,354</w:t>
            </w:r>
          </w:p>
        </w:tc>
        <w:tc>
          <w:tcPr>
            <w:tcW w:w="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503"/>
        </w:trPr>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auto"/>
              </w:rPr>
              <w:t>December 31, 2023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82"/>
              <w:spacing w:after="0" w:line="181" w:lineRule="exact"/>
              <w:rPr>
                <w:sz w:val="20"/>
                <w:szCs w:val="20"/>
                <w:color w:val="auto"/>
              </w:rPr>
            </w:pPr>
            <w:r>
              <w:rPr>
                <w:rFonts w:ascii="Times New Roman" w:cs="Times New Roman" w:eastAsia="Times New Roman" w:hAnsi="Times New Roman"/>
                <w:sz w:val="16"/>
                <w:szCs w:val="16"/>
                <w:color w:val="auto"/>
              </w:rPr>
              <w:t>without related</w:t>
            </w:r>
          </w:p>
        </w:tc>
        <w:tc>
          <w:tcPr>
            <w:tcW w:w="260" w:type="dxa"/>
            <w:vAlign w:val="bottom"/>
          </w:tcPr>
          <w:p>
            <w:pPr>
              <w:spacing w:after="0"/>
              <w:rPr>
                <w:sz w:val="15"/>
                <w:szCs w:val="15"/>
                <w:color w:val="auto"/>
              </w:rPr>
            </w:pPr>
          </w:p>
        </w:tc>
        <w:tc>
          <w:tcPr>
            <w:tcW w:w="840" w:type="dxa"/>
            <w:vAlign w:val="bottom"/>
          </w:tcPr>
          <w:p>
            <w:pPr>
              <w:jc w:val="right"/>
              <w:ind w:right="2"/>
              <w:spacing w:after="0" w:line="181" w:lineRule="exact"/>
              <w:rPr>
                <w:sz w:val="20"/>
                <w:szCs w:val="20"/>
                <w:color w:val="auto"/>
              </w:rPr>
            </w:pPr>
            <w:r>
              <w:rPr>
                <w:rFonts w:ascii="Times New Roman" w:cs="Times New Roman" w:eastAsia="Times New Roman" w:hAnsi="Times New Roman"/>
                <w:sz w:val="16"/>
                <w:szCs w:val="16"/>
                <w:color w:val="auto"/>
                <w:w w:val="97"/>
              </w:rPr>
              <w:t>Recognized</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allowance for credit</w:t>
            </w:r>
          </w:p>
        </w:tc>
        <w:tc>
          <w:tcPr>
            <w:tcW w:w="26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Nonaccrual Loans</w:t>
            </w:r>
          </w:p>
        </w:tc>
        <w:tc>
          <w:tcPr>
            <w:tcW w:w="340" w:type="dxa"/>
            <w:vAlign w:val="bottom"/>
          </w:tcPr>
          <w:p>
            <w:pPr>
              <w:spacing w:after="0"/>
              <w:rPr>
                <w:sz w:val="17"/>
                <w:szCs w:val="17"/>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loss</w:t>
            </w:r>
          </w:p>
        </w:tc>
        <w:tc>
          <w:tcPr>
            <w:tcW w:w="2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income</w:t>
            </w:r>
          </w:p>
        </w:tc>
        <w:tc>
          <w:tcPr>
            <w:tcW w:w="0" w:type="dxa"/>
            <w:vAlign w:val="bottom"/>
          </w:tcPr>
          <w:p>
            <w:pPr>
              <w:spacing w:after="0"/>
              <w:rPr>
                <w:sz w:val="1"/>
                <w:szCs w:val="1"/>
                <w:color w:val="auto"/>
              </w:rPr>
            </w:pPr>
          </w:p>
        </w:tc>
      </w:tr>
      <w:tr>
        <w:trPr>
          <w:trHeight w:val="19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1,770</w:t>
            </w: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24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1,770</w:t>
            </w: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5,053</w:t>
            </w: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3,058</w:t>
            </w:r>
          </w:p>
        </w:tc>
        <w:tc>
          <w:tcPr>
            <w:tcW w:w="2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924</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80"/>
        </w:trPr>
        <w:tc>
          <w:tcPr>
            <w:tcW w:w="6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24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6,340</w:t>
            </w: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4,079</w:t>
            </w:r>
          </w:p>
        </w:tc>
        <w:tc>
          <w:tcPr>
            <w:tcW w:w="2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12,317</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7,137</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6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24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2,948</w:t>
            </w:r>
          </w:p>
        </w:tc>
        <w:tc>
          <w:tcPr>
            <w:tcW w:w="340" w:type="dxa"/>
            <w:vAlign w:val="bottom"/>
          </w:tcPr>
          <w:p>
            <w:pPr>
              <w:spacing w:after="0"/>
              <w:rPr>
                <w:sz w:val="15"/>
                <w:szCs w:val="15"/>
                <w:color w:val="auto"/>
              </w:rPr>
            </w:pP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1,207</w:t>
            </w:r>
          </w:p>
        </w:tc>
        <w:tc>
          <w:tcPr>
            <w:tcW w:w="2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6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3,140</w:t>
            </w: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1,207</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6320" w:type="dxa"/>
            <w:vAlign w:val="bottom"/>
            <w:tcBorders>
              <w:bottom w:val="single" w:sz="8" w:color="auto"/>
            </w:tcBorders>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nonaccrual loans</w:t>
            </w:r>
          </w:p>
        </w:tc>
        <w:tc>
          <w:tcPr>
            <w:tcW w:w="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17,227</w:t>
            </w:r>
          </w:p>
        </w:tc>
        <w:tc>
          <w:tcPr>
            <w:tcW w:w="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8,413</w:t>
            </w:r>
          </w:p>
        </w:tc>
        <w:tc>
          <w:tcPr>
            <w:tcW w:w="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loans past due ninety days or more and still accruing interest at December 31, 2024 or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Loans Modified With Borrowers Experiencing Financial Difficulty</w:t>
      </w:r>
    </w:p>
    <w:p>
      <w:pPr>
        <w:spacing w:after="0" w:line="9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7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7" w:name="page88"/>
    <w:bookmarkEnd w:id="87"/>
    <w:p>
      <w:pPr>
        <w:spacing w:after="0" w:line="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be granted. Nonaccrual loans that are modified will remain on nonaccrual status, but may move to accrual status after they have performed according to the modified terms for a period of time of at least six months.</w:t>
      </w:r>
    </w:p>
    <w:p>
      <w:pPr>
        <w:spacing w:after="0" w:line="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financial impact of commercial real estate loan modifications made to borrowers experiencing financial difficult during the twelve months ended December 31, 2024 related to one borrower and granted a maturity extension of 48 months. The Company closely monitors the performance of loans that are modified to borrowers experiencing financial difficulty to understand the effectiveness of its modification efforts. The payment status of modified loans were current during the twelve months ending 2024. There were no modifications granted to borrowers experiencing financial difficulty for the period ended December 31, 2023.</w:t>
      </w:r>
    </w:p>
    <w:p>
      <w:pPr>
        <w:spacing w:after="0" w:line="7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amortized cost basis of loans at December 31, 2024 and 2023 that were experiencing financial difficulty and modified, by class and by type of modification.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tcPr>
          <w:p>
            <w:pPr>
              <w:spacing w:after="0"/>
              <w:rPr>
                <w:sz w:val="16"/>
                <w:szCs w:val="16"/>
                <w:color w:val="auto"/>
              </w:rPr>
            </w:pPr>
          </w:p>
        </w:tc>
        <w:tc>
          <w:tcPr>
            <w:tcW w:w="35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As of December 31, 2024</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2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3520" w:type="dxa"/>
            <w:vAlign w:val="bottom"/>
          </w:tcPr>
          <w:p>
            <w:pPr>
              <w:jc w:val="right"/>
              <w:ind w:right="1982"/>
              <w:spacing w:after="0" w:line="180" w:lineRule="exact"/>
              <w:rPr>
                <w:sz w:val="20"/>
                <w:szCs w:val="20"/>
                <w:color w:val="auto"/>
              </w:rPr>
            </w:pPr>
            <w:r>
              <w:rPr>
                <w:rFonts w:ascii="Times New Roman" w:cs="Times New Roman" w:eastAsia="Times New Roman" w:hAnsi="Times New Roman"/>
                <w:sz w:val="16"/>
                <w:szCs w:val="16"/>
                <w:color w:val="auto"/>
              </w:rPr>
              <w:t>Term Extension</w:t>
            </w:r>
          </w:p>
        </w:tc>
        <w:tc>
          <w:tcPr>
            <w:tcW w:w="2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Total Class of Receivable</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900" w:type="dxa"/>
            <w:vAlign w:val="bottom"/>
            <w:shd w:val="clear" w:color="auto" w:fill="CFF0FC"/>
          </w:tcPr>
          <w:p>
            <w:pPr>
              <w:spacing w:after="0"/>
              <w:rPr>
                <w:sz w:val="15"/>
                <w:szCs w:val="15"/>
                <w:color w:val="auto"/>
              </w:rPr>
            </w:pPr>
          </w:p>
        </w:tc>
        <w:tc>
          <w:tcPr>
            <w:tcW w:w="352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2,096</w:t>
            </w: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lines of credit</w:t>
            </w:r>
          </w:p>
        </w:tc>
        <w:tc>
          <w:tcPr>
            <w:tcW w:w="1900" w:type="dxa"/>
            <w:vAlign w:val="bottom"/>
          </w:tcPr>
          <w:p>
            <w:pPr>
              <w:spacing w:after="0"/>
              <w:rPr>
                <w:sz w:val="15"/>
                <w:szCs w:val="15"/>
                <w:color w:val="auto"/>
              </w:rPr>
            </w:pPr>
          </w:p>
        </w:tc>
        <w:tc>
          <w:tcPr>
            <w:tcW w:w="3520" w:type="dxa"/>
            <w:vAlign w:val="bottom"/>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900" w:type="dxa"/>
            <w:vAlign w:val="bottom"/>
            <w:shd w:val="clear" w:color="auto" w:fill="CFF0FC"/>
          </w:tcPr>
          <w:p>
            <w:pPr>
              <w:spacing w:after="0"/>
              <w:rPr>
                <w:sz w:val="15"/>
                <w:szCs w:val="15"/>
                <w:color w:val="auto"/>
              </w:rPr>
            </w:pPr>
          </w:p>
        </w:tc>
        <w:tc>
          <w:tcPr>
            <w:tcW w:w="352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Home equity and consumer</w:t>
            </w:r>
          </w:p>
        </w:tc>
        <w:tc>
          <w:tcPr>
            <w:tcW w:w="1900" w:type="dxa"/>
            <w:vAlign w:val="bottom"/>
          </w:tcPr>
          <w:p>
            <w:pPr>
              <w:spacing w:after="0"/>
              <w:rPr>
                <w:sz w:val="15"/>
                <w:szCs w:val="15"/>
                <w:color w:val="auto"/>
              </w:rPr>
            </w:pPr>
          </w:p>
        </w:tc>
        <w:tc>
          <w:tcPr>
            <w:tcW w:w="3520" w:type="dxa"/>
            <w:vAlign w:val="bottom"/>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90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520" w:type="dxa"/>
            <w:vAlign w:val="bottom"/>
            <w:tcBorders>
              <w:bottom w:val="single" w:sz="8" w:color="auto"/>
            </w:tcBorders>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2,096</w:t>
            </w:r>
          </w:p>
        </w:tc>
        <w:tc>
          <w:tcPr>
            <w:tcW w:w="2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53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tcPr>
          <w:p>
            <w:pPr>
              <w:spacing w:after="0"/>
              <w:rPr>
                <w:sz w:val="24"/>
                <w:szCs w:val="24"/>
                <w:color w:val="auto"/>
              </w:rPr>
            </w:pPr>
          </w:p>
        </w:tc>
        <w:tc>
          <w:tcPr>
            <w:tcW w:w="35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As of December 31, 2023</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2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3520" w:type="dxa"/>
            <w:vAlign w:val="bottom"/>
          </w:tcPr>
          <w:p>
            <w:pPr>
              <w:jc w:val="right"/>
              <w:ind w:right="1982"/>
              <w:spacing w:after="0" w:line="180" w:lineRule="exact"/>
              <w:rPr>
                <w:sz w:val="20"/>
                <w:szCs w:val="20"/>
                <w:color w:val="auto"/>
              </w:rPr>
            </w:pPr>
            <w:r>
              <w:rPr>
                <w:rFonts w:ascii="Times New Roman" w:cs="Times New Roman" w:eastAsia="Times New Roman" w:hAnsi="Times New Roman"/>
                <w:sz w:val="16"/>
                <w:szCs w:val="16"/>
                <w:color w:val="auto"/>
              </w:rPr>
              <w:t>Term Extension</w:t>
            </w:r>
          </w:p>
        </w:tc>
        <w:tc>
          <w:tcPr>
            <w:tcW w:w="2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Total Class of Receivable</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900" w:type="dxa"/>
            <w:vAlign w:val="bottom"/>
            <w:shd w:val="clear" w:color="auto" w:fill="CFF0FC"/>
          </w:tcPr>
          <w:p>
            <w:pPr>
              <w:spacing w:after="0"/>
              <w:rPr>
                <w:sz w:val="15"/>
                <w:szCs w:val="15"/>
                <w:color w:val="auto"/>
              </w:rPr>
            </w:pPr>
          </w:p>
        </w:tc>
        <w:tc>
          <w:tcPr>
            <w:tcW w:w="352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lines of credit</w:t>
            </w:r>
          </w:p>
        </w:tc>
        <w:tc>
          <w:tcPr>
            <w:tcW w:w="1900" w:type="dxa"/>
            <w:vAlign w:val="bottom"/>
          </w:tcPr>
          <w:p>
            <w:pPr>
              <w:spacing w:after="0"/>
              <w:rPr>
                <w:sz w:val="15"/>
                <w:szCs w:val="15"/>
                <w:color w:val="auto"/>
              </w:rPr>
            </w:pPr>
          </w:p>
        </w:tc>
        <w:tc>
          <w:tcPr>
            <w:tcW w:w="3520" w:type="dxa"/>
            <w:vAlign w:val="bottom"/>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900" w:type="dxa"/>
            <w:vAlign w:val="bottom"/>
            <w:shd w:val="clear" w:color="auto" w:fill="CFF0FC"/>
          </w:tcPr>
          <w:p>
            <w:pPr>
              <w:spacing w:after="0"/>
              <w:rPr>
                <w:sz w:val="15"/>
                <w:szCs w:val="15"/>
                <w:color w:val="auto"/>
              </w:rPr>
            </w:pPr>
          </w:p>
        </w:tc>
        <w:tc>
          <w:tcPr>
            <w:tcW w:w="352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Home equity and consumer</w:t>
            </w:r>
          </w:p>
        </w:tc>
        <w:tc>
          <w:tcPr>
            <w:tcW w:w="1900" w:type="dxa"/>
            <w:vAlign w:val="bottom"/>
          </w:tcPr>
          <w:p>
            <w:pPr>
              <w:spacing w:after="0"/>
              <w:rPr>
                <w:sz w:val="15"/>
                <w:szCs w:val="15"/>
                <w:color w:val="auto"/>
              </w:rPr>
            </w:pPr>
          </w:p>
        </w:tc>
        <w:tc>
          <w:tcPr>
            <w:tcW w:w="3520" w:type="dxa"/>
            <w:vAlign w:val="bottom"/>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90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520" w:type="dxa"/>
            <w:vAlign w:val="bottom"/>
            <w:tcBorders>
              <w:bottom w:val="single" w:sz="8" w:color="auto"/>
            </w:tcBorders>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Collateral Dependent Loans</w:t>
      </w:r>
    </w:p>
    <w:p>
      <w:pPr>
        <w:spacing w:after="0" w:line="9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Company has certain individually evaluated loans for which repayment is dependent upon the operation or sale of collateral. The underlying collateral can vary based upon the type of loan. The following provides more detail about the types of collateral that secure collateral dependent loans:</w:t>
      </w:r>
    </w:p>
    <w:p>
      <w:pPr>
        <w:spacing w:after="0" w:line="59" w:lineRule="exact"/>
        <w:rPr>
          <w:sz w:val="20"/>
          <w:szCs w:val="20"/>
          <w:color w:val="auto"/>
        </w:rPr>
      </w:pPr>
    </w:p>
    <w:p>
      <w:pPr>
        <w:ind w:left="480" w:right="520"/>
        <w:spacing w:after="0" w:line="289" w:lineRule="auto"/>
        <w:rPr>
          <w:sz w:val="20"/>
          <w:szCs w:val="20"/>
          <w:color w:val="auto"/>
        </w:rPr>
      </w:pPr>
      <w:r>
        <w:rPr>
          <w:rFonts w:ascii="Times New Roman" w:cs="Times New Roman" w:eastAsia="Times New Roman" w:hAnsi="Times New Roman"/>
          <w:sz w:val="14"/>
          <w:szCs w:val="14"/>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•Residential real estate loans are typically secured by first mortgages, and in some cases could be secured by a second mortgage.</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•Home equity lines of credit are generally secured by second mortgages on residential real estate property.</w:t>
      </w:r>
    </w:p>
    <w:p>
      <w:pPr>
        <w:spacing w:after="0" w:line="92"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•Consumer loans are generally secured by automobiles, motorcycles, recreational vehicles and other personal property. Some consumer loans are unsecured and have no underlying collateral.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details the amortized cost of collateral dependent loans as of December 31,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1840" w:type="dxa"/>
            <w:vAlign w:val="bottom"/>
          </w:tcPr>
          <w:p>
            <w:pPr>
              <w:spacing w:after="0"/>
              <w:rPr>
                <w:sz w:val="15"/>
                <w:szCs w:val="15"/>
                <w:color w:val="auto"/>
              </w:rPr>
            </w:pPr>
          </w:p>
        </w:tc>
      </w:tr>
      <w:tr>
        <w:trPr>
          <w:trHeight w:val="168"/>
        </w:trPr>
        <w:tc>
          <w:tcPr>
            <w:tcW w:w="1860" w:type="dxa"/>
            <w:vAlign w:val="bottom"/>
          </w:tcPr>
          <w:p>
            <w:pPr>
              <w:spacing w:after="0"/>
              <w:rPr>
                <w:sz w:val="14"/>
                <w:szCs w:val="14"/>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6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46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840" w:type="dxa"/>
            <w:vAlign w:val="bottom"/>
          </w:tcPr>
          <w:p>
            <w:pPr>
              <w:spacing w:after="0"/>
              <w:rPr>
                <w:sz w:val="14"/>
                <w:szCs w:val="14"/>
                <w:color w:val="auto"/>
              </w:rPr>
            </w:pPr>
          </w:p>
        </w:tc>
      </w:tr>
      <w:tr>
        <w:trPr>
          <w:trHeight w:val="168"/>
        </w:trPr>
        <w:tc>
          <w:tcPr>
            <w:tcW w:w="186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6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1840" w:type="dxa"/>
            <w:vAlign w:val="bottom"/>
          </w:tcPr>
          <w:p>
            <w:pPr>
              <w:spacing w:after="0"/>
              <w:rPr>
                <w:sz w:val="14"/>
                <w:szCs w:val="14"/>
                <w:color w:val="auto"/>
              </w:rPr>
            </w:pPr>
          </w:p>
        </w:tc>
      </w:tr>
      <w:tr>
        <w:trPr>
          <w:trHeight w:val="180"/>
        </w:trPr>
        <w:tc>
          <w:tcPr>
            <w:tcW w:w="1860" w:type="dxa"/>
            <w:vAlign w:val="bottom"/>
          </w:tcPr>
          <w:p>
            <w:pPr>
              <w:spacing w:after="0"/>
              <w:rPr>
                <w:sz w:val="15"/>
                <w:szCs w:val="15"/>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(1-4 family) first mortgages</w:t>
            </w:r>
          </w:p>
        </w:tc>
        <w:tc>
          <w:tcPr>
            <w:tcW w:w="6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4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840" w:type="dxa"/>
            <w:vAlign w:val="bottom"/>
          </w:tcPr>
          <w:p>
            <w:pPr>
              <w:spacing w:after="0"/>
              <w:rPr>
                <w:sz w:val="15"/>
                <w:szCs w:val="15"/>
                <w:color w:val="auto"/>
              </w:rPr>
            </w:pPr>
          </w:p>
        </w:tc>
      </w:tr>
      <w:tr>
        <w:trPr>
          <w:trHeight w:val="168"/>
        </w:trPr>
        <w:tc>
          <w:tcPr>
            <w:tcW w:w="186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Home equity loans and lines of credit</w:t>
            </w:r>
          </w:p>
        </w:tc>
        <w:tc>
          <w:tcPr>
            <w:tcW w:w="6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840" w:type="dxa"/>
            <w:vAlign w:val="bottom"/>
          </w:tcPr>
          <w:p>
            <w:pPr>
              <w:spacing w:after="0"/>
              <w:rPr>
                <w:sz w:val="14"/>
                <w:szCs w:val="14"/>
                <w:color w:val="auto"/>
              </w:rPr>
            </w:pPr>
          </w:p>
        </w:tc>
      </w:tr>
      <w:tr>
        <w:trPr>
          <w:trHeight w:val="168"/>
        </w:trPr>
        <w:tc>
          <w:tcPr>
            <w:tcW w:w="1860" w:type="dxa"/>
            <w:vAlign w:val="bottom"/>
          </w:tcPr>
          <w:p>
            <w:pPr>
              <w:spacing w:after="0"/>
              <w:rPr>
                <w:sz w:val="14"/>
                <w:szCs w:val="14"/>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Consumer loans</w:t>
            </w:r>
          </w:p>
        </w:tc>
        <w:tc>
          <w:tcPr>
            <w:tcW w:w="6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spacing w:after="0"/>
              <w:rPr>
                <w:sz w:val="14"/>
                <w:szCs w:val="14"/>
                <w:color w:val="auto"/>
              </w:rPr>
            </w:pPr>
          </w:p>
        </w:tc>
      </w:tr>
      <w:tr>
        <w:trPr>
          <w:trHeight w:val="168"/>
        </w:trPr>
        <w:tc>
          <w:tcPr>
            <w:tcW w:w="1860" w:type="dxa"/>
            <w:vAlign w:val="bottom"/>
          </w:tcPr>
          <w:p>
            <w:pPr>
              <w:spacing w:after="0"/>
              <w:rPr>
                <w:sz w:val="14"/>
                <w:szCs w:val="14"/>
                <w:color w:val="auto"/>
              </w:rPr>
            </w:pP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loans</w:t>
            </w: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17,038</w:t>
            </w:r>
          </w:p>
        </w:tc>
        <w:tc>
          <w:tcPr>
            <w:tcW w:w="4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20,981</w:t>
            </w:r>
          </w:p>
        </w:tc>
        <w:tc>
          <w:tcPr>
            <w:tcW w:w="1840" w:type="dxa"/>
            <w:vAlign w:val="bottom"/>
          </w:tcPr>
          <w:p>
            <w:pPr>
              <w:spacing w:after="0"/>
              <w:rPr>
                <w:sz w:val="14"/>
                <w:szCs w:val="14"/>
                <w:color w:val="auto"/>
              </w:rPr>
            </w:pPr>
          </w:p>
        </w:tc>
      </w:tr>
      <w:tr>
        <w:trPr>
          <w:trHeight w:val="20"/>
        </w:trPr>
        <w:tc>
          <w:tcPr>
            <w:tcW w:w="186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74"/>
        </w:trPr>
        <w:tc>
          <w:tcPr>
            <w:tcW w:w="1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jc w:val="right"/>
              <w:ind w:right="866"/>
              <w:spacing w:after="0"/>
              <w:rPr>
                <w:sz w:val="20"/>
                <w:szCs w:val="20"/>
                <w:color w:val="auto"/>
              </w:rPr>
            </w:pPr>
            <w:r>
              <w:rPr>
                <w:rFonts w:ascii="Times New Roman" w:cs="Times New Roman" w:eastAsia="Times New Roman" w:hAnsi="Times New Roman"/>
                <w:sz w:val="18"/>
                <w:szCs w:val="18"/>
                <w:color w:val="auto"/>
              </w:rPr>
              <w:t>- 88 -</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678"/>
        </w:trPr>
        <w:tc>
          <w:tcPr>
            <w:tcW w:w="1860" w:type="dxa"/>
            <w:vAlign w:val="bottom"/>
            <w:tcBorders>
              <w:bottom w:val="single" w:sz="8" w:color="EEEEEE"/>
            </w:tcBorders>
          </w:tcPr>
          <w:p>
            <w:pPr>
              <w:spacing w:after="0"/>
              <w:rPr>
                <w:sz w:val="24"/>
                <w:szCs w:val="24"/>
                <w:color w:val="auto"/>
              </w:rPr>
            </w:pPr>
          </w:p>
        </w:tc>
        <w:tc>
          <w:tcPr>
            <w:tcW w:w="27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1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8" w:name="page89"/>
    <w:bookmarkEnd w:id="88"/>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ALLOWANCE FOR CREDIT LOSSES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 xml:space="preserve">As discussed in Note 1, on January 1, 2023, the Bank adopted ASC 326, </w:t>
      </w:r>
      <w:r>
        <w:rPr>
          <w:rFonts w:ascii="Times New Roman" w:cs="Times New Roman" w:eastAsia="Times New Roman" w:hAnsi="Times New Roman"/>
          <w:sz w:val="16"/>
          <w:szCs w:val="16"/>
          <w:i w:val="1"/>
          <w:iCs w:val="1"/>
          <w:color w:val="auto"/>
        </w:rPr>
        <w:t>Financial Instruments-Credit Losses</w:t>
      </w:r>
      <w:r>
        <w:rPr>
          <w:rFonts w:ascii="Times New Roman" w:cs="Times New Roman" w:eastAsia="Times New Roman" w:hAnsi="Times New Roman"/>
          <w:sz w:val="16"/>
          <w:szCs w:val="16"/>
          <w:color w:val="auto"/>
        </w:rPr>
        <w:t>, and accounts for its allowance for credit losses on loans in accordance with the CECL methodology.</w:t>
      </w:r>
    </w:p>
    <w:p>
      <w:pPr>
        <w:spacing w:after="0" w:line="5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Changes in the allowance for credit losses for the year ended December 31, 2024 and 2023, and information pertaining to the allocation of the allowance for credit losses and balances of the allowance for credit losses and loans receivable based on individual and collective impairment evaluation by loan portfolio class at the indicated dates, are summarized in the tables below. An allocation of a portion of the allowance to a given portfolio class does not limit the Company’s ability to absorb losses in another portfolio class.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1-4 family</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December 31, 2024</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Paycheck</w:t>
            </w:r>
          </w:p>
        </w:tc>
        <w:tc>
          <w:tcPr>
            <w:tcW w:w="0" w:type="dxa"/>
            <w:vAlign w:val="bottom"/>
          </w:tcPr>
          <w:p>
            <w:pPr>
              <w:spacing w:after="0"/>
              <w:rPr>
                <w:sz w:val="1"/>
                <w:szCs w:val="1"/>
                <w:color w:val="auto"/>
              </w:rPr>
            </w:pPr>
          </w:p>
        </w:tc>
      </w:tr>
      <w:tr>
        <w:trPr>
          <w:trHeight w:val="180"/>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128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Protection</w:t>
            </w:r>
          </w:p>
        </w:tc>
        <w:tc>
          <w:tcPr>
            <w:tcW w:w="0" w:type="dxa"/>
            <w:vAlign w:val="bottom"/>
          </w:tcPr>
          <w:p>
            <w:pPr>
              <w:spacing w:after="0"/>
              <w:rPr>
                <w:sz w:val="1"/>
                <w:szCs w:val="1"/>
                <w:color w:val="auto"/>
              </w:rPr>
            </w:pPr>
          </w:p>
        </w:tc>
      </w:tr>
      <w:tr>
        <w:trPr>
          <w:trHeight w:val="193"/>
        </w:trPr>
        <w:tc>
          <w:tcPr>
            <w:tcW w:w="28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mortgage</w:t>
            </w:r>
          </w:p>
        </w:tc>
        <w:tc>
          <w:tcPr>
            <w:tcW w:w="12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Construction</w:t>
            </w:r>
          </w:p>
        </w:tc>
        <w:tc>
          <w:tcPr>
            <w:tcW w:w="18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real estate</w:t>
            </w:r>
          </w:p>
        </w:tc>
        <w:tc>
          <w:tcPr>
            <w:tcW w:w="12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lines of credit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and industrial</w:t>
            </w:r>
          </w:p>
        </w:tc>
        <w:tc>
          <w:tcPr>
            <w:tcW w:w="260" w:type="dxa"/>
            <w:vAlign w:val="bottom"/>
          </w:tcPr>
          <w:p>
            <w:pPr>
              <w:spacing w:after="0"/>
              <w:rPr>
                <w:sz w:val="16"/>
                <w:szCs w:val="16"/>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9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9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1,608</w:t>
            </w:r>
          </w:p>
        </w:tc>
        <w:tc>
          <w:tcPr>
            <w:tcW w:w="5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858</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5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5,751</w:t>
            </w:r>
          </w:p>
        </w:tc>
        <w:tc>
          <w:tcPr>
            <w:tcW w:w="70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1,674</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3,281</w:t>
            </w:r>
          </w:p>
        </w:tc>
        <w:tc>
          <w:tcPr>
            <w:tcW w:w="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9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5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(1,119)</w:t>
            </w:r>
          </w:p>
        </w:tc>
        <w:tc>
          <w:tcPr>
            <w:tcW w:w="7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(1,918)</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(3,436)</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9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540" w:type="dxa"/>
            <w:vAlign w:val="bottom"/>
          </w:tcPr>
          <w:p>
            <w:pPr>
              <w:spacing w:after="0"/>
              <w:rPr>
                <w:sz w:val="15"/>
                <w:szCs w:val="15"/>
                <w:color w:val="auto"/>
              </w:rPr>
            </w:pPr>
          </w:p>
        </w:tc>
        <w:tc>
          <w:tcPr>
            <w:tcW w:w="6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700" w:type="dxa"/>
            <w:vAlign w:val="bottom"/>
          </w:tcPr>
          <w:p>
            <w:pPr>
              <w:spacing w:after="0"/>
              <w:rPr>
                <w:sz w:val="15"/>
                <w:szCs w:val="15"/>
                <w:color w:val="auto"/>
              </w:rPr>
            </w:pPr>
          </w:p>
        </w:tc>
        <w:tc>
          <w:tcPr>
            <w:tcW w:w="5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Provisions (credits)</w:t>
            </w:r>
          </w:p>
        </w:tc>
        <w:tc>
          <w:tcPr>
            <w:tcW w:w="9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5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(266)</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2,093</w:t>
            </w:r>
          </w:p>
        </w:tc>
        <w:tc>
          <w:tcPr>
            <w:tcW w:w="7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946</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3,012</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1,467</w:t>
            </w:r>
          </w:p>
        </w:tc>
        <w:tc>
          <w:tcPr>
            <w:tcW w:w="540" w:type="dxa"/>
            <w:vAlign w:val="bottom"/>
            <w:tcBorders>
              <w:bottom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6,746</w:t>
            </w:r>
          </w:p>
        </w:tc>
        <w:tc>
          <w:tcPr>
            <w:tcW w:w="700" w:type="dxa"/>
            <w:vAlign w:val="bottom"/>
            <w:tcBorders>
              <w:bottom w:val="single" w:sz="8" w:color="auto"/>
            </w:tcBorders>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2,879</w:t>
            </w:r>
          </w:p>
        </w:tc>
        <w:tc>
          <w:tcPr>
            <w:tcW w:w="2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9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42</w:t>
            </w:r>
          </w:p>
        </w:tc>
        <w:tc>
          <w:tcPr>
            <w:tcW w:w="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853</w:t>
            </w:r>
          </w:p>
        </w:tc>
        <w:tc>
          <w:tcPr>
            <w:tcW w:w="70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154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1,165</w:t>
            </w:r>
          </w:p>
        </w:tc>
        <w:tc>
          <w:tcPr>
            <w:tcW w:w="2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collectively evaluated</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1,425</w:t>
            </w:r>
          </w:p>
        </w:tc>
        <w:tc>
          <w:tcPr>
            <w:tcW w:w="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592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5,893</w:t>
            </w:r>
          </w:p>
        </w:tc>
        <w:tc>
          <w:tcPr>
            <w:tcW w:w="70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595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1,714</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Loans receivables:</w:t>
            </w:r>
          </w:p>
        </w:tc>
        <w:tc>
          <w:tcPr>
            <w:tcW w:w="9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251,373</w:t>
            </w:r>
          </w:p>
        </w:tc>
        <w:tc>
          <w:tcPr>
            <w:tcW w:w="540" w:type="dxa"/>
            <w:vAlign w:val="bottom"/>
            <w:tcBorders>
              <w:bottom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377,619</w:t>
            </w:r>
          </w:p>
        </w:tc>
        <w:tc>
          <w:tcPr>
            <w:tcW w:w="700" w:type="dxa"/>
            <w:vAlign w:val="bottom"/>
            <w:tcBorders>
              <w:bottom w:val="single" w:sz="8" w:color="auto"/>
            </w:tcBorders>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5"/>
              </w:rPr>
              <w:t>67,602</w:t>
            </w:r>
          </w:p>
        </w:tc>
        <w:tc>
          <w:tcPr>
            <w:tcW w:w="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89,800</w:t>
            </w:r>
          </w:p>
        </w:tc>
        <w:tc>
          <w:tcPr>
            <w:tcW w:w="2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individually</w:t>
            </w:r>
          </w:p>
        </w:tc>
        <w:tc>
          <w:tcPr>
            <w:tcW w:w="9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1,175</w:t>
            </w:r>
          </w:p>
        </w:tc>
        <w:tc>
          <w:tcPr>
            <w:tcW w:w="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0"/>
              </w:rPr>
              <w:t>10,636</w:t>
            </w:r>
          </w:p>
        </w:tc>
        <w:tc>
          <w:tcPr>
            <w:tcW w:w="70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1,409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6,169</w:t>
            </w:r>
          </w:p>
        </w:tc>
        <w:tc>
          <w:tcPr>
            <w:tcW w:w="2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collectively</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250,198</w:t>
            </w:r>
          </w:p>
        </w:tc>
        <w:tc>
          <w:tcPr>
            <w:tcW w:w="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4,864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366,983</w:t>
            </w:r>
          </w:p>
        </w:tc>
        <w:tc>
          <w:tcPr>
            <w:tcW w:w="70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5"/>
              </w:rPr>
              <w:t>66,193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83,631</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361"/>
        </w:trPr>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color w:val="auto"/>
              </w:rPr>
              <w:t>Home 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Tax exempt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and junior liens</w:t>
            </w:r>
          </w:p>
        </w:tc>
        <w:tc>
          <w:tcPr>
            <w:tcW w:w="5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consumer</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9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960" w:type="dxa"/>
            <w:vAlign w:val="bottom"/>
          </w:tcPr>
          <w:p>
            <w:pPr>
              <w:spacing w:after="0"/>
              <w:rPr>
                <w:sz w:val="15"/>
                <w:szCs w:val="15"/>
                <w:color w:val="auto"/>
              </w:rPr>
            </w:pPr>
          </w:p>
        </w:tc>
        <w:tc>
          <w:tcPr>
            <w:tcW w:w="90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657</w:t>
            </w:r>
          </w:p>
        </w:tc>
        <w:tc>
          <w:tcPr>
            <w:tcW w:w="58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2,145</w:t>
            </w:r>
          </w:p>
        </w:tc>
        <w:tc>
          <w:tcPr>
            <w:tcW w:w="58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15,975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9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280" w:type="dxa"/>
            <w:vAlign w:val="bottom"/>
            <w:gridSpan w:val="2"/>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(3,546)</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(10,183)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5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Provisions</w:t>
            </w: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5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11,106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82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540" w:type="dxa"/>
            <w:vAlign w:val="bottom"/>
            <w:vMerge w:val="continue"/>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380" w:type="dxa"/>
            <w:vAlign w:val="bottom"/>
            <w:vMerge w:val="continue"/>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660" w:type="dxa"/>
            <w:vAlign w:val="bottom"/>
            <w:tcBorders>
              <w:bottom w:val="single" w:sz="8" w:color="auto"/>
            </w:tcBorders>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715</w:t>
            </w:r>
          </w:p>
        </w:tc>
        <w:tc>
          <w:tcPr>
            <w:tcW w:w="58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4,091</w:t>
            </w:r>
          </w:p>
        </w:tc>
        <w:tc>
          <w:tcPr>
            <w:tcW w:w="58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17,243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9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5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5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2,485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collectively evaluated</w:t>
            </w:r>
          </w:p>
        </w:tc>
        <w:tc>
          <w:tcPr>
            <w:tcW w:w="960" w:type="dxa"/>
            <w:vAlign w:val="bottom"/>
          </w:tcPr>
          <w:p>
            <w:pPr>
              <w:spacing w:after="0"/>
              <w:rPr>
                <w:sz w:val="16"/>
                <w:szCs w:val="16"/>
                <w:color w:val="auto"/>
              </w:rPr>
            </w:pPr>
          </w:p>
        </w:tc>
        <w:tc>
          <w:tcPr>
            <w:tcW w:w="90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5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5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14,758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Loans receivables:</w:t>
            </w:r>
          </w:p>
        </w:tc>
        <w:tc>
          <w:tcPr>
            <w:tcW w:w="9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4,544</w:t>
            </w:r>
          </w:p>
        </w:tc>
        <w:tc>
          <w:tcPr>
            <w:tcW w:w="660" w:type="dxa"/>
            <w:vAlign w:val="bottom"/>
            <w:tcBorders>
              <w:bottom w:val="single" w:sz="8" w:color="auto"/>
            </w:tcBorders>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51,948</w:t>
            </w:r>
          </w:p>
        </w:tc>
        <w:tc>
          <w:tcPr>
            <w:tcW w:w="58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72,710</w:t>
            </w:r>
          </w:p>
        </w:tc>
        <w:tc>
          <w:tcPr>
            <w:tcW w:w="58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920,573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individually</w:t>
            </w:r>
          </w:p>
        </w:tc>
        <w:tc>
          <w:tcPr>
            <w:tcW w:w="9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5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5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20,011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collectively</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tcPr>
          <w:p>
            <w:pPr>
              <w:spacing w:after="0"/>
              <w:rPr>
                <w:sz w:val="17"/>
                <w:szCs w:val="17"/>
                <w:color w:val="auto"/>
              </w:rPr>
            </w:pPr>
          </w:p>
        </w:tc>
        <w:tc>
          <w:tcPr>
            <w:tcW w:w="90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4,544</w:t>
            </w:r>
          </w:p>
        </w:tc>
        <w:tc>
          <w:tcPr>
            <w:tcW w:w="6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51,393</w:t>
            </w:r>
          </w:p>
        </w:tc>
        <w:tc>
          <w:tcPr>
            <w:tcW w:w="5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72,643</w:t>
            </w:r>
          </w:p>
        </w:tc>
        <w:tc>
          <w:tcPr>
            <w:tcW w:w="5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900,562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9" w:name="page90"/>
    <w:bookmarkEnd w:id="89"/>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1-4 family</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4"/>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2023</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Paycheck</w:t>
            </w:r>
          </w:p>
        </w:tc>
        <w:tc>
          <w:tcPr>
            <w:tcW w:w="0" w:type="dxa"/>
            <w:vAlign w:val="bottom"/>
          </w:tcPr>
          <w:p>
            <w:pPr>
              <w:spacing w:after="0"/>
              <w:rPr>
                <w:sz w:val="1"/>
                <w:szCs w:val="1"/>
                <w:color w:val="auto"/>
              </w:rPr>
            </w:pPr>
          </w:p>
        </w:tc>
      </w:tr>
      <w:tr>
        <w:trPr>
          <w:trHeight w:val="180"/>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tcPr>
          <w:p>
            <w:pPr>
              <w:spacing w:after="0"/>
              <w:rPr>
                <w:sz w:val="15"/>
                <w:szCs w:val="15"/>
                <w:color w:val="auto"/>
              </w:rPr>
            </w:pPr>
          </w:p>
        </w:tc>
        <w:tc>
          <w:tcPr>
            <w:tcW w:w="10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Protection</w:t>
            </w:r>
          </w:p>
        </w:tc>
        <w:tc>
          <w:tcPr>
            <w:tcW w:w="0" w:type="dxa"/>
            <w:vAlign w:val="bottom"/>
          </w:tcPr>
          <w:p>
            <w:pPr>
              <w:spacing w:after="0"/>
              <w:rPr>
                <w:sz w:val="1"/>
                <w:szCs w:val="1"/>
                <w:color w:val="auto"/>
              </w:rPr>
            </w:pPr>
          </w:p>
        </w:tc>
      </w:tr>
      <w:tr>
        <w:trPr>
          <w:trHeight w:val="193"/>
        </w:trPr>
        <w:tc>
          <w:tcPr>
            <w:tcW w:w="28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mortgage</w:t>
            </w:r>
          </w:p>
        </w:tc>
        <w:tc>
          <w:tcPr>
            <w:tcW w:w="11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tcPr>
          <w:p>
            <w:pPr>
              <w:spacing w:after="0"/>
              <w:rPr>
                <w:sz w:val="16"/>
                <w:szCs w:val="16"/>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real estate</w:t>
            </w:r>
          </w:p>
        </w:tc>
        <w:tc>
          <w:tcPr>
            <w:tcW w:w="22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lines of credit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and industrial</w:t>
            </w:r>
          </w:p>
        </w:tc>
        <w:tc>
          <w:tcPr>
            <w:tcW w:w="280" w:type="dxa"/>
            <w:vAlign w:val="bottom"/>
          </w:tcPr>
          <w:p>
            <w:pPr>
              <w:spacing w:after="0"/>
              <w:rPr>
                <w:sz w:val="16"/>
                <w:szCs w:val="16"/>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9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714</w:t>
            </w:r>
          </w:p>
        </w:tc>
        <w:tc>
          <w:tcPr>
            <w:tcW w:w="58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spacing w:after="0"/>
              <w:rPr>
                <w:sz w:val="15"/>
                <w:szCs w:val="15"/>
                <w:color w:val="auto"/>
              </w:rPr>
            </w:pPr>
          </w:p>
        </w:tc>
        <w:tc>
          <w:tcPr>
            <w:tcW w:w="5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5,881</w:t>
            </w:r>
          </w:p>
        </w:tc>
        <w:tc>
          <w:tcPr>
            <w:tcW w:w="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3,990</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2,944</w:t>
            </w:r>
          </w:p>
        </w:tc>
        <w:tc>
          <w:tcPr>
            <w:tcW w:w="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Adoption of ASC 326</w:t>
            </w:r>
          </w:p>
        </w:tc>
        <w:tc>
          <w:tcPr>
            <w:tcW w:w="9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1,396</w:t>
            </w:r>
          </w:p>
        </w:tc>
        <w:tc>
          <w:tcPr>
            <w:tcW w:w="5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969</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(1,744)</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96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580" w:type="dxa"/>
            <w:vAlign w:val="bottom"/>
          </w:tcPr>
          <w:p>
            <w:pPr>
              <w:spacing w:after="0"/>
              <w:rPr>
                <w:sz w:val="15"/>
                <w:szCs w:val="15"/>
                <w:color w:val="auto"/>
              </w:rPr>
            </w:pPr>
          </w:p>
        </w:tc>
        <w:tc>
          <w:tcPr>
            <w:tcW w:w="6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4"/>
              </w:rPr>
              <w:t>(1,247)</w:t>
            </w:r>
          </w:p>
        </w:tc>
        <w:tc>
          <w:tcPr>
            <w:tcW w:w="2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(2,862)</w:t>
            </w:r>
          </w:p>
        </w:tc>
        <w:tc>
          <w:tcPr>
            <w:tcW w:w="28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9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5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Provisions (credits)</w:t>
            </w:r>
          </w:p>
        </w:tc>
        <w:tc>
          <w:tcPr>
            <w:tcW w:w="9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(382)</w:t>
            </w:r>
          </w:p>
        </w:tc>
        <w:tc>
          <w:tcPr>
            <w:tcW w:w="5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1,591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4"/>
              </w:rPr>
              <w:t>(1,166)</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2,978</w:t>
            </w:r>
          </w:p>
        </w:tc>
        <w:tc>
          <w:tcPr>
            <w:tcW w:w="28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8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1,608</w:t>
            </w:r>
          </w:p>
        </w:tc>
        <w:tc>
          <w:tcPr>
            <w:tcW w:w="580" w:type="dxa"/>
            <w:vAlign w:val="bottom"/>
            <w:tcBorders>
              <w:bottom w:val="single" w:sz="8" w:color="auto"/>
            </w:tcBorders>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858</w:t>
            </w:r>
          </w:p>
        </w:tc>
        <w:tc>
          <w:tcPr>
            <w:tcW w:w="160" w:type="dxa"/>
            <w:vAlign w:val="bottom"/>
            <w:tcBorders>
              <w:bottom w:val="single" w:sz="8" w:color="auto"/>
            </w:tcBorders>
            <w:shd w:val="clear" w:color="auto" w:fill="CFF0FC"/>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99"/>
              </w:rPr>
              <w:t>5,751</w:t>
            </w:r>
          </w:p>
        </w:tc>
        <w:tc>
          <w:tcPr>
            <w:tcW w:w="22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1,674</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3,281</w:t>
            </w:r>
          </w:p>
        </w:tc>
        <w:tc>
          <w:tcPr>
            <w:tcW w:w="2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138</w:t>
            </w:r>
          </w:p>
        </w:tc>
        <w:tc>
          <w:tcPr>
            <w:tcW w:w="5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spacing w:after="0"/>
              <w:rPr>
                <w:sz w:val="16"/>
                <w:szCs w:val="16"/>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969</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6"/>
                <w:szCs w:val="16"/>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844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1,617</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collectively evaluated</w:t>
            </w:r>
          </w:p>
        </w:tc>
        <w:tc>
          <w:tcPr>
            <w:tcW w:w="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1,470</w:t>
            </w:r>
          </w:p>
        </w:tc>
        <w:tc>
          <w:tcPr>
            <w:tcW w:w="58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858</w:t>
            </w:r>
          </w:p>
        </w:tc>
        <w:tc>
          <w:tcPr>
            <w:tcW w:w="16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99"/>
              </w:rPr>
              <w:t>4,782</w:t>
            </w:r>
          </w:p>
        </w:tc>
        <w:tc>
          <w:tcPr>
            <w:tcW w:w="2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1,664</w:t>
            </w:r>
          </w:p>
        </w:tc>
        <w:tc>
          <w:tcPr>
            <w:tcW w:w="2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Loans receivables:</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257,604</w:t>
            </w:r>
          </w:p>
        </w:tc>
        <w:tc>
          <w:tcPr>
            <w:tcW w:w="580" w:type="dxa"/>
            <w:vAlign w:val="bottom"/>
            <w:tcBorders>
              <w:bottom w:val="single" w:sz="8" w:color="auto"/>
            </w:tcBorders>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1,355</w:t>
            </w:r>
          </w:p>
        </w:tc>
        <w:tc>
          <w:tcPr>
            <w:tcW w:w="160" w:type="dxa"/>
            <w:vAlign w:val="bottom"/>
            <w:tcBorders>
              <w:bottom w:val="single" w:sz="8" w:color="auto"/>
            </w:tcBorders>
            <w:shd w:val="clear" w:color="auto" w:fill="CFF0FC"/>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358,707</w:t>
            </w:r>
          </w:p>
        </w:tc>
        <w:tc>
          <w:tcPr>
            <w:tcW w:w="22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72,069</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89,803</w:t>
            </w:r>
          </w:p>
        </w:tc>
        <w:tc>
          <w:tcPr>
            <w:tcW w:w="2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individually</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1,675</w:t>
            </w:r>
          </w:p>
        </w:tc>
        <w:tc>
          <w:tcPr>
            <w:tcW w:w="5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12,314</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6"/>
                <w:szCs w:val="16"/>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1,139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6,749</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collectively</w:t>
            </w: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255,929</w:t>
            </w:r>
          </w:p>
        </w:tc>
        <w:tc>
          <w:tcPr>
            <w:tcW w:w="58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1,355</w:t>
            </w:r>
          </w:p>
        </w:tc>
        <w:tc>
          <w:tcPr>
            <w:tcW w:w="160" w:type="dxa"/>
            <w:vAlign w:val="bottom"/>
            <w:shd w:val="clear" w:color="auto" w:fill="CFF0FC"/>
          </w:tcPr>
          <w:p>
            <w:pPr>
              <w:jc w:val="center"/>
              <w:ind w:lef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346,393</w:t>
            </w:r>
          </w:p>
        </w:tc>
        <w:tc>
          <w:tcPr>
            <w:tcW w:w="2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70,930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83,054</w:t>
            </w:r>
          </w:p>
        </w:tc>
        <w:tc>
          <w:tcPr>
            <w:tcW w:w="2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371"/>
        </w:trPr>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Home equity</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960" w:type="dxa"/>
            <w:vAlign w:val="bottom"/>
          </w:tcPr>
          <w:p>
            <w:pPr>
              <w:spacing w:after="0"/>
              <w:rPr>
                <w:sz w:val="17"/>
                <w:szCs w:val="17"/>
                <w:color w:val="auto"/>
              </w:rPr>
            </w:pPr>
          </w:p>
        </w:tc>
        <w:tc>
          <w:tcPr>
            <w:tcW w:w="14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Tax exempt</w:t>
            </w:r>
          </w:p>
        </w:tc>
        <w:tc>
          <w:tcPr>
            <w:tcW w:w="1220" w:type="dxa"/>
            <w:vAlign w:val="bottom"/>
            <w:gridSpan w:val="3"/>
          </w:tcPr>
          <w:p>
            <w:pPr>
              <w:jc w:val="center"/>
              <w:ind w:left="122"/>
              <w:spacing w:after="0"/>
              <w:rPr>
                <w:sz w:val="20"/>
                <w:szCs w:val="20"/>
                <w:color w:val="auto"/>
              </w:rPr>
            </w:pPr>
            <w:r>
              <w:rPr>
                <w:rFonts w:ascii="Times New Roman" w:cs="Times New Roman" w:eastAsia="Times New Roman" w:hAnsi="Times New Roman"/>
                <w:sz w:val="16"/>
                <w:szCs w:val="16"/>
                <w:color w:val="auto"/>
                <w:w w:val="98"/>
              </w:rPr>
              <w:t>and junior liens</w:t>
            </w: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consumer</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8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9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741</w:t>
            </w:r>
          </w:p>
        </w:tc>
        <w:tc>
          <w:tcPr>
            <w:tcW w:w="5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1,046</w:t>
            </w:r>
          </w:p>
        </w:tc>
        <w:tc>
          <w:tcPr>
            <w:tcW w:w="5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15,319</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Adoption of ASC 326</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22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1,886</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9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(341)</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(4,576)</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Provisions</w:t>
            </w:r>
          </w:p>
        </w:tc>
        <w:tc>
          <w:tcPr>
            <w:tcW w:w="9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2,991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00" w:type="dxa"/>
            <w:vAlign w:val="bottom"/>
            <w:tcBorders>
              <w:bottom w:val="single" w:sz="8" w:color="auto"/>
            </w:tcBorders>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657</w:t>
            </w:r>
          </w:p>
        </w:tc>
        <w:tc>
          <w:tcPr>
            <w:tcW w:w="52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2,145</w:t>
            </w:r>
          </w:p>
        </w:tc>
        <w:tc>
          <w:tcPr>
            <w:tcW w:w="54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15,975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9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5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3,716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collectively evaluated</w:t>
            </w:r>
          </w:p>
        </w:tc>
        <w:tc>
          <w:tcPr>
            <w:tcW w:w="960" w:type="dxa"/>
            <w:vAlign w:val="bottom"/>
          </w:tcPr>
          <w:p>
            <w:pPr>
              <w:spacing w:after="0"/>
              <w:rPr>
                <w:sz w:val="16"/>
                <w:szCs w:val="16"/>
                <w:color w:val="auto"/>
              </w:rPr>
            </w:pPr>
          </w:p>
        </w:tc>
        <w:tc>
          <w:tcPr>
            <w:tcW w:w="8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5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5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12,259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Loans receivables:</w:t>
            </w:r>
          </w:p>
        </w:tc>
        <w:tc>
          <w:tcPr>
            <w:tcW w:w="9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9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3,430</w:t>
            </w:r>
          </w:p>
        </w:tc>
        <w:tc>
          <w:tcPr>
            <w:tcW w:w="600" w:type="dxa"/>
            <w:vAlign w:val="bottom"/>
            <w:tcBorders>
              <w:bottom w:val="single" w:sz="8" w:color="auto"/>
            </w:tcBorders>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34,858</w:t>
            </w:r>
          </w:p>
        </w:tc>
        <w:tc>
          <w:tcPr>
            <w:tcW w:w="52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79,797</w:t>
            </w:r>
          </w:p>
        </w:tc>
        <w:tc>
          <w:tcPr>
            <w:tcW w:w="54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897,781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6"/>
                <w:szCs w:val="16"/>
                <w:color w:val="auto"/>
              </w:rPr>
              <w:t>Ending balance: individually</w:t>
            </w:r>
          </w:p>
        </w:tc>
        <w:tc>
          <w:tcPr>
            <w:tcW w:w="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5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22,587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Ending balance: collectively</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960" w:type="dxa"/>
            <w:vAlign w:val="bottom"/>
          </w:tcPr>
          <w:p>
            <w:pPr>
              <w:spacing w:after="0"/>
              <w:rPr>
                <w:sz w:val="17"/>
                <w:szCs w:val="17"/>
                <w:color w:val="auto"/>
              </w:rPr>
            </w:pPr>
          </w:p>
        </w:tc>
        <w:tc>
          <w:tcPr>
            <w:tcW w:w="8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3,430</w:t>
            </w: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34,148</w:t>
            </w:r>
          </w:p>
        </w:tc>
        <w:tc>
          <w:tcPr>
            <w:tcW w:w="5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79,797</w:t>
            </w:r>
          </w:p>
        </w:tc>
        <w:tc>
          <w:tcPr>
            <w:tcW w:w="5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875,194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national and local economic trends;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rate of growth in the portfolio;</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•Trends of delinquencies and nonaccrual balances;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loan policy;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lending management experience and related staffing.</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0" w:name="page91"/>
    <w:bookmarkEnd w:id="90"/>
    <w:p>
      <w:pPr>
        <w:spacing w:after="0" w:line="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the allocation of the allowance for credit losses summarized on the basis of the Company’s CECL calculation methodology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1-4 family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December 31, 2024</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180"/>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34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0" w:type="dxa"/>
            <w:vAlign w:val="bottom"/>
          </w:tcPr>
          <w:p>
            <w:pPr>
              <w:spacing w:after="0"/>
              <w:rPr>
                <w:sz w:val="1"/>
                <w:szCs w:val="1"/>
                <w:color w:val="auto"/>
              </w:rPr>
            </w:pPr>
          </w:p>
        </w:tc>
      </w:tr>
      <w:tr>
        <w:trPr>
          <w:trHeight w:val="193"/>
        </w:trPr>
        <w:tc>
          <w:tcPr>
            <w:tcW w:w="25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mortgage</w:t>
            </w:r>
          </w:p>
        </w:tc>
        <w:tc>
          <w:tcPr>
            <w:tcW w:w="22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Construction</w:t>
            </w:r>
          </w:p>
        </w:tc>
        <w:tc>
          <w:tcPr>
            <w:tcW w:w="38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real estate</w:t>
            </w:r>
          </w:p>
        </w:tc>
        <w:tc>
          <w:tcPr>
            <w:tcW w:w="30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lines of credit</w:t>
            </w:r>
          </w:p>
        </w:tc>
        <w:tc>
          <w:tcPr>
            <w:tcW w:w="34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industrial</w:t>
            </w:r>
          </w:p>
        </w:tc>
        <w:tc>
          <w:tcPr>
            <w:tcW w:w="0" w:type="dxa"/>
            <w:vAlign w:val="bottom"/>
          </w:tcPr>
          <w:p>
            <w:pPr>
              <w:spacing w:after="0"/>
              <w:rPr>
                <w:sz w:val="1"/>
                <w:szCs w:val="1"/>
                <w:color w:val="auto"/>
              </w:rPr>
            </w:pPr>
          </w:p>
        </w:tc>
      </w:tr>
      <w:tr>
        <w:trPr>
          <w:trHeight w:val="180"/>
        </w:trPr>
        <w:tc>
          <w:tcPr>
            <w:tcW w:w="2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Individually evaluated</w:t>
            </w:r>
          </w:p>
        </w:tc>
        <w:tc>
          <w:tcPr>
            <w:tcW w:w="14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853</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3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Historical loss rate</w:t>
            </w: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1,474</w:t>
            </w:r>
          </w:p>
        </w:tc>
        <w:tc>
          <w:tcPr>
            <w:tcW w:w="2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380" w:type="dxa"/>
            <w:vAlign w:val="bottom"/>
          </w:tcPr>
          <w:p>
            <w:pPr>
              <w:spacing w:after="0"/>
              <w:rPr>
                <w:sz w:val="15"/>
                <w:szCs w:val="15"/>
                <w:color w:val="auto"/>
              </w:rPr>
            </w:pPr>
          </w:p>
        </w:tc>
        <w:tc>
          <w:tcPr>
            <w:tcW w:w="10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2,779</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34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180"/>
        </w:trPr>
        <w:tc>
          <w:tcPr>
            <w:tcW w:w="2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Qualitative factors</w:t>
            </w:r>
          </w:p>
        </w:tc>
        <w:tc>
          <w:tcPr>
            <w:tcW w:w="14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(49 )</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3,114</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469</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180"/>
        </w:trPr>
        <w:tc>
          <w:tcPr>
            <w:tcW w:w="2560" w:type="dxa"/>
            <w:vAlign w:val="bottom"/>
            <w:tcBorders>
              <w:bottom w:val="single" w:sz="8" w:color="auto"/>
            </w:tcBorders>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1,467</w:t>
            </w:r>
          </w:p>
        </w:tc>
        <w:tc>
          <w:tcPr>
            <w:tcW w:w="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38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6,746</w:t>
            </w:r>
          </w:p>
        </w:tc>
        <w:tc>
          <w:tcPr>
            <w:tcW w:w="3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3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2,879</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tcPr>
          <w:p>
            <w:pPr>
              <w:spacing w:after="0"/>
              <w:rPr>
                <w:sz w:val="24"/>
                <w:szCs w:val="24"/>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Tax exempt</w:t>
            </w:r>
          </w:p>
        </w:tc>
        <w:tc>
          <w:tcPr>
            <w:tcW w:w="2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8"/>
              </w:rPr>
              <w:t>and junior liens</w:t>
            </w:r>
          </w:p>
        </w:tc>
        <w:tc>
          <w:tcPr>
            <w:tcW w:w="38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Individually evaluated</w:t>
            </w: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416</w:t>
            </w: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3,774</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6,404</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Historical loss rate</w:t>
            </w:r>
          </w:p>
        </w:tc>
        <w:tc>
          <w:tcPr>
            <w:tcW w:w="14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278</w:t>
            </w: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6,570</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Qualitative factors</w:t>
            </w: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80" w:type="dxa"/>
            <w:vAlign w:val="bottom"/>
          </w:tcPr>
          <w:p>
            <w:pPr>
              <w:spacing w:after="0"/>
              <w:rPr>
                <w:sz w:val="15"/>
                <w:szCs w:val="15"/>
                <w:color w:val="auto"/>
              </w:rPr>
            </w:pPr>
          </w:p>
        </w:tc>
        <w:tc>
          <w:tcPr>
            <w:tcW w:w="10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4,269</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715</w:t>
            </w:r>
          </w:p>
        </w:tc>
        <w:tc>
          <w:tcPr>
            <w:tcW w:w="380" w:type="dxa"/>
            <w:vAlign w:val="bottom"/>
            <w:tcBorders>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4,091</w:t>
            </w:r>
          </w:p>
        </w:tc>
        <w:tc>
          <w:tcPr>
            <w:tcW w:w="30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17,243</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8"/>
        </w:trPr>
        <w:tc>
          <w:tcPr>
            <w:tcW w:w="25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1-4 family</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December 31, 2023</w:t>
            </w: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180"/>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34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commercial</w:t>
            </w:r>
          </w:p>
        </w:tc>
        <w:tc>
          <w:tcPr>
            <w:tcW w:w="0" w:type="dxa"/>
            <w:vAlign w:val="bottom"/>
          </w:tcPr>
          <w:p>
            <w:pPr>
              <w:spacing w:after="0"/>
              <w:rPr>
                <w:sz w:val="1"/>
                <w:szCs w:val="1"/>
                <w:color w:val="auto"/>
              </w:rPr>
            </w:pPr>
          </w:p>
        </w:tc>
      </w:tr>
      <w:tr>
        <w:trPr>
          <w:trHeight w:val="193"/>
        </w:trPr>
        <w:tc>
          <w:tcPr>
            <w:tcW w:w="25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mortgage</w:t>
            </w:r>
          </w:p>
        </w:tc>
        <w:tc>
          <w:tcPr>
            <w:tcW w:w="22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Construction</w:t>
            </w:r>
          </w:p>
        </w:tc>
        <w:tc>
          <w:tcPr>
            <w:tcW w:w="38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real estate</w:t>
            </w:r>
          </w:p>
        </w:tc>
        <w:tc>
          <w:tcPr>
            <w:tcW w:w="30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lines of credit</w:t>
            </w:r>
          </w:p>
        </w:tc>
        <w:tc>
          <w:tcPr>
            <w:tcW w:w="34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industrial</w:t>
            </w:r>
          </w:p>
        </w:tc>
        <w:tc>
          <w:tcPr>
            <w:tcW w:w="0" w:type="dxa"/>
            <w:vAlign w:val="bottom"/>
          </w:tcPr>
          <w:p>
            <w:pPr>
              <w:spacing w:after="0"/>
              <w:rPr>
                <w:sz w:val="1"/>
                <w:szCs w:val="1"/>
                <w:color w:val="auto"/>
              </w:rPr>
            </w:pPr>
          </w:p>
        </w:tc>
      </w:tr>
      <w:tr>
        <w:trPr>
          <w:trHeight w:val="180"/>
        </w:trPr>
        <w:tc>
          <w:tcPr>
            <w:tcW w:w="2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Individually evaluated</w:t>
            </w:r>
          </w:p>
        </w:tc>
        <w:tc>
          <w:tcPr>
            <w:tcW w:w="14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969</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844</w:t>
            </w:r>
          </w:p>
        </w:tc>
        <w:tc>
          <w:tcPr>
            <w:tcW w:w="3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Historical loss rate</w:t>
            </w: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1,537</w:t>
            </w:r>
          </w:p>
        </w:tc>
        <w:tc>
          <w:tcPr>
            <w:tcW w:w="2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674</w:t>
            </w:r>
          </w:p>
        </w:tc>
        <w:tc>
          <w:tcPr>
            <w:tcW w:w="380" w:type="dxa"/>
            <w:vAlign w:val="bottom"/>
          </w:tcPr>
          <w:p>
            <w:pPr>
              <w:spacing w:after="0"/>
              <w:rPr>
                <w:sz w:val="15"/>
                <w:szCs w:val="15"/>
                <w:color w:val="auto"/>
              </w:rPr>
            </w:pPr>
          </w:p>
        </w:tc>
        <w:tc>
          <w:tcPr>
            <w:tcW w:w="10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2,645</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34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180"/>
        </w:trPr>
        <w:tc>
          <w:tcPr>
            <w:tcW w:w="2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Qualitative factors</w:t>
            </w:r>
          </w:p>
        </w:tc>
        <w:tc>
          <w:tcPr>
            <w:tcW w:w="14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(66 )</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2,137</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621</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180"/>
        </w:trPr>
        <w:tc>
          <w:tcPr>
            <w:tcW w:w="2560" w:type="dxa"/>
            <w:vAlign w:val="bottom"/>
            <w:tcBorders>
              <w:bottom w:val="single" w:sz="8" w:color="auto"/>
            </w:tcBorders>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1,608</w:t>
            </w:r>
          </w:p>
        </w:tc>
        <w:tc>
          <w:tcPr>
            <w:tcW w:w="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858</w:t>
            </w:r>
          </w:p>
        </w:tc>
        <w:tc>
          <w:tcPr>
            <w:tcW w:w="38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5,751</w:t>
            </w:r>
          </w:p>
        </w:tc>
        <w:tc>
          <w:tcPr>
            <w:tcW w:w="3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1,674</w:t>
            </w:r>
          </w:p>
        </w:tc>
        <w:tc>
          <w:tcPr>
            <w:tcW w:w="3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3,281</w:t>
            </w:r>
          </w:p>
        </w:tc>
        <w:tc>
          <w:tcPr>
            <w:tcW w:w="0" w:type="dxa"/>
            <w:vAlign w:val="bottom"/>
          </w:tcPr>
          <w:p>
            <w:pPr>
              <w:spacing w:after="0"/>
              <w:rPr>
                <w:sz w:val="1"/>
                <w:szCs w:val="1"/>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Home equity</w:t>
            </w:r>
          </w:p>
        </w:tc>
        <w:tc>
          <w:tcPr>
            <w:tcW w:w="380" w:type="dxa"/>
            <w:vAlign w:val="bottom"/>
          </w:tcPr>
          <w:p>
            <w:pPr>
              <w:spacing w:after="0"/>
              <w:rPr>
                <w:sz w:val="24"/>
                <w:szCs w:val="24"/>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Tax exempt</w:t>
            </w:r>
          </w:p>
        </w:tc>
        <w:tc>
          <w:tcPr>
            <w:tcW w:w="2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8"/>
              </w:rPr>
              <w:t>and junior liens</w:t>
            </w:r>
          </w:p>
        </w:tc>
        <w:tc>
          <w:tcPr>
            <w:tcW w:w="38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Individually evaluated</w:t>
            </w: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458</w:t>
            </w: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1,817</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5,842</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Historical loss rate</w:t>
            </w:r>
          </w:p>
        </w:tc>
        <w:tc>
          <w:tcPr>
            <w:tcW w:w="14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190</w:t>
            </w: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6,589</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Qualitative factors</w:t>
            </w:r>
          </w:p>
        </w:tc>
        <w:tc>
          <w:tcPr>
            <w:tcW w:w="1400" w:type="dxa"/>
            <w:vAlign w:val="bottom"/>
          </w:tcPr>
          <w:p>
            <w:pPr>
              <w:spacing w:after="0"/>
              <w:rPr>
                <w:sz w:val="15"/>
                <w:szCs w:val="15"/>
                <w:color w:val="auto"/>
              </w:rPr>
            </w:pPr>
          </w:p>
        </w:tc>
        <w:tc>
          <w:tcPr>
            <w:tcW w:w="10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5"/>
                <w:szCs w:val="15"/>
                <w:color w:val="auto"/>
              </w:rPr>
            </w:pPr>
          </w:p>
        </w:tc>
        <w:tc>
          <w:tcPr>
            <w:tcW w:w="10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3,544</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560" w:type="dxa"/>
            <w:vAlign w:val="bottom"/>
            <w:tcBorders>
              <w:bottom w:val="single" w:sz="8" w:color="auto"/>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657</w:t>
            </w:r>
          </w:p>
        </w:tc>
        <w:tc>
          <w:tcPr>
            <w:tcW w:w="38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2,145</w:t>
            </w:r>
          </w:p>
        </w:tc>
        <w:tc>
          <w:tcPr>
            <w:tcW w:w="3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15,975</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1" w:name="page92"/>
    <w:bookmarkEnd w:id="91"/>
    <w:p>
      <w:pPr>
        <w:spacing w:after="0" w:line="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all activity related to the ACL from December 31, 2023 to December 31, 2024 and to the recorded PCL for year ended December 31,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Reserves as of December 31,</w:t>
            </w:r>
          </w:p>
        </w:tc>
        <w:tc>
          <w:tcPr>
            <w:tcW w:w="4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 - Loans</w:t>
            </w:r>
          </w:p>
        </w:tc>
        <w:tc>
          <w:tcPr>
            <w:tcW w:w="2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Charge-Offs</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Recoveries</w:t>
            </w:r>
          </w:p>
        </w:tc>
        <w:tc>
          <w:tcPr>
            <w:tcW w:w="4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PCL</w:t>
            </w:r>
          </w:p>
        </w:tc>
        <w:tc>
          <w:tcPr>
            <w:tcW w:w="100" w:type="dxa"/>
            <w:vAlign w:val="bottom"/>
          </w:tcPr>
          <w:p>
            <w:pPr>
              <w:spacing w:after="0"/>
              <w:rPr>
                <w:sz w:val="15"/>
                <w:szCs w:val="15"/>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Reserves as of Dec 31, 2024</w:t>
            </w:r>
          </w:p>
        </w:tc>
      </w:tr>
      <w:tr>
        <w:trPr>
          <w:trHeight w:val="168"/>
        </w:trPr>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46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8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2,485</w:t>
            </w:r>
          </w:p>
        </w:tc>
      </w:tr>
      <w:tr>
        <w:trPr>
          <w:trHeight w:val="168"/>
        </w:trPr>
        <w:tc>
          <w:tcPr>
            <w:tcW w:w="2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Overdraft</w:t>
            </w:r>
          </w:p>
        </w:tc>
        <w:tc>
          <w:tcPr>
            <w:tcW w:w="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4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Pooled - quantitative</w:t>
            </w:r>
          </w:p>
        </w:tc>
        <w:tc>
          <w:tcPr>
            <w:tcW w:w="22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6,570</w:t>
            </w:r>
          </w:p>
        </w:tc>
      </w:tr>
      <w:tr>
        <w:trPr>
          <w:trHeight w:val="168"/>
        </w:trPr>
        <w:tc>
          <w:tcPr>
            <w:tcW w:w="2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Pooled - qualitative</w:t>
            </w:r>
          </w:p>
        </w:tc>
        <w:tc>
          <w:tcPr>
            <w:tcW w:w="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4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4,269</w:t>
            </w:r>
          </w:p>
        </w:tc>
      </w:tr>
      <w:tr>
        <w:trPr>
          <w:trHeight w:val="168"/>
        </w:trPr>
        <w:tc>
          <w:tcPr>
            <w:tcW w:w="2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Purchased</w:t>
            </w:r>
          </w:p>
        </w:tc>
        <w:tc>
          <w:tcPr>
            <w:tcW w:w="22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4,749</w:t>
            </w: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3,919</w:t>
            </w:r>
          </w:p>
        </w:tc>
      </w:tr>
      <w:tr>
        <w:trPr>
          <w:trHeight w:val="16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ACL -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15,975</w:t>
            </w:r>
          </w:p>
        </w:tc>
        <w:tc>
          <w:tcPr>
            <w:tcW w:w="4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4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11,106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17,243</w:t>
            </w:r>
          </w:p>
        </w:tc>
      </w:tr>
      <w:tr>
        <w:trPr>
          <w:trHeight w:val="168"/>
        </w:trPr>
        <w:tc>
          <w:tcPr>
            <w:tcW w:w="2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r>
      <w:tr>
        <w:trPr>
          <w:trHeight w:val="16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 - Held-To-Maturity</w:t>
            </w:r>
          </w:p>
        </w:tc>
        <w:tc>
          <w:tcPr>
            <w:tcW w:w="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4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w:t>
            </w:r>
          </w:p>
        </w:tc>
      </w:tr>
      <w:tr>
        <w:trPr>
          <w:trHeight w:val="168"/>
        </w:trPr>
        <w:tc>
          <w:tcPr>
            <w:tcW w:w="2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r>
      <w:tr>
        <w:trPr>
          <w:trHeight w:val="16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 - Unfunded Commitments</w:t>
            </w:r>
          </w:p>
        </w:tc>
        <w:tc>
          <w:tcPr>
            <w:tcW w:w="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4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r>
      <w:tr>
        <w:trPr>
          <w:trHeight w:val="208"/>
        </w:trPr>
        <w:tc>
          <w:tcPr>
            <w:tcW w:w="2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ACL</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16,916</w:t>
            </w:r>
          </w:p>
        </w:tc>
        <w:tc>
          <w:tcPr>
            <w:tcW w:w="460" w:type="dxa"/>
            <w:vAlign w:val="bottom"/>
            <w:tcBorders>
              <w:bottom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(10,183)</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48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10,973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18,050</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SERVICING</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Loans serviced for others are not included in the accompanying Consolidated Statements of Condition. At December 31, 2024 and 2023, the Bank serviced 527 and 518 residential mortgage loans for others, respectively. The unpaid principal balances of mortgage loans serviced for others were $55.0 million and $54.5 million at December 31, 2024 and 2023, respectively. The balance of capitalized servicing rights included in other assets at December 31, 2024 and 2023, was $289,000 and $330,000,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The following summarizes mortgage servicing rights capitalized and amortized:</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Pr>
          <w:p>
            <w:pPr>
              <w:spacing w:after="0"/>
              <w:rPr>
                <w:sz w:val="24"/>
                <w:szCs w:val="24"/>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60" w:type="dxa"/>
            <w:vAlign w:val="bottom"/>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servicing rights capitalized</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46</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Mortgage servicing rights amortized</w:t>
            </w: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8"/>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8: PREMISES AND EQUIPMENT</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summary of premises and equipment at December 31 is as follows: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6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Pr>
          <w:p>
            <w:pPr>
              <w:spacing w:after="0"/>
              <w:rPr>
                <w:sz w:val="24"/>
                <w:szCs w:val="24"/>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Land</w:t>
            </w: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2,661</w:t>
            </w:r>
          </w:p>
        </w:tc>
        <w:tc>
          <w:tcPr>
            <w:tcW w:w="8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2,661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Buildings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20,916</w:t>
            </w:r>
          </w:p>
        </w:tc>
        <w:tc>
          <w:tcPr>
            <w:tcW w:w="840" w:type="dxa"/>
            <w:vAlign w:val="bottom"/>
          </w:tcPr>
          <w:p>
            <w:pPr>
              <w:spacing w:after="0"/>
              <w:rPr>
                <w:sz w:val="15"/>
                <w:szCs w:val="15"/>
                <w:color w:val="auto"/>
              </w:rPr>
            </w:pPr>
          </w:p>
        </w:tc>
        <w:tc>
          <w:tcPr>
            <w:tcW w:w="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20,784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Furniture, fixtures and equipment</w:t>
            </w: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19,471</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17,889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Construction in progress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956</w:t>
            </w:r>
          </w:p>
        </w:tc>
        <w:tc>
          <w:tcPr>
            <w:tcW w:w="840" w:type="dxa"/>
            <w:vAlign w:val="bottom"/>
          </w:tcPr>
          <w:p>
            <w:pPr>
              <w:spacing w:after="0"/>
              <w:rPr>
                <w:sz w:val="15"/>
                <w:szCs w:val="15"/>
                <w:color w:val="auto"/>
              </w:rPr>
            </w:pPr>
          </w:p>
        </w:tc>
        <w:tc>
          <w:tcPr>
            <w:tcW w:w="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44,004</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42,092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24,995</w:t>
            </w:r>
          </w:p>
        </w:tc>
        <w:tc>
          <w:tcPr>
            <w:tcW w:w="840" w:type="dxa"/>
            <w:vAlign w:val="bottom"/>
          </w:tcPr>
          <w:p>
            <w:pPr>
              <w:spacing w:after="0"/>
              <w:rPr>
                <w:sz w:val="15"/>
                <w:szCs w:val="15"/>
                <w:color w:val="auto"/>
              </w:rPr>
            </w:pPr>
          </w:p>
        </w:tc>
        <w:tc>
          <w:tcPr>
            <w:tcW w:w="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23,651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40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19,009</w:t>
            </w:r>
          </w:p>
        </w:tc>
        <w:tc>
          <w:tcPr>
            <w:tcW w:w="840" w:type="dxa"/>
            <w:vAlign w:val="bottom"/>
            <w:tcBorders>
              <w:bottom w:val="single" w:sz="8" w:color="auto"/>
            </w:tcBorders>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18,441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Depreciation expense in 2024 and 2023 was $1.3 million and $1.4 million, respectively.</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9: FORECLOSED REAL ESTATE</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summary of foreclosed real estate at December 31 is as follows: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Number of</w:t>
            </w:r>
          </w:p>
        </w:tc>
        <w:tc>
          <w:tcPr>
            <w:tcW w:w="34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w:t>
            </w:r>
          </w:p>
        </w:tc>
        <w:tc>
          <w:tcPr>
            <w:tcW w:w="62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Number of</w:t>
            </w:r>
          </w:p>
        </w:tc>
        <w:tc>
          <w:tcPr>
            <w:tcW w:w="56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93"/>
        </w:trPr>
        <w:tc>
          <w:tcPr>
            <w:tcW w:w="5100" w:type="dxa"/>
            <w:vAlign w:val="bottom"/>
            <w:gridSpan w:val="2"/>
            <w:vMerge w:val="continue"/>
          </w:tcPr>
          <w:p>
            <w:pPr>
              <w:spacing w:after="0"/>
              <w:rPr>
                <w:sz w:val="16"/>
                <w:szCs w:val="16"/>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properties</w:t>
            </w:r>
          </w:p>
        </w:tc>
        <w:tc>
          <w:tcPr>
            <w:tcW w:w="3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2024</w:t>
            </w:r>
          </w:p>
        </w:tc>
        <w:tc>
          <w:tcPr>
            <w:tcW w:w="6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properties</w:t>
            </w:r>
          </w:p>
        </w:tc>
        <w:tc>
          <w:tcPr>
            <w:tcW w:w="56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68"/>
        </w:trPr>
        <w:tc>
          <w:tcPr>
            <w:tcW w:w="51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9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56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the Company reported $1.2 million and $1.1 million, respectively, in real estate loans in the process of foreclosure.</w:t>
      </w:r>
    </w:p>
    <w:p>
      <w:pPr>
        <w:spacing w:after="0" w:line="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GOODWILL AND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Goodwill represents the excess cost of an acquisition over the fair value of the net assets acquired. Goodwill is not amortized, but is evaluated annually for impairment or between annual evaluations in certain circumstances. Management performs an annual assessment of the Company’s goodwill to determine whether or not any impairment of the carrying value may exist. There was no impairment of goodwill recorded during the years ended December 31, 2024, or 2023.</w:t>
      </w:r>
    </w:p>
    <w:p>
      <w:pPr>
        <w:spacing w:after="0" w:line="68"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16"/>
          <w:szCs w:val="16"/>
          <w:color w:val="auto"/>
        </w:rPr>
        <w:t>Of the $5.1 million of goodwill carried on the Company’s books as of December 31, 2024, $3.8 million of this amount was due to prior periods acquisitions of bank branches. Approximately $1.2 million of goodwill was established for the acquisition of the East Syracuse branch from Berkshire Bank, as described be in Note 25. During 2024, goodwill in the amount of $696,000 was disposed as a result of the sale of the FitzGibbons Agency.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9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In addition to goodwill, the Company recorded a core deposit intangible and a fair value premium as a result of the 2024 East Syracuse branch acquisition. Core deposit intangible (“CDI”) represents a premium paid to acquire the core deposits of an institution and is recorded as an intangible asset. In July 2024, a core deposit intangible of $6.3 million was established to be amortized on a straight-line basis over 10 years. For the year ended December 31, 2024, the Company recognized approximately $282,000 of amortization expense related to the CDI. The weighted average remaining amortization period of this intangible is 9.6 years.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The gross carrying amount and annual amortization for intangible assets are as follows:</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60" w:type="dxa"/>
            <w:vAlign w:val="bottom"/>
          </w:tcPr>
          <w:p>
            <w:pPr>
              <w:spacing w:after="0"/>
              <w:rPr>
                <w:sz w:val="24"/>
                <w:szCs w:val="24"/>
                <w:color w:val="auto"/>
              </w:rPr>
            </w:pPr>
          </w:p>
        </w:tc>
        <w:tc>
          <w:tcPr>
            <w:tcW w:w="2120" w:type="dxa"/>
            <w:vAlign w:val="bottom"/>
            <w:gridSpan w:val="2"/>
          </w:tcPr>
          <w:p>
            <w:pPr>
              <w:jc w:val="right"/>
              <w:ind w:right="462"/>
              <w:spacing w:after="0"/>
              <w:rPr>
                <w:sz w:val="20"/>
                <w:szCs w:val="20"/>
                <w:color w:val="auto"/>
              </w:rPr>
            </w:pPr>
            <w:r>
              <w:rPr>
                <w:rFonts w:ascii="Times New Roman" w:cs="Times New Roman" w:eastAsia="Times New Roman" w:hAnsi="Times New Roman"/>
                <w:sz w:val="16"/>
                <w:szCs w:val="16"/>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10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spacing w:after="0"/>
              <w:rPr>
                <w:sz w:val="16"/>
                <w:szCs w:val="16"/>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6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Gross carrying amount</w:t>
            </w:r>
          </w:p>
        </w:tc>
        <w:tc>
          <w:tcPr>
            <w:tcW w:w="1360" w:type="dxa"/>
            <w:vAlign w:val="bottom"/>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6,271</w:t>
            </w:r>
          </w:p>
        </w:tc>
        <w:tc>
          <w:tcPr>
            <w:tcW w:w="920" w:type="dxa"/>
            <w:vAlign w:val="bottom"/>
            <w:shd w:val="clear" w:color="auto" w:fill="CFF0FC"/>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Accumulated amortization</w:t>
            </w:r>
          </w:p>
        </w:tc>
        <w:tc>
          <w:tcPr>
            <w:tcW w:w="1360" w:type="dxa"/>
            <w:vAlign w:val="bottom"/>
          </w:tcPr>
          <w:p>
            <w:pPr>
              <w:spacing w:after="0"/>
              <w:rPr>
                <w:sz w:val="15"/>
                <w:szCs w:val="15"/>
                <w:color w:val="auto"/>
              </w:rPr>
            </w:pPr>
          </w:p>
        </w:tc>
        <w:tc>
          <w:tcPr>
            <w:tcW w:w="12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(282)</w:t>
            </w:r>
          </w:p>
        </w:tc>
        <w:tc>
          <w:tcPr>
            <w:tcW w:w="9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20"/>
        </w:trPr>
        <w:tc>
          <w:tcPr>
            <w:tcW w:w="610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Intangible assets, net</w:t>
            </w:r>
          </w:p>
        </w:tc>
        <w:tc>
          <w:tcPr>
            <w:tcW w:w="1360" w:type="dxa"/>
            <w:vAlign w:val="bottom"/>
            <w:tcBorders>
              <w:bottom w:val="single" w:sz="8" w:color="auto"/>
            </w:tcBorders>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5,989</w:t>
            </w:r>
          </w:p>
        </w:tc>
        <w:tc>
          <w:tcPr>
            <w:tcW w:w="920" w:type="dxa"/>
            <w:vAlign w:val="bottom"/>
            <w:tcBorders>
              <w:bottom w:val="single" w:sz="8" w:color="auto"/>
            </w:tcBorders>
            <w:shd w:val="clear" w:color="auto" w:fill="CFF0FC"/>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538"/>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estimated amortization expense for each of the five succeeding years ended December 31, is as follows:</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80"/>
        </w:trPr>
        <w:tc>
          <w:tcPr>
            <w:tcW w:w="6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80"/>
        </w:trPr>
        <w:tc>
          <w:tcPr>
            <w:tcW w:w="6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220"/>
        </w:trPr>
        <w:tc>
          <w:tcPr>
            <w:tcW w:w="610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5,989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360"/>
        <w:spacing w:after="0" w:line="299" w:lineRule="auto"/>
        <w:rPr>
          <w:sz w:val="20"/>
          <w:szCs w:val="20"/>
          <w:color w:val="auto"/>
        </w:rPr>
      </w:pPr>
      <w:r>
        <w:rPr>
          <w:rFonts w:ascii="Times New Roman" w:cs="Times New Roman" w:eastAsia="Times New Roman" w:hAnsi="Times New Roman"/>
          <w:sz w:val="14"/>
          <w:szCs w:val="14"/>
          <w:color w:val="auto"/>
        </w:rPr>
        <w:t>The Company paid a deposit premium in the acquisition of the East Syracuse branch, which is included in the balance of time deposits on the balance sheet. In July 2024, a fair value premium was established for $543,000 to be accreted on a straight-line basis over 10 years. For the year ended December 31, 2024, the Company recognized approximately $25,000 of accretion related to the fair value premium. The weighted average remaining accretion period of this premium is 9.6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The gross carrying amount and annual accretion for the fair value deposit premium are as follows:</w:t>
            </w: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spacing w:after="0"/>
              <w:rPr>
                <w:sz w:val="24"/>
                <w:szCs w:val="24"/>
                <w:color w:val="auto"/>
              </w:rPr>
            </w:pPr>
          </w:p>
        </w:tc>
        <w:tc>
          <w:tcPr>
            <w:tcW w:w="2120" w:type="dxa"/>
            <w:vAlign w:val="bottom"/>
            <w:gridSpan w:val="2"/>
          </w:tcPr>
          <w:p>
            <w:pPr>
              <w:jc w:val="right"/>
              <w:ind w:right="482"/>
              <w:spacing w:after="0"/>
              <w:rPr>
                <w:sz w:val="20"/>
                <w:szCs w:val="20"/>
                <w:color w:val="auto"/>
              </w:rPr>
            </w:pPr>
            <w:r>
              <w:rPr>
                <w:rFonts w:ascii="Times New Roman" w:cs="Times New Roman" w:eastAsia="Times New Roman" w:hAnsi="Times New Roman"/>
                <w:sz w:val="16"/>
                <w:szCs w:val="16"/>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4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940" w:type="dxa"/>
            <w:vAlign w:val="bottom"/>
          </w:tcPr>
          <w:p>
            <w:pPr>
              <w:spacing w:after="0"/>
              <w:rPr>
                <w:sz w:val="15"/>
                <w:szCs w:val="15"/>
                <w:color w:val="auto"/>
              </w:rPr>
            </w:pPr>
          </w:p>
        </w:tc>
        <w:tc>
          <w:tcPr>
            <w:tcW w:w="9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carrying amount</w:t>
            </w:r>
          </w:p>
        </w:tc>
        <w:tc>
          <w:tcPr>
            <w:tcW w:w="104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543</w:t>
            </w:r>
          </w:p>
        </w:tc>
        <w:tc>
          <w:tcPr>
            <w:tcW w:w="94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accretion</w:t>
            </w:r>
          </w:p>
        </w:tc>
        <w:tc>
          <w:tcPr>
            <w:tcW w:w="10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62"/>
              <w:spacing w:after="0" w:line="275" w:lineRule="exact"/>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31"/>
                <w:szCs w:val="31"/>
                <w:color w:val="auto"/>
                <w:vertAlign w:val="superscript"/>
              </w:rPr>
              <w:t>)</w:t>
            </w:r>
          </w:p>
        </w:tc>
        <w:tc>
          <w:tcPr>
            <w:tcW w:w="94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Net fair value premium</w:t>
            </w:r>
          </w:p>
        </w:tc>
        <w:tc>
          <w:tcPr>
            <w:tcW w:w="1040" w:type="dxa"/>
            <w:vAlign w:val="bottom"/>
            <w:tcBorders>
              <w:bottom w:val="single" w:sz="8" w:color="auto"/>
            </w:tcBorders>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518</w:t>
            </w:r>
          </w:p>
        </w:tc>
        <w:tc>
          <w:tcPr>
            <w:tcW w:w="940" w:type="dxa"/>
            <w:vAlign w:val="bottom"/>
            <w:tcBorders>
              <w:bottom w:val="single" w:sz="8" w:color="auto"/>
            </w:tcBorders>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accretion income for each of the five succeeding years ended December 31, is as follows:</w:t>
      </w:r>
    </w:p>
    <w:p>
      <w:pPr>
        <w:spacing w:after="0" w:line="2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5"/>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6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0"/>
        </w:trPr>
        <w:tc>
          <w:tcPr>
            <w:tcW w:w="4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4680" w:type="dxa"/>
            <w:vAlign w:val="bottom"/>
            <w:shd w:val="clear" w:color="auto" w:fill="CFF0FC"/>
          </w:tcPr>
          <w:p>
            <w:pPr>
              <w:jc w:val="right"/>
              <w:ind w:right="8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46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4680" w:type="dxa"/>
            <w:vAlign w:val="bottom"/>
          </w:tcPr>
          <w:p>
            <w:pPr>
              <w:spacing w:after="0"/>
              <w:rPr>
                <w:sz w:val="15"/>
                <w:szCs w:val="15"/>
                <w:color w:val="auto"/>
              </w:rPr>
            </w:pPr>
          </w:p>
        </w:tc>
        <w:tc>
          <w:tcPr>
            <w:tcW w:w="1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4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46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46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4680" w:type="dxa"/>
            <w:vAlign w:val="bottom"/>
          </w:tcPr>
          <w:p>
            <w:pPr>
              <w:spacing w:after="0"/>
              <w:rPr>
                <w:sz w:val="15"/>
                <w:szCs w:val="15"/>
                <w:color w:val="auto"/>
              </w:rPr>
            </w:pPr>
          </w:p>
        </w:tc>
        <w:tc>
          <w:tcPr>
            <w:tcW w:w="1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4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46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46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468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248</w:t>
            </w:r>
          </w:p>
        </w:tc>
      </w:tr>
      <w:tr>
        <w:trPr>
          <w:trHeight w:val="220"/>
        </w:trPr>
        <w:tc>
          <w:tcPr>
            <w:tcW w:w="464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4680" w:type="dxa"/>
            <w:vAlign w:val="bottom"/>
            <w:tcBorders>
              <w:bottom w:val="single" w:sz="8" w:color="auto"/>
            </w:tcBorders>
            <w:shd w:val="clear" w:color="auto" w:fill="CFF0FC"/>
          </w:tcPr>
          <w:p>
            <w:pPr>
              <w:jc w:val="right"/>
              <w:ind w:right="8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518</w:t>
            </w:r>
          </w:p>
        </w:tc>
      </w:tr>
    </w:tbl>
    <w:p>
      <w:pPr>
        <w:spacing w:after="0" w:line="16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As a result of the sale of the FitzGibbons Agency in 2024, an identifiable intangible asset with a carrying value of approximately $72,000 was disposed of. During the year ended December 31, 2024, approximately $12,000 of amortization expense was recognized relating to this intangible asset.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11: DEPOSITS</w:t>
            </w: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6"/>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summary of deposits at December 31 is as follows: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spacing w:after="0"/>
              <w:rPr>
                <w:sz w:val="24"/>
                <w:szCs w:val="2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Savings accounts</w:t>
            </w:r>
          </w:p>
        </w:tc>
        <w:tc>
          <w:tcPr>
            <w:tcW w:w="12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128,753</w:t>
            </w:r>
          </w:p>
        </w:tc>
        <w:tc>
          <w:tcPr>
            <w:tcW w:w="4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113,543</w:t>
            </w:r>
          </w:p>
        </w:tc>
      </w:tr>
      <w:tr>
        <w:trPr>
          <w:trHeight w:val="180"/>
        </w:trPr>
        <w:tc>
          <w:tcPr>
            <w:tcW w:w="1060" w:type="dxa"/>
            <w:vAlign w:val="bottom"/>
          </w:tcPr>
          <w:p>
            <w:pPr>
              <w:spacing w:after="0"/>
              <w:rPr>
                <w:sz w:val="15"/>
                <w:szCs w:val="15"/>
                <w:color w:val="auto"/>
              </w:rPr>
            </w:pPr>
          </w:p>
        </w:tc>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Time accounts</w:t>
            </w:r>
          </w:p>
        </w:tc>
        <w:tc>
          <w:tcPr>
            <w:tcW w:w="1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360,716</w:t>
            </w:r>
          </w:p>
        </w:tc>
        <w:tc>
          <w:tcPr>
            <w:tcW w:w="40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377,570</w:t>
            </w: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Time accounts in excess of $250,000</w:t>
            </w:r>
          </w:p>
        </w:tc>
        <w:tc>
          <w:tcPr>
            <w:tcW w:w="1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142,473</w:t>
            </w: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95,272</w:t>
            </w:r>
          </w:p>
        </w:tc>
      </w:tr>
      <w:tr>
        <w:trPr>
          <w:trHeight w:val="180"/>
        </w:trPr>
        <w:tc>
          <w:tcPr>
            <w:tcW w:w="1060" w:type="dxa"/>
            <w:vAlign w:val="bottom"/>
          </w:tcPr>
          <w:p>
            <w:pPr>
              <w:spacing w:after="0"/>
              <w:rPr>
                <w:sz w:val="15"/>
                <w:szCs w:val="15"/>
                <w:color w:val="auto"/>
              </w:rPr>
            </w:pPr>
          </w:p>
        </w:tc>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Money management accounts</w:t>
            </w:r>
          </w:p>
        </w:tc>
        <w:tc>
          <w:tcPr>
            <w:tcW w:w="1240" w:type="dxa"/>
            <w:vAlign w:val="bottom"/>
          </w:tcPr>
          <w:p>
            <w:pPr>
              <w:spacing w:after="0"/>
              <w:rPr>
                <w:sz w:val="15"/>
                <w:szCs w:val="15"/>
                <w:color w:val="auto"/>
              </w:rPr>
            </w:pPr>
          </w:p>
        </w:tc>
        <w:tc>
          <w:tcPr>
            <w:tcW w:w="10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11,583</w:t>
            </w:r>
          </w:p>
        </w:tc>
        <w:tc>
          <w:tcPr>
            <w:tcW w:w="40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12,364</w:t>
            </w: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MMDA accounts</w:t>
            </w:r>
          </w:p>
        </w:tc>
        <w:tc>
          <w:tcPr>
            <w:tcW w:w="1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239,016</w:t>
            </w: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224,707</w:t>
            </w:r>
          </w:p>
        </w:tc>
      </w:tr>
      <w:tr>
        <w:trPr>
          <w:trHeight w:val="180"/>
        </w:trPr>
        <w:tc>
          <w:tcPr>
            <w:tcW w:w="1060" w:type="dxa"/>
            <w:vAlign w:val="bottom"/>
          </w:tcPr>
          <w:p>
            <w:pPr>
              <w:spacing w:after="0"/>
              <w:rPr>
                <w:sz w:val="15"/>
                <w:szCs w:val="15"/>
                <w:color w:val="auto"/>
              </w:rPr>
            </w:pPr>
          </w:p>
        </w:tc>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Demand deposit interest-bearing</w:t>
            </w:r>
          </w:p>
        </w:tc>
        <w:tc>
          <w:tcPr>
            <w:tcW w:w="1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101,080</w:t>
            </w:r>
          </w:p>
        </w:tc>
        <w:tc>
          <w:tcPr>
            <w:tcW w:w="40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119,321</w:t>
            </w: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Demand deposit noninterest-bearing</w:t>
            </w:r>
          </w:p>
        </w:tc>
        <w:tc>
          <w:tcPr>
            <w:tcW w:w="1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213,719</w:t>
            </w: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170,169</w:t>
            </w:r>
          </w:p>
        </w:tc>
      </w:tr>
      <w:tr>
        <w:trPr>
          <w:trHeight w:val="180"/>
        </w:trPr>
        <w:tc>
          <w:tcPr>
            <w:tcW w:w="1060" w:type="dxa"/>
            <w:vAlign w:val="bottom"/>
          </w:tcPr>
          <w:p>
            <w:pPr>
              <w:spacing w:after="0"/>
              <w:rPr>
                <w:sz w:val="15"/>
                <w:szCs w:val="15"/>
                <w:color w:val="auto"/>
              </w:rPr>
            </w:pPr>
          </w:p>
        </w:tc>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Mortgage escrow funds</w:t>
            </w:r>
          </w:p>
        </w:tc>
        <w:tc>
          <w:tcPr>
            <w:tcW w:w="124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7,184</w:t>
            </w:r>
          </w:p>
        </w:tc>
        <w:tc>
          <w:tcPr>
            <w:tcW w:w="40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7,121</w:t>
            </w:r>
          </w:p>
        </w:tc>
      </w:tr>
      <w:tr>
        <w:trPr>
          <w:trHeight w:val="220"/>
        </w:trPr>
        <w:tc>
          <w:tcPr>
            <w:tcW w:w="1060" w:type="dxa"/>
            <w:vAlign w:val="bottom"/>
          </w:tcPr>
          <w:p>
            <w:pPr>
              <w:spacing w:after="0"/>
              <w:rPr>
                <w:sz w:val="19"/>
                <w:szCs w:val="19"/>
                <w:color w:val="auto"/>
              </w:rPr>
            </w:pPr>
          </w:p>
        </w:tc>
        <w:tc>
          <w:tcPr>
            <w:tcW w:w="4860" w:type="dxa"/>
            <w:vAlign w:val="bottom"/>
            <w:tcBorders>
              <w:bottom w:val="single" w:sz="8" w:color="auto"/>
            </w:tcBorders>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Deposits</w:t>
            </w:r>
          </w:p>
        </w:tc>
        <w:tc>
          <w:tcPr>
            <w:tcW w:w="124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1,204,524</w:t>
            </w:r>
          </w:p>
        </w:tc>
        <w:tc>
          <w:tcPr>
            <w:tcW w:w="40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1,120,067</w:t>
            </w:r>
          </w:p>
        </w:tc>
      </w:tr>
      <w:tr>
        <w:trPr>
          <w:trHeight w:val="358"/>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 December 31, 2024, the scheduled maturities of time deposits are as follows: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Year of Maturity:</w:t>
            </w:r>
          </w:p>
        </w:tc>
        <w:tc>
          <w:tcPr>
            <w:tcW w:w="1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24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428,330</w:t>
            </w: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64,258</w:t>
            </w:r>
          </w:p>
        </w:tc>
      </w:tr>
      <w:tr>
        <w:trPr>
          <w:trHeight w:val="180"/>
        </w:trPr>
        <w:tc>
          <w:tcPr>
            <w:tcW w:w="1060" w:type="dxa"/>
            <w:vAlign w:val="bottom"/>
          </w:tcPr>
          <w:p>
            <w:pPr>
              <w:spacing w:after="0"/>
              <w:rPr>
                <w:sz w:val="15"/>
                <w:szCs w:val="15"/>
                <w:color w:val="auto"/>
              </w:rPr>
            </w:pPr>
          </w:p>
        </w:tc>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7,298</w:t>
            </w: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2,299</w:t>
            </w:r>
          </w:p>
        </w:tc>
      </w:tr>
      <w:tr>
        <w:trPr>
          <w:trHeight w:val="180"/>
        </w:trPr>
        <w:tc>
          <w:tcPr>
            <w:tcW w:w="1060" w:type="dxa"/>
            <w:vAlign w:val="bottom"/>
          </w:tcPr>
          <w:p>
            <w:pPr>
              <w:spacing w:after="0"/>
              <w:rPr>
                <w:sz w:val="15"/>
                <w:szCs w:val="15"/>
                <w:color w:val="auto"/>
              </w:rPr>
            </w:pPr>
          </w:p>
        </w:tc>
        <w:tc>
          <w:tcPr>
            <w:tcW w:w="4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722</w:t>
            </w:r>
          </w:p>
        </w:tc>
      </w:tr>
      <w:tr>
        <w:trPr>
          <w:trHeight w:val="180"/>
        </w:trPr>
        <w:tc>
          <w:tcPr>
            <w:tcW w:w="1060" w:type="dxa"/>
            <w:vAlign w:val="bottom"/>
          </w:tcPr>
          <w:p>
            <w:pPr>
              <w:spacing w:after="0"/>
              <w:rPr>
                <w:sz w:val="15"/>
                <w:szCs w:val="15"/>
                <w:color w:val="auto"/>
              </w:rPr>
            </w:pPr>
          </w:p>
        </w:tc>
        <w:tc>
          <w:tcPr>
            <w:tcW w:w="4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282</w:t>
            </w:r>
          </w:p>
        </w:tc>
      </w:tr>
      <w:tr>
        <w:trPr>
          <w:trHeight w:val="180"/>
        </w:trPr>
        <w:tc>
          <w:tcPr>
            <w:tcW w:w="1060" w:type="dxa"/>
            <w:vAlign w:val="bottom"/>
          </w:tcPr>
          <w:p>
            <w:pPr>
              <w:spacing w:after="0"/>
              <w:rPr>
                <w:sz w:val="15"/>
                <w:szCs w:val="15"/>
                <w:color w:val="auto"/>
              </w:rPr>
            </w:pPr>
          </w:p>
        </w:tc>
        <w:tc>
          <w:tcPr>
            <w:tcW w:w="4860" w:type="dxa"/>
            <w:vAlign w:val="bottom"/>
            <w:tcBorders>
              <w:bottom w:val="single" w:sz="8" w:color="auto"/>
            </w:tcBorders>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503,189</w:t>
            </w:r>
          </w:p>
        </w:tc>
      </w:tr>
      <w:tr>
        <w:trPr>
          <w:trHeight w:val="20"/>
        </w:trPr>
        <w:tc>
          <w:tcPr>
            <w:tcW w:w="106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right="740"/>
        <w:spacing w:after="0" w:line="247" w:lineRule="auto"/>
        <w:rPr>
          <w:sz w:val="20"/>
          <w:szCs w:val="20"/>
          <w:color w:val="auto"/>
        </w:rPr>
      </w:pPr>
      <w:r>
        <w:rPr>
          <w:rFonts w:ascii="Times New Roman" w:cs="Times New Roman" w:eastAsia="Times New Roman" w:hAnsi="Times New Roman"/>
          <w:sz w:val="16"/>
          <w:szCs w:val="16"/>
          <w:color w:val="auto"/>
        </w:rPr>
        <w:t>In addition to deposits obtained from its business operations within its target market areas, the Bank also obtains brokered deposits through various programs administered by IntraFi Network and through other unaffiliated third-party financial institutions. As of December 31, brokered and nonbrokered deposits are summarized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Nonbrokered</w:t>
            </w:r>
          </w:p>
        </w:tc>
        <w:tc>
          <w:tcPr>
            <w:tcW w:w="2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Brokered</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Nonbrokered</w:t>
            </w:r>
          </w:p>
        </w:tc>
        <w:tc>
          <w:tcPr>
            <w:tcW w:w="22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Brokered</w:t>
            </w:r>
          </w:p>
        </w:tc>
        <w:tc>
          <w:tcPr>
            <w:tcW w:w="2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Savings accounts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128,753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128,753</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113,543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113,543</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accounts</w:t>
            </w:r>
          </w:p>
        </w:tc>
        <w:tc>
          <w:tcPr>
            <w:tcW w:w="9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226,445</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134,271</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360,716</w:t>
            </w:r>
          </w:p>
        </w:tc>
        <w:tc>
          <w:tcPr>
            <w:tcW w:w="3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174,864</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202,706</w:t>
            </w:r>
          </w:p>
        </w:tc>
        <w:tc>
          <w:tcPr>
            <w:tcW w:w="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377,570</w:t>
            </w:r>
          </w:p>
        </w:tc>
        <w:tc>
          <w:tcPr>
            <w:tcW w:w="0" w:type="dxa"/>
            <w:vAlign w:val="bottom"/>
          </w:tcPr>
          <w:p>
            <w:pPr>
              <w:spacing w:after="0"/>
              <w:rPr>
                <w:sz w:val="1"/>
                <w:szCs w:val="1"/>
                <w:color w:val="auto"/>
              </w:rPr>
            </w:pPr>
          </w:p>
        </w:tc>
      </w:tr>
      <w:tr>
        <w:trPr>
          <w:trHeight w:val="16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Time accounts of $250,000 or more</w:t>
            </w:r>
          </w:p>
        </w:tc>
        <w:tc>
          <w:tcPr>
            <w:tcW w:w="9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142,473</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142,473</w:t>
            </w: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95,272</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95,272</w:t>
            </w:r>
          </w:p>
        </w:tc>
        <w:tc>
          <w:tcPr>
            <w:tcW w:w="0" w:type="dxa"/>
            <w:vAlign w:val="bottom"/>
          </w:tcPr>
          <w:p>
            <w:pPr>
              <w:spacing w:after="0"/>
              <w:rPr>
                <w:sz w:val="1"/>
                <w:szCs w:val="1"/>
                <w:color w:val="auto"/>
              </w:rPr>
            </w:pPr>
          </w:p>
        </w:tc>
      </w:tr>
      <w:tr>
        <w:trPr>
          <w:trHeight w:val="188"/>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9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11,583</w:t>
            </w: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11,583</w:t>
            </w:r>
          </w:p>
        </w:tc>
        <w:tc>
          <w:tcPr>
            <w:tcW w:w="34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12,364</w:t>
            </w:r>
          </w:p>
        </w:tc>
        <w:tc>
          <w:tcPr>
            <w:tcW w:w="2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12,364</w:t>
            </w: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MMDA accounts</w:t>
            </w:r>
          </w:p>
        </w:tc>
        <w:tc>
          <w:tcPr>
            <w:tcW w:w="9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239,016</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239,016</w:t>
            </w: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224,707</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224,707</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 deposit interest-bearing</w:t>
            </w:r>
          </w:p>
        </w:tc>
        <w:tc>
          <w:tcPr>
            <w:tcW w:w="9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99,080</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101,080</w:t>
            </w:r>
          </w:p>
        </w:tc>
        <w:tc>
          <w:tcPr>
            <w:tcW w:w="3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79,321</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40,000</w:t>
            </w:r>
          </w:p>
        </w:tc>
        <w:tc>
          <w:tcPr>
            <w:tcW w:w="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119,321</w:t>
            </w:r>
          </w:p>
        </w:tc>
        <w:tc>
          <w:tcPr>
            <w:tcW w:w="0" w:type="dxa"/>
            <w:vAlign w:val="bottom"/>
          </w:tcPr>
          <w:p>
            <w:pPr>
              <w:spacing w:after="0"/>
              <w:rPr>
                <w:sz w:val="1"/>
                <w:szCs w:val="1"/>
                <w:color w:val="auto"/>
              </w:rPr>
            </w:pPr>
          </w:p>
        </w:tc>
      </w:tr>
      <w:tr>
        <w:trPr>
          <w:trHeight w:val="16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Demand deposit noninterest-bearing</w:t>
            </w:r>
          </w:p>
        </w:tc>
        <w:tc>
          <w:tcPr>
            <w:tcW w:w="9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213,719</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213,719</w:t>
            </w: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170,169</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170,169</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escrow funds</w:t>
            </w:r>
          </w:p>
        </w:tc>
        <w:tc>
          <w:tcPr>
            <w:tcW w:w="9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7,184</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7,184</w:t>
            </w:r>
          </w:p>
        </w:tc>
        <w:tc>
          <w:tcPr>
            <w:tcW w:w="3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7,121</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7,121</w:t>
            </w:r>
          </w:p>
        </w:tc>
        <w:tc>
          <w:tcPr>
            <w:tcW w:w="0" w:type="dxa"/>
            <w:vAlign w:val="bottom"/>
          </w:tcPr>
          <w:p>
            <w:pPr>
              <w:spacing w:after="0"/>
              <w:rPr>
                <w:sz w:val="1"/>
                <w:szCs w:val="1"/>
                <w:color w:val="auto"/>
              </w:rPr>
            </w:pPr>
          </w:p>
        </w:tc>
      </w:tr>
      <w:tr>
        <w:trPr>
          <w:trHeight w:val="208"/>
        </w:trPr>
        <w:tc>
          <w:tcPr>
            <w:tcW w:w="28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Deposits</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1,068,253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136,271</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1,204,524</w:t>
            </w: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877,361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242,706</w:t>
            </w:r>
          </w:p>
        </w:tc>
        <w:tc>
          <w:tcPr>
            <w:tcW w:w="2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1,120,067</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1" w:right="680" w:bottom="1440" w:gutter="0" w:footer="0" w:header="0"/>
        </w:sectPr>
      </w:pPr>
    </w:p>
    <w:bookmarkStart w:id="94" w:name="page95"/>
    <w:bookmarkEnd w:id="94"/>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12: BORROWED FUNDS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w w:val="97"/>
              </w:rPr>
              <w:t>The composition of borrowings (excluding subordinated debt) at December 31 is as follows: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2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2024</w:t>
            </w:r>
          </w:p>
        </w:tc>
        <w:tc>
          <w:tcPr>
            <w:tcW w:w="50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5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Short-term:</w:t>
            </w:r>
          </w:p>
        </w:tc>
        <w:tc>
          <w:tcPr>
            <w:tcW w:w="4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57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FHLB advances</w:t>
            </w:r>
          </w:p>
        </w:tc>
        <w:tc>
          <w:tcPr>
            <w:tcW w:w="42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61,000</w:t>
            </w:r>
          </w:p>
        </w:tc>
        <w:tc>
          <w:tcPr>
            <w:tcW w:w="50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125,680</w:t>
            </w:r>
          </w:p>
        </w:tc>
      </w:tr>
      <w:tr>
        <w:trPr>
          <w:trHeight w:val="220"/>
        </w:trPr>
        <w:tc>
          <w:tcPr>
            <w:tcW w:w="5780" w:type="dxa"/>
            <w:vAlign w:val="bottom"/>
            <w:tcBorders>
              <w:bottom w:val="single" w:sz="8" w:color="auto"/>
            </w:tcBorders>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short-term borrowings</w:t>
            </w:r>
          </w:p>
        </w:tc>
        <w:tc>
          <w:tcPr>
            <w:tcW w:w="420" w:type="dxa"/>
            <w:vAlign w:val="bottom"/>
            <w:tcBorders>
              <w:bottom w:val="single" w:sz="8" w:color="auto"/>
            </w:tcBorders>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61,000</w:t>
            </w:r>
          </w:p>
        </w:tc>
        <w:tc>
          <w:tcPr>
            <w:tcW w:w="50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125,680</w:t>
            </w:r>
          </w:p>
        </w:tc>
      </w:tr>
      <w:tr>
        <w:trPr>
          <w:trHeight w:val="156"/>
        </w:trPr>
        <w:tc>
          <w:tcPr>
            <w:tcW w:w="578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Long-term:</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57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FHLB advances</w:t>
            </w:r>
          </w:p>
        </w:tc>
        <w:tc>
          <w:tcPr>
            <w:tcW w:w="4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27,068</w:t>
            </w:r>
          </w:p>
        </w:tc>
        <w:tc>
          <w:tcPr>
            <w:tcW w:w="50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49,919</w:t>
            </w:r>
          </w:p>
        </w:tc>
      </w:tr>
      <w:tr>
        <w:trPr>
          <w:trHeight w:val="180"/>
        </w:trPr>
        <w:tc>
          <w:tcPr>
            <w:tcW w:w="5780" w:type="dxa"/>
            <w:vAlign w:val="bottom"/>
            <w:tcBorders>
              <w:bottom w:val="single" w:sz="8" w:color="auto"/>
            </w:tcBorders>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long-term borrowings</w:t>
            </w:r>
          </w:p>
        </w:tc>
        <w:tc>
          <w:tcPr>
            <w:tcW w:w="420" w:type="dxa"/>
            <w:vAlign w:val="bottom"/>
            <w:tcBorders>
              <w:bottom w:val="single" w:sz="8" w:color="auto"/>
            </w:tcBorders>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27,068</w:t>
            </w:r>
          </w:p>
        </w:tc>
        <w:tc>
          <w:tcPr>
            <w:tcW w:w="500" w:type="dxa"/>
            <w:vAlign w:val="bottom"/>
            <w:tcBorders>
              <w:bottom w:val="single" w:sz="8" w:color="auto"/>
            </w:tcBorders>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49,919</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balances, interest rates and maturities of the outstanding long-term borrowings, all of which are at a fixed rate, at December 31, 2024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680" w:type="dxa"/>
            <w:vAlign w:val="bottom"/>
          </w:tcPr>
          <w:p>
            <w:pPr>
              <w:spacing w:after="0"/>
              <w:rPr>
                <w:sz w:val="16"/>
                <w:szCs w:val="16"/>
                <w:color w:val="auto"/>
              </w:rPr>
            </w:pPr>
          </w:p>
        </w:tc>
        <w:tc>
          <w:tcPr>
            <w:tcW w:w="140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Principal</w:t>
            </w:r>
          </w:p>
        </w:tc>
        <w:tc>
          <w:tcPr>
            <w:tcW w:w="16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Rates</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6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Advances with FHLB</w:t>
            </w: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Due within 1 year</w:t>
            </w:r>
          </w:p>
        </w:tc>
        <w:tc>
          <w:tcPr>
            <w:tcW w:w="168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23,883</w:t>
            </w: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0.52 - 4.92%</w:t>
            </w:r>
          </w:p>
        </w:tc>
        <w:tc>
          <w:tcPr>
            <w:tcW w:w="0" w:type="dxa"/>
            <w:vAlign w:val="bottom"/>
          </w:tcPr>
          <w:p>
            <w:pPr>
              <w:spacing w:after="0"/>
              <w:rPr>
                <w:sz w:val="1"/>
                <w:szCs w:val="1"/>
                <w:color w:val="auto"/>
              </w:rPr>
            </w:pPr>
          </w:p>
        </w:tc>
      </w:tr>
      <w:tr>
        <w:trPr>
          <w:trHeight w:val="180"/>
        </w:trPr>
        <w:tc>
          <w:tcPr>
            <w:tcW w:w="37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Due within 2 years</w:t>
            </w:r>
          </w:p>
        </w:tc>
        <w:tc>
          <w:tcPr>
            <w:tcW w:w="1680" w:type="dxa"/>
            <w:vAlign w:val="bottom"/>
          </w:tcPr>
          <w:p>
            <w:pPr>
              <w:spacing w:after="0"/>
              <w:rPr>
                <w:sz w:val="15"/>
                <w:szCs w:val="15"/>
                <w:color w:val="auto"/>
              </w:rPr>
            </w:pPr>
          </w:p>
        </w:tc>
        <w:tc>
          <w:tcPr>
            <w:tcW w:w="140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3,185</w:t>
            </w: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0.67 - 4.96%</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auto"/>
            </w:tcBorders>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 advances with FHLB</w:t>
            </w:r>
          </w:p>
        </w:tc>
        <w:tc>
          <w:tcPr>
            <w:tcW w:w="1680" w:type="dxa"/>
            <w:vAlign w:val="bottom"/>
            <w:tcBorders>
              <w:bottom w:val="single" w:sz="8" w:color="auto"/>
            </w:tcBorders>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27,068</w:t>
            </w:r>
          </w:p>
        </w:tc>
        <w:tc>
          <w:tcPr>
            <w:tcW w:w="166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72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color w:val="auto"/>
              </w:rPr>
              <w:t>Total long-term fixed rate borrowings</w:t>
            </w:r>
          </w:p>
        </w:tc>
        <w:tc>
          <w:tcPr>
            <w:tcW w:w="1680" w:type="dxa"/>
            <w:vAlign w:val="bottom"/>
          </w:tcPr>
          <w:p>
            <w:pPr>
              <w:jc w:val="right"/>
              <w:ind w:right="50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color w:val="auto"/>
              </w:rPr>
              <w:t>27,068</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7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vMerge w:val="continue"/>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 December 31, 2024, scheduled repayments of long-term debt are as follows:</w:t>
            </w: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6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23,883</w:t>
            </w: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3,185</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auto"/>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27,068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Company has access to FHLBNY advances, under which it can borrow at various terms and interest rates. Residential mortgage loans with a carrying value of $113.8 million, securities with a carrying value of $82.1 million and FHLB stock with a carrying value of $4.6 million have been pledged by the Company under a blanket collateral agreement to secure the Company’s borrowings at December 31, 2024. The total outstanding indebtedness under borrowing facilities with the FHLB cannot exceed the total value of the assets pledged under the blanket collateral agreement. The Company has a $34.3 million line of credit available at December 31, 2024 with the Federal Reserve Bank of New York through its Discount Window and has pledged various corporate and municipal securities against the line. The Company has $ 15.0 million in lines of credit available with two other correspondent banks. $ 10.0 million of that line of credit is available on an unsecured basis and the remaining $5.0 million must be collateralized with investment securities. Interest on the lines is determined at the time of borrowing.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SUBORDINATED DEBT AND TRUST PREFERRED SECURITIES</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On October 14, 2020, the Company executed a private placement of $25.0 million of its 5.50% Fixed to Floating Rate non-amortizing Subordinated Debt (the “2020 Subordinated Debt”) to certain qualified institutional investors. The 2020 Subordinated Debt has a maturity date of October 15, 2030 and initially bears interest, payable semi-annually, at a fixed annual rate of 5.50% per annum until October 15, 2025. Commencing on that date, the interest rate applicable to the outstanding principal amount due will be reset quarterly to an interest rate per annum equal to the then current three month Secured Overnight Financing Rate ("SOFR") plus 532 basis points, payable quarterly until maturity. The Company may redeem the 2020 Subordinated Debt at par, in whole or in part, at its option, any time after October 15, 2025 (the first redemption date). The 2020 Subordinated Debt is senior in the Company’s credit repayment hierarchy only to the Company’s common equity and preferred stock and, and any future senior indebtedness and is intended to qualify as Tier 2 capital for regulatory capital purposes for the Company. The Company paid $783,000 in origination and legal fees as part of this transaction. These fees will be amortized over the life of the 2020 Subordinated Debt through its first redemption date using the effective interest method, giving rise to an effective cost of funds of 6.22% from the issuance date calculated under this method. Accordingly, interest expense related to this indebtedness of $1.6 million was recorded in both years ended December 31, 2024 and December 31, 2023.</w:t>
      </w:r>
    </w:p>
    <w:p>
      <w:pPr>
        <w:spacing w:after="0" w:line="8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Company has a non-consolidated subsidiary trust, Pathfinder Statutory Trust II (the "Trust"), of which the Company owns 100% of the common equity. The Trust issued $5,000,000 of 30-year floating rate Company -obligated pooled capital securities of Pathfinder Statutory Trust II (“Floating-Rate Debentures”). The Company borrowed the proceeds of the capital securities from the Trust by issuing</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5" w:name="page96"/>
    <w:bookmarkEnd w:id="95"/>
    <w:p>
      <w:pPr>
        <w:spacing w:after="0" w:line="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floating rate junior subordinated deferrable interest debentures having substantially similar terms. The capital securities mature in 2037 and are treated as Tier 1 capital by the FDIC and FRB. The capital securities of the Trust are a pooled trust preferred fund of Preferred Term Securities VI, Ltd., whose interest rate resets quarterly, and are indexed to the 3-month Secured Overnight Funding Rate ("SOFR") plus 1.91%. These securities have a five-year call provision. The Company paid $373,000 and $361,000 in interest expense related to this issuance in 2024 and 2023, respectively. The Company guarantees all of these securities.</w:t>
      </w:r>
    </w:p>
    <w:p>
      <w:pPr>
        <w:spacing w:after="0" w:line="71" w:lineRule="exact"/>
        <w:rPr>
          <w:sz w:val="20"/>
          <w:szCs w:val="20"/>
          <w:color w:val="auto"/>
        </w:rPr>
      </w:pPr>
    </w:p>
    <w:p>
      <w:pPr>
        <w:jc w:val="both"/>
        <w:ind w:right="460"/>
        <w:spacing w:after="0" w:line="243" w:lineRule="auto"/>
        <w:rPr>
          <w:sz w:val="20"/>
          <w:szCs w:val="20"/>
          <w:color w:val="auto"/>
        </w:rPr>
      </w:pPr>
      <w:r>
        <w:rPr>
          <w:rFonts w:ascii="Times New Roman" w:cs="Times New Roman" w:eastAsia="Times New Roman" w:hAnsi="Times New Roman"/>
          <w:sz w:val="16"/>
          <w:szCs w:val="16"/>
          <w:color w:val="auto"/>
        </w:rPr>
        <w:t>The Company's equity interest in the Trust is included in other assets on the Consolidated Statements of Financial Condition at December 31, 2024 and 2023.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composition of subordinated debt at December 31 is as follows:</w:t>
            </w: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90"/>
        </w:trPr>
        <w:tc>
          <w:tcPr>
            <w:tcW w:w="106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0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Pr>
          <w:p>
            <w:pPr>
              <w:spacing w:after="0"/>
              <w:rPr>
                <w:sz w:val="24"/>
                <w:szCs w:val="24"/>
                <w:color w:val="auto"/>
              </w:rPr>
            </w:pPr>
          </w:p>
        </w:tc>
      </w:tr>
      <w:tr>
        <w:trPr>
          <w:trHeight w:val="180"/>
        </w:trPr>
        <w:tc>
          <w:tcPr>
            <w:tcW w:w="1060" w:type="dxa"/>
            <w:vAlign w:val="bottom"/>
          </w:tcPr>
          <w:p>
            <w:pPr>
              <w:spacing w:after="0"/>
              <w:rPr>
                <w:sz w:val="15"/>
                <w:szCs w:val="15"/>
                <w:color w:val="auto"/>
              </w:rPr>
            </w:pPr>
          </w:p>
        </w:tc>
        <w:tc>
          <w:tcPr>
            <w:tcW w:w="42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Subordinated debt</w:t>
            </w:r>
          </w:p>
        </w:tc>
        <w:tc>
          <w:tcPr>
            <w:tcW w:w="1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Junior subordinated debenture</w:t>
            </w:r>
          </w:p>
        </w:tc>
        <w:tc>
          <w:tcPr>
            <w:tcW w:w="13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5,155</w:t>
            </w:r>
          </w:p>
        </w:tc>
        <w:tc>
          <w:tcPr>
            <w:tcW w:w="880" w:type="dxa"/>
            <w:vAlign w:val="bottom"/>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5,155</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2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Subordinated debt</w:t>
            </w:r>
          </w:p>
        </w:tc>
        <w:tc>
          <w:tcPr>
            <w:tcW w:w="13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25,000</w:t>
            </w:r>
          </w:p>
        </w:tc>
        <w:tc>
          <w:tcPr>
            <w:tcW w:w="8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25,000</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42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financing charges</w:t>
            </w:r>
          </w:p>
        </w:tc>
        <w:tc>
          <w:tcPr>
            <w:tcW w:w="1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(48 )</w:t>
            </w:r>
          </w:p>
        </w:tc>
        <w:tc>
          <w:tcPr>
            <w:tcW w:w="8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(241 )</w:t>
            </w:r>
          </w:p>
        </w:tc>
        <w:tc>
          <w:tcPr>
            <w:tcW w:w="1040" w:type="dxa"/>
            <w:vAlign w:val="bottom"/>
          </w:tcPr>
          <w:p>
            <w:pPr>
              <w:spacing w:after="0"/>
              <w:rPr>
                <w:sz w:val="15"/>
                <w:szCs w:val="15"/>
                <w:color w:val="auto"/>
              </w:rPr>
            </w:pPr>
          </w:p>
        </w:tc>
      </w:tr>
      <w:tr>
        <w:trPr>
          <w:trHeight w:val="220"/>
        </w:trPr>
        <w:tc>
          <w:tcPr>
            <w:tcW w:w="1060" w:type="dxa"/>
            <w:vAlign w:val="bottom"/>
          </w:tcPr>
          <w:p>
            <w:pPr>
              <w:spacing w:after="0"/>
              <w:rPr>
                <w:sz w:val="19"/>
                <w:szCs w:val="19"/>
                <w:color w:val="auto"/>
              </w:rPr>
            </w:pPr>
          </w:p>
        </w:tc>
        <w:tc>
          <w:tcPr>
            <w:tcW w:w="4260" w:type="dxa"/>
            <w:vAlign w:val="bottom"/>
            <w:tcBorders>
              <w:bottom w:val="single" w:sz="8" w:color="auto"/>
            </w:tcBorders>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subordinated debt</w:t>
            </w:r>
          </w:p>
        </w:tc>
        <w:tc>
          <w:tcPr>
            <w:tcW w:w="130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30,107</w:t>
            </w:r>
          </w:p>
        </w:tc>
        <w:tc>
          <w:tcPr>
            <w:tcW w:w="880" w:type="dxa"/>
            <w:vAlign w:val="bottom"/>
            <w:tcBorders>
              <w:bottom w:val="single" w:sz="8" w:color="auto"/>
            </w:tcBorders>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29,914</w:t>
            </w:r>
          </w:p>
        </w:tc>
        <w:tc>
          <w:tcPr>
            <w:tcW w:w="1040" w:type="dxa"/>
            <w:vAlign w:val="bottom"/>
          </w:tcPr>
          <w:p>
            <w:pPr>
              <w:spacing w:after="0"/>
              <w:rPr>
                <w:sz w:val="19"/>
                <w:szCs w:val="19"/>
                <w:color w:val="auto"/>
              </w:rPr>
            </w:pPr>
          </w:p>
        </w:tc>
      </w:tr>
      <w:tr>
        <w:trPr>
          <w:trHeight w:val="358"/>
        </w:trPr>
        <w:tc>
          <w:tcPr>
            <w:tcW w:w="75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principal balances, interest rates and maturities of the subordinated debt at December 31, 2024 are as follows:</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Principal</w:t>
            </w: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5"/>
              </w:rPr>
              <w:t>Rates</w:t>
            </w:r>
          </w:p>
        </w:tc>
      </w:tr>
      <w:tr>
        <w:trPr>
          <w:trHeight w:val="19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0"/>
        </w:trPr>
        <w:tc>
          <w:tcPr>
            <w:tcW w:w="532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Subordinated debt:</w:t>
            </w:r>
          </w:p>
        </w:tc>
        <w:tc>
          <w:tcPr>
            <w:tcW w:w="1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0"/>
        </w:trPr>
        <w:tc>
          <w:tcPr>
            <w:tcW w:w="5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Due within 6 years</w:t>
            </w:r>
          </w:p>
        </w:tc>
        <w:tc>
          <w:tcPr>
            <w:tcW w:w="1300" w:type="dxa"/>
            <w:vAlign w:val="bottom"/>
          </w:tcPr>
          <w:p>
            <w:pPr>
              <w:spacing w:after="0"/>
              <w:rPr>
                <w:sz w:val="15"/>
                <w:szCs w:val="15"/>
                <w:color w:val="auto"/>
              </w:rPr>
            </w:pPr>
          </w:p>
        </w:tc>
        <w:tc>
          <w:tcPr>
            <w:tcW w:w="940" w:type="dxa"/>
            <w:vAlign w:val="bottom"/>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25,000</w:t>
            </w:r>
          </w:p>
        </w:tc>
        <w:tc>
          <w:tcPr>
            <w:tcW w:w="21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5.50%</w:t>
            </w:r>
          </w:p>
        </w:tc>
      </w:tr>
      <w:tr>
        <w:trPr>
          <w:trHeight w:val="180"/>
        </w:trPr>
        <w:tc>
          <w:tcPr>
            <w:tcW w:w="5320" w:type="dxa"/>
            <w:vAlign w:val="bottom"/>
            <w:gridSpan w:val="2"/>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Due within 13 years</w:t>
            </w:r>
          </w:p>
        </w:tc>
        <w:tc>
          <w:tcPr>
            <w:tcW w:w="1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5,155</w:t>
            </w:r>
          </w:p>
        </w:tc>
        <w:tc>
          <w:tcPr>
            <w:tcW w:w="2120" w:type="dxa"/>
            <w:vAlign w:val="bottom"/>
            <w:gridSpan w:val="2"/>
            <w:shd w:val="clear" w:color="auto" w:fill="CFF0FC"/>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7"/>
              </w:rPr>
              <w:t>3-Month SOFR + 1.91%</w:t>
            </w:r>
          </w:p>
        </w:tc>
      </w:tr>
      <w:tr>
        <w:trPr>
          <w:trHeight w:val="180"/>
        </w:trPr>
        <w:tc>
          <w:tcPr>
            <w:tcW w:w="5320" w:type="dxa"/>
            <w:vAlign w:val="bottom"/>
            <w:tcBorders>
              <w:bottom w:val="single" w:sz="8" w:color="auto"/>
            </w:tcBorders>
            <w:gridSpan w:val="2"/>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 subordinated debt</w:t>
            </w:r>
          </w:p>
        </w:tc>
        <w:tc>
          <w:tcPr>
            <w:tcW w:w="1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30,155</w:t>
            </w:r>
          </w:p>
        </w:tc>
        <w:tc>
          <w:tcPr>
            <w:tcW w:w="1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Scheduled repayments of the subordinated debt at December 31, 2024 are as follows:</w:t>
            </w:r>
          </w:p>
        </w:tc>
        <w:tc>
          <w:tcPr>
            <w:tcW w:w="2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38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25,000</w:t>
            </w:r>
          </w:p>
        </w:tc>
      </w:tr>
      <w:tr>
        <w:trPr>
          <w:trHeight w:val="180"/>
        </w:trPr>
        <w:tc>
          <w:tcPr>
            <w:tcW w:w="7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5,155</w:t>
            </w:r>
          </w:p>
        </w:tc>
      </w:tr>
      <w:tr>
        <w:trPr>
          <w:trHeight w:val="180"/>
        </w:trPr>
        <w:tc>
          <w:tcPr>
            <w:tcW w:w="7020" w:type="dxa"/>
            <w:vAlign w:val="bottom"/>
            <w:tcBorders>
              <w:bottom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380" w:type="dxa"/>
            <w:vAlign w:val="bottom"/>
            <w:tcBorders>
              <w:bottom w:val="single" w:sz="8" w:color="auto"/>
            </w:tcBorders>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30,155</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6" w:name="page97"/>
    <w:bookmarkEnd w:id="9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EMPLOYEE BENEFITS AND DEFERRED COMPENSATION AND SUPPLEMENTAL RETIREMENT PLANS</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Company has a noncontributory defined benefit pension plan covering substantially all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w:t>
      </w:r>
    </w:p>
    <w:p>
      <w:pPr>
        <w:spacing w:after="0" w:line="7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following tables set forth the changes in the plans’ benefit obligations, fair value of plan assets and the plans’ funded status as of and for the years ended December 31: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tcPr>
          <w:p>
            <w:pPr>
              <w:spacing w:after="0"/>
              <w:rPr>
                <w:sz w:val="16"/>
                <w:szCs w:val="16"/>
                <w:color w:val="auto"/>
              </w:rPr>
            </w:pPr>
          </w:p>
        </w:tc>
        <w:tc>
          <w:tcPr>
            <w:tcW w:w="14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Pension Benefits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2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Pr>
          <w:p>
            <w:pPr>
              <w:spacing w:after="0"/>
              <w:rPr>
                <w:sz w:val="16"/>
                <w:szCs w:val="16"/>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Pr>
          <w:p>
            <w:pPr>
              <w:spacing w:after="0"/>
              <w:rPr>
                <w:sz w:val="16"/>
                <w:szCs w:val="16"/>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Change in benefit obligations:</w:t>
            </w:r>
          </w:p>
        </w:tc>
        <w:tc>
          <w:tcPr>
            <w:tcW w:w="16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Benefit obligations at beginning of year</w:t>
            </w:r>
          </w:p>
        </w:tc>
        <w:tc>
          <w:tcPr>
            <w:tcW w:w="168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9,586</w:t>
            </w:r>
          </w:p>
        </w:tc>
        <w:tc>
          <w:tcPr>
            <w:tcW w:w="58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9,442</w:t>
            </w:r>
          </w:p>
        </w:tc>
        <w:tc>
          <w:tcPr>
            <w:tcW w:w="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740" w:type="dxa"/>
            <w:vAlign w:val="bottom"/>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Service cost</w:t>
            </w:r>
          </w:p>
        </w:tc>
        <w:tc>
          <w:tcPr>
            <w:tcW w:w="16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cost</w:t>
            </w:r>
          </w:p>
        </w:tc>
        <w:tc>
          <w:tcPr>
            <w:tcW w:w="1680" w:type="dxa"/>
            <w:vAlign w:val="bottom"/>
          </w:tcPr>
          <w:p>
            <w:pPr>
              <w:spacing w:after="0"/>
              <w:rPr>
                <w:sz w:val="15"/>
                <w:szCs w:val="15"/>
                <w:color w:val="auto"/>
              </w:rPr>
            </w:pP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556</w:t>
            </w:r>
          </w:p>
        </w:tc>
        <w:tc>
          <w:tcPr>
            <w:tcW w:w="580" w:type="dxa"/>
            <w:vAlign w:val="bottom"/>
          </w:tcPr>
          <w:p>
            <w:pPr>
              <w:spacing w:after="0"/>
              <w:rPr>
                <w:sz w:val="15"/>
                <w:szCs w:val="15"/>
                <w:color w:val="auto"/>
              </w:rPr>
            </w:pPr>
          </w:p>
        </w:tc>
        <w:tc>
          <w:tcPr>
            <w:tcW w:w="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562</w:t>
            </w:r>
          </w:p>
        </w:tc>
        <w:tc>
          <w:tcPr>
            <w:tcW w:w="320" w:type="dxa"/>
            <w:vAlign w:val="bottom"/>
          </w:tcPr>
          <w:p>
            <w:pPr>
              <w:spacing w:after="0"/>
              <w:rPr>
                <w:sz w:val="15"/>
                <w:szCs w:val="15"/>
                <w:color w:val="auto"/>
              </w:rPr>
            </w:pPr>
          </w:p>
        </w:tc>
        <w:tc>
          <w:tcPr>
            <w:tcW w:w="9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74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Plan participants' contribution</w:t>
            </w:r>
          </w:p>
        </w:tc>
        <w:tc>
          <w:tcPr>
            <w:tcW w:w="16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Actuarial (gain) loss</w:t>
            </w:r>
          </w:p>
        </w:tc>
        <w:tc>
          <w:tcPr>
            <w:tcW w:w="168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(343 )</w:t>
            </w:r>
          </w:p>
        </w:tc>
        <w:tc>
          <w:tcPr>
            <w:tcW w:w="580" w:type="dxa"/>
            <w:vAlign w:val="bottom"/>
          </w:tcPr>
          <w:p>
            <w:pPr>
              <w:spacing w:after="0"/>
              <w:rPr>
                <w:sz w:val="15"/>
                <w:szCs w:val="15"/>
                <w:color w:val="auto"/>
              </w:rPr>
            </w:pPr>
          </w:p>
        </w:tc>
        <w:tc>
          <w:tcPr>
            <w:tcW w:w="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320" w:type="dxa"/>
            <w:vAlign w:val="bottom"/>
          </w:tcPr>
          <w:p>
            <w:pPr>
              <w:spacing w:after="0"/>
              <w:rPr>
                <w:sz w:val="15"/>
                <w:szCs w:val="15"/>
                <w:color w:val="auto"/>
              </w:rPr>
            </w:pPr>
          </w:p>
        </w:tc>
        <w:tc>
          <w:tcPr>
            <w:tcW w:w="9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7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Benefits paid</w:t>
            </w:r>
          </w:p>
        </w:tc>
        <w:tc>
          <w:tcPr>
            <w:tcW w:w="16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(452 )</w:t>
            </w: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(632 )</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(19 )</w:t>
            </w: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Benefit obligations at end of year</w:t>
            </w:r>
          </w:p>
        </w:tc>
        <w:tc>
          <w:tcPr>
            <w:tcW w:w="1680" w:type="dxa"/>
            <w:vAlign w:val="bottom"/>
          </w:tcPr>
          <w:p>
            <w:pPr>
              <w:spacing w:after="0"/>
              <w:rPr>
                <w:sz w:val="15"/>
                <w:szCs w:val="15"/>
                <w:color w:val="auto"/>
              </w:rPr>
            </w:pP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9,347</w:t>
            </w:r>
          </w:p>
        </w:tc>
        <w:tc>
          <w:tcPr>
            <w:tcW w:w="580" w:type="dxa"/>
            <w:vAlign w:val="bottom"/>
          </w:tcPr>
          <w:p>
            <w:pPr>
              <w:spacing w:after="0"/>
              <w:rPr>
                <w:sz w:val="15"/>
                <w:szCs w:val="15"/>
                <w:color w:val="auto"/>
              </w:rPr>
            </w:pPr>
          </w:p>
        </w:tc>
        <w:tc>
          <w:tcPr>
            <w:tcW w:w="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9,586</w:t>
            </w:r>
          </w:p>
        </w:tc>
        <w:tc>
          <w:tcPr>
            <w:tcW w:w="320" w:type="dxa"/>
            <w:vAlign w:val="bottom"/>
          </w:tcPr>
          <w:p>
            <w:pPr>
              <w:spacing w:after="0"/>
              <w:rPr>
                <w:sz w:val="15"/>
                <w:szCs w:val="15"/>
                <w:color w:val="auto"/>
              </w:rPr>
            </w:pPr>
          </w:p>
        </w:tc>
        <w:tc>
          <w:tcPr>
            <w:tcW w:w="9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74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Change in plan assets:</w:t>
            </w:r>
          </w:p>
        </w:tc>
        <w:tc>
          <w:tcPr>
            <w:tcW w:w="16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680" w:type="dxa"/>
            <w:vAlign w:val="bottom"/>
          </w:tcPr>
          <w:p>
            <w:pPr>
              <w:spacing w:after="0"/>
              <w:rPr>
                <w:sz w:val="15"/>
                <w:szCs w:val="15"/>
                <w:color w:val="auto"/>
              </w:rPr>
            </w:pP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17,108</w:t>
            </w:r>
          </w:p>
        </w:tc>
        <w:tc>
          <w:tcPr>
            <w:tcW w:w="580" w:type="dxa"/>
            <w:vAlign w:val="bottom"/>
          </w:tcPr>
          <w:p>
            <w:pPr>
              <w:spacing w:after="0"/>
              <w:rPr>
                <w:sz w:val="15"/>
                <w:szCs w:val="15"/>
                <w:color w:val="auto"/>
              </w:rPr>
            </w:pPr>
          </w:p>
        </w:tc>
        <w:tc>
          <w:tcPr>
            <w:tcW w:w="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16,311</w:t>
            </w:r>
          </w:p>
        </w:tc>
        <w:tc>
          <w:tcPr>
            <w:tcW w:w="320" w:type="dxa"/>
            <w:vAlign w:val="bottom"/>
          </w:tcPr>
          <w:p>
            <w:pPr>
              <w:spacing w:after="0"/>
              <w:rPr>
                <w:sz w:val="15"/>
                <w:szCs w:val="15"/>
                <w:color w:val="auto"/>
              </w:rPr>
            </w:pPr>
          </w:p>
        </w:tc>
        <w:tc>
          <w:tcPr>
            <w:tcW w:w="9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2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6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639</w:t>
            </w:r>
          </w:p>
        </w:tc>
        <w:tc>
          <w:tcPr>
            <w:tcW w:w="5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1,429</w:t>
            </w:r>
          </w:p>
        </w:tc>
        <w:tc>
          <w:tcPr>
            <w:tcW w:w="32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spacing w:after="0"/>
              <w:rPr>
                <w:sz w:val="17"/>
                <w:szCs w:val="17"/>
                <w:color w:val="auto"/>
              </w:rPr>
            </w:pPr>
          </w:p>
        </w:tc>
        <w:tc>
          <w:tcPr>
            <w:tcW w:w="4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5"/>
        </w:trPr>
        <w:tc>
          <w:tcPr>
            <w:tcW w:w="4320" w:type="dxa"/>
            <w:vAlign w:val="bottom"/>
            <w:vMerge w:val="continue"/>
            <w:shd w:val="clear" w:color="auto" w:fill="CFF0FC"/>
          </w:tcPr>
          <w:p>
            <w:pPr>
              <w:spacing w:after="0"/>
              <w:rPr>
                <w:sz w:val="7"/>
                <w:szCs w:val="7"/>
                <w:color w:val="auto"/>
              </w:rPr>
            </w:pPr>
          </w:p>
        </w:tc>
        <w:tc>
          <w:tcPr>
            <w:tcW w:w="16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40" w:type="dxa"/>
            <w:vAlign w:val="bottom"/>
            <w:vMerge w:val="continue"/>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46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Benefits paid</w:t>
            </w:r>
          </w:p>
        </w:tc>
        <w:tc>
          <w:tcPr>
            <w:tcW w:w="168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(452 )</w:t>
            </w:r>
          </w:p>
        </w:tc>
        <w:tc>
          <w:tcPr>
            <w:tcW w:w="580" w:type="dxa"/>
            <w:vAlign w:val="bottom"/>
          </w:tcPr>
          <w:p>
            <w:pPr>
              <w:spacing w:after="0"/>
              <w:rPr>
                <w:sz w:val="15"/>
                <w:szCs w:val="15"/>
                <w:color w:val="auto"/>
              </w:rPr>
            </w:pPr>
          </w:p>
        </w:tc>
        <w:tc>
          <w:tcPr>
            <w:tcW w:w="6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(632 )</w:t>
            </w:r>
          </w:p>
        </w:tc>
        <w:tc>
          <w:tcPr>
            <w:tcW w:w="32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(19 )</w:t>
            </w:r>
          </w:p>
        </w:tc>
        <w:tc>
          <w:tcPr>
            <w:tcW w:w="7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Plan participants' contribution</w:t>
            </w:r>
          </w:p>
        </w:tc>
        <w:tc>
          <w:tcPr>
            <w:tcW w:w="16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Employer contributions</w:t>
            </w:r>
          </w:p>
        </w:tc>
        <w:tc>
          <w:tcPr>
            <w:tcW w:w="1680" w:type="dxa"/>
            <w:vAlign w:val="bottom"/>
          </w:tcPr>
          <w:p>
            <w:pPr>
              <w:spacing w:after="0"/>
              <w:rPr>
                <w:sz w:val="15"/>
                <w:szCs w:val="15"/>
                <w:color w:val="auto"/>
              </w:rPr>
            </w:pP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6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74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Fair value of plan assets at end of year</w:t>
            </w:r>
          </w:p>
        </w:tc>
        <w:tc>
          <w:tcPr>
            <w:tcW w:w="16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17,295</w:t>
            </w: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17,108</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Funded (unfunded) status - asset (liability)</w:t>
            </w:r>
          </w:p>
        </w:tc>
        <w:tc>
          <w:tcPr>
            <w:tcW w:w="1680" w:type="dxa"/>
            <w:vAlign w:val="bottom"/>
            <w:tcBorders>
              <w:bottom w:val="single" w:sz="8" w:color="auto"/>
            </w:tcBorders>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7,948</w:t>
            </w:r>
          </w:p>
        </w:tc>
        <w:tc>
          <w:tcPr>
            <w:tcW w:w="580" w:type="dxa"/>
            <w:vAlign w:val="bottom"/>
            <w:tcBorders>
              <w:bottom w:val="single" w:sz="8" w:color="auto"/>
            </w:tcBorders>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7,522</w:t>
            </w:r>
          </w:p>
        </w:tc>
        <w:tc>
          <w:tcPr>
            <w:tcW w:w="32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(123 )</w:t>
            </w:r>
          </w:p>
        </w:tc>
        <w:tc>
          <w:tcPr>
            <w:tcW w:w="740" w:type="dxa"/>
            <w:vAlign w:val="bottom"/>
            <w:tcBorders>
              <w:bottom w:val="single" w:sz="8" w:color="auto"/>
            </w:tcBorders>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funded status of the pension was recorded within other assets on the statement of condition. The unfunded status of the postretirement plan is recorded within other liabilities on the statement of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Amounts recognized in accumulated other comprehensive loss as of December 31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720" w:type="dxa"/>
            <w:vAlign w:val="bottom"/>
          </w:tcPr>
          <w:p>
            <w:pPr>
              <w:spacing w:after="0"/>
              <w:rPr>
                <w:sz w:val="16"/>
                <w:szCs w:val="16"/>
                <w:color w:val="auto"/>
              </w:rPr>
            </w:pPr>
          </w:p>
        </w:tc>
        <w:tc>
          <w:tcPr>
            <w:tcW w:w="14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Pension Benefits</w:t>
            </w: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0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7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660" w:type="dxa"/>
            <w:vAlign w:val="bottom"/>
          </w:tcPr>
          <w:p>
            <w:pPr>
              <w:spacing w:after="0"/>
              <w:rPr>
                <w:sz w:val="15"/>
                <w:szCs w:val="15"/>
                <w:color w:val="auto"/>
              </w:rPr>
            </w:pPr>
          </w:p>
        </w:tc>
        <w:tc>
          <w:tcPr>
            <w:tcW w:w="6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360" w:type="dxa"/>
            <w:vAlign w:val="bottom"/>
          </w:tcPr>
          <w:p>
            <w:pPr>
              <w:spacing w:after="0"/>
              <w:rPr>
                <w:sz w:val="15"/>
                <w:szCs w:val="15"/>
                <w:color w:val="auto"/>
              </w:rPr>
            </w:pPr>
          </w:p>
        </w:tc>
        <w:tc>
          <w:tcPr>
            <w:tcW w:w="9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740" w:type="dxa"/>
            <w:vAlign w:val="bottom"/>
          </w:tcPr>
          <w:p>
            <w:pPr>
              <w:spacing w:after="0"/>
              <w:rPr>
                <w:sz w:val="15"/>
                <w:szCs w:val="15"/>
                <w:color w:val="auto"/>
              </w:rPr>
            </w:pPr>
          </w:p>
        </w:tc>
        <w:tc>
          <w:tcPr>
            <w:tcW w:w="4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(gain)</w:t>
            </w:r>
          </w:p>
        </w:tc>
        <w:tc>
          <w:tcPr>
            <w:tcW w:w="27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2,782</w:t>
            </w:r>
          </w:p>
        </w:tc>
        <w:tc>
          <w:tcPr>
            <w:tcW w:w="6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2,909</w:t>
            </w:r>
          </w:p>
        </w:tc>
        <w:tc>
          <w:tcPr>
            <w:tcW w:w="3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(86 )</w:t>
            </w:r>
          </w:p>
        </w:tc>
        <w:tc>
          <w:tcPr>
            <w:tcW w:w="7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80"/>
        </w:trPr>
        <w:tc>
          <w:tcPr>
            <w:tcW w:w="3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Tax Effect</w:t>
            </w:r>
          </w:p>
        </w:tc>
        <w:tc>
          <w:tcPr>
            <w:tcW w:w="27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727</w:t>
            </w:r>
          </w:p>
        </w:tc>
        <w:tc>
          <w:tcPr>
            <w:tcW w:w="6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760</w:t>
            </w: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(22 )</w:t>
            </w: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2,055</w:t>
            </w:r>
          </w:p>
        </w:tc>
        <w:tc>
          <w:tcPr>
            <w:tcW w:w="660" w:type="dxa"/>
            <w:vAlign w:val="bottom"/>
            <w:tcBorders>
              <w:bottom w:val="single" w:sz="8" w:color="auto"/>
            </w:tcBorders>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2,149</w:t>
            </w:r>
          </w:p>
        </w:tc>
        <w:tc>
          <w:tcPr>
            <w:tcW w:w="3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(64 )</w:t>
            </w:r>
          </w:p>
        </w:tc>
        <w:tc>
          <w:tcPr>
            <w:tcW w:w="740" w:type="dxa"/>
            <w:vAlign w:val="bottom"/>
            <w:tcBorders>
              <w:bottom w:val="single" w:sz="8" w:color="auto"/>
            </w:tcBorders>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Gains and losses in excess of 10% of the greater of the benefit obligation or the fair value of assets are amortized over the average remaining service period of active participants.</w:t>
      </w:r>
    </w:p>
    <w:p>
      <w:pPr>
        <w:spacing w:after="0" w:line="5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 Company utilized the actual projected cash flows of the participants in both plans for the years ended December 31, 2024 and December 31, 2023. The following points address the approach taken.</w:t>
      </w:r>
    </w:p>
    <w:p>
      <w:pPr>
        <w:spacing w:after="0" w:line="59"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1.An analysis of the defined benefit pension plan’s expected future cash flows and high -quality fixed income investments currently available and expected to be available during the period to maturity of the pension benefits yielded a single discount rate of 6.32% at December 31, 2024.</w:t>
      </w:r>
    </w:p>
    <w:p>
      <w:pPr>
        <w:spacing w:after="0" w:line="59"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6"/>
          <w:szCs w:val="16"/>
          <w:color w:val="auto"/>
        </w:rPr>
        <w:t>2.An analysis of the postretirement health plan’s expected future cash flows and high-quality fixed-income investments currently available and expected to be available during the period to maturity of the retiree medical benefits yielded a single discount rate of 6.32% at December 31, 2024.</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7" w:name="page98"/>
    <w:bookmarkEnd w:id="97"/>
    <w:p>
      <w:pPr>
        <w:spacing w:after="0" w:line="5"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3. Each discount rate was developed by matching the expected future cash flows of the Bank to high quality bonds. Every bond considered has earned ratings of at least AA by Fitch Group, AA by Standard &amp; Poor’s, or Aa2 by Moody’s Investor Services.</w:t>
      </w:r>
    </w:p>
    <w:p>
      <w:pPr>
        <w:spacing w:after="0" w:line="59" w:lineRule="exact"/>
        <w:rPr>
          <w:sz w:val="20"/>
          <w:szCs w:val="20"/>
          <w:color w:val="auto"/>
        </w:rPr>
      </w:pPr>
    </w:p>
    <w:p>
      <w:pPr>
        <w:ind w:right="740"/>
        <w:spacing w:after="0" w:line="291" w:lineRule="auto"/>
        <w:rPr>
          <w:sz w:val="20"/>
          <w:szCs w:val="20"/>
          <w:color w:val="auto"/>
        </w:rPr>
      </w:pPr>
      <w:r>
        <w:rPr>
          <w:rFonts w:ascii="Times New Roman" w:cs="Times New Roman" w:eastAsia="Times New Roman" w:hAnsi="Times New Roman"/>
          <w:sz w:val="16"/>
          <w:szCs w:val="16"/>
          <w:color w:val="auto"/>
        </w:rPr>
        <w:t>The accumulated benefit obligation for the defined benefit pension plan was $9.3 million and $9.6 million at December 31, 2024 and 2023, respectively. The postretirement plan had an accumulated benefit obligation of $123,000 and $120,000 at December 31, 2024 and 2023,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significant assumptions used in determining the benefit obligations as of December 31,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8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Pension Benefits</w:t>
            </w:r>
          </w:p>
        </w:tc>
        <w:tc>
          <w:tcPr>
            <w:tcW w:w="9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540" w:type="dxa"/>
            <w:vAlign w:val="bottom"/>
          </w:tcPr>
          <w:p>
            <w:pPr>
              <w:spacing w:after="0"/>
              <w:rPr>
                <w:sz w:val="16"/>
                <w:szCs w:val="16"/>
                <w:color w:val="auto"/>
              </w:rPr>
            </w:pPr>
          </w:p>
        </w:tc>
      </w:tr>
      <w:tr>
        <w:trPr>
          <w:trHeight w:val="193"/>
        </w:trPr>
        <w:tc>
          <w:tcPr>
            <w:tcW w:w="4500" w:type="dxa"/>
            <w:vAlign w:val="bottom"/>
          </w:tcPr>
          <w:p>
            <w:pPr>
              <w:spacing w:after="0"/>
              <w:rPr>
                <w:sz w:val="16"/>
                <w:szCs w:val="16"/>
                <w:color w:val="auto"/>
              </w:rPr>
            </w:pPr>
          </w:p>
        </w:tc>
        <w:tc>
          <w:tcPr>
            <w:tcW w:w="28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2023</w:t>
            </w:r>
          </w:p>
        </w:tc>
        <w:tc>
          <w:tcPr>
            <w:tcW w:w="18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2024</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45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Weighted average discount rate</w:t>
            </w:r>
          </w:p>
        </w:tc>
        <w:tc>
          <w:tcPr>
            <w:tcW w:w="2800" w:type="dxa"/>
            <w:vAlign w:val="bottom"/>
            <w:shd w:val="clear" w:color="auto" w:fill="CFF0FC"/>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6.32 %</w:t>
            </w:r>
          </w:p>
        </w:tc>
        <w:tc>
          <w:tcPr>
            <w:tcW w:w="90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5.94 %</w:t>
            </w:r>
          </w:p>
        </w:tc>
        <w:tc>
          <w:tcPr>
            <w:tcW w:w="1820" w:type="dxa"/>
            <w:vAlign w:val="bottom"/>
            <w:shd w:val="clear" w:color="auto" w:fill="CFF0FC"/>
          </w:tcPr>
          <w:p>
            <w:pPr>
              <w:jc w:val="right"/>
              <w:ind w:right="702"/>
              <w:spacing w:after="0" w:line="180" w:lineRule="exact"/>
              <w:rPr>
                <w:sz w:val="20"/>
                <w:szCs w:val="20"/>
                <w:color w:val="auto"/>
              </w:rPr>
            </w:pPr>
            <w:r>
              <w:rPr>
                <w:rFonts w:ascii="Times New Roman" w:cs="Times New Roman" w:eastAsia="Times New Roman" w:hAnsi="Times New Roman"/>
                <w:sz w:val="16"/>
                <w:szCs w:val="16"/>
                <w:color w:val="auto"/>
              </w:rPr>
              <w:t>6.32 %</w:t>
            </w: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5.94 %</w:t>
            </w: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increase in future compensation levels</w:t>
            </w:r>
          </w:p>
        </w:tc>
        <w:tc>
          <w:tcPr>
            <w:tcW w:w="28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r>
    </w:tbl>
    <w:p>
      <w:pPr>
        <w:spacing w:after="0" w:line="15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Assumed health care cost trend rates have a significant effect on the amounts reported for the postretirement health care plan. The annual rate of increase in the per capita cost of covered medical benefits for future years was assumed to be 5.0% for 2025, gradually decreasing to 4.0% in 2075 and remain at that level thereafter. For covered prescription drug benefits, the annual rate of increase in the per capita cost for future years was assumed to be 4.0% for 2025. This rate was assumed to increase gradually to 5.0% in 2029 and subsequently grade down to 4.0% by 2075, remaining at that level thereafter.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composition of the net periodic benefit plan (benefit) cost for the years ended December 31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80" w:type="dxa"/>
            <w:vAlign w:val="bottom"/>
          </w:tcPr>
          <w:p>
            <w:pPr>
              <w:spacing w:after="0"/>
              <w:rPr>
                <w:sz w:val="16"/>
                <w:szCs w:val="16"/>
                <w:color w:val="auto"/>
              </w:rPr>
            </w:pPr>
          </w:p>
        </w:tc>
        <w:tc>
          <w:tcPr>
            <w:tcW w:w="14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Pension Benefits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560" w:type="dxa"/>
            <w:vAlign w:val="bottom"/>
          </w:tcPr>
          <w:p>
            <w:pPr>
              <w:spacing w:after="0"/>
              <w:rPr>
                <w:sz w:val="15"/>
                <w:szCs w:val="15"/>
                <w:color w:val="auto"/>
              </w:rPr>
            </w:pPr>
          </w:p>
        </w:tc>
        <w:tc>
          <w:tcPr>
            <w:tcW w:w="7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72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4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cost</w:t>
            </w:r>
          </w:p>
        </w:tc>
        <w:tc>
          <w:tcPr>
            <w:tcW w:w="14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556</w:t>
            </w: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562</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Expected return on plan assets</w:t>
            </w:r>
          </w:p>
        </w:tc>
        <w:tc>
          <w:tcPr>
            <w:tcW w:w="148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(1,013 )</w:t>
            </w:r>
          </w:p>
        </w:tc>
        <w:tc>
          <w:tcPr>
            <w:tcW w:w="560" w:type="dxa"/>
            <w:vAlign w:val="bottom"/>
          </w:tcPr>
          <w:p>
            <w:pPr>
              <w:spacing w:after="0"/>
              <w:rPr>
                <w:sz w:val="15"/>
                <w:szCs w:val="15"/>
                <w:color w:val="auto"/>
              </w:rPr>
            </w:pP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(965 )</w:t>
            </w:r>
          </w:p>
        </w:tc>
        <w:tc>
          <w:tcPr>
            <w:tcW w:w="24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transition obligation</w:t>
            </w:r>
          </w:p>
        </w:tc>
        <w:tc>
          <w:tcPr>
            <w:tcW w:w="14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net losses/(gains)</w:t>
            </w:r>
          </w:p>
        </w:tc>
        <w:tc>
          <w:tcPr>
            <w:tcW w:w="1480" w:type="dxa"/>
            <w:vAlign w:val="bottom"/>
          </w:tcPr>
          <w:p>
            <w:pPr>
              <w:spacing w:after="0"/>
              <w:rPr>
                <w:sz w:val="15"/>
                <w:szCs w:val="15"/>
                <w:color w:val="auto"/>
              </w:rPr>
            </w:pPr>
          </w:p>
        </w:tc>
        <w:tc>
          <w:tcPr>
            <w:tcW w:w="9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560" w:type="dxa"/>
            <w:vAlign w:val="bottom"/>
          </w:tcPr>
          <w:p>
            <w:pPr>
              <w:spacing w:after="0"/>
              <w:rPr>
                <w:sz w:val="15"/>
                <w:szCs w:val="15"/>
                <w:color w:val="auto"/>
              </w:rPr>
            </w:pPr>
          </w:p>
        </w:tc>
        <w:tc>
          <w:tcPr>
            <w:tcW w:w="7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2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(3 )</w:t>
            </w:r>
          </w:p>
        </w:tc>
        <w:tc>
          <w:tcPr>
            <w:tcW w:w="72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180"/>
        </w:trPr>
        <w:tc>
          <w:tcPr>
            <w:tcW w:w="44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Amortization of unrecognized past service liability</w:t>
            </w:r>
          </w:p>
        </w:tc>
        <w:tc>
          <w:tcPr>
            <w:tcW w:w="14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(5 )</w:t>
            </w: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180"/>
        </w:trPr>
        <w:tc>
          <w:tcPr>
            <w:tcW w:w="444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Net periodic benefit plan (benefit) cost</w:t>
            </w:r>
          </w:p>
        </w:tc>
        <w:tc>
          <w:tcPr>
            <w:tcW w:w="148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(299 )</w:t>
            </w:r>
          </w:p>
        </w:tc>
        <w:tc>
          <w:tcPr>
            <w:tcW w:w="560" w:type="dxa"/>
            <w:vAlign w:val="bottom"/>
            <w:tcBorders>
              <w:bottom w:val="single" w:sz="8" w:color="auto"/>
            </w:tcBorders>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(174 )</w:t>
            </w:r>
          </w:p>
        </w:tc>
        <w:tc>
          <w:tcPr>
            <w:tcW w:w="2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(1 )</w:t>
            </w:r>
          </w:p>
        </w:tc>
        <w:tc>
          <w:tcPr>
            <w:tcW w:w="720" w:type="dxa"/>
            <w:vAlign w:val="bottom"/>
            <w:tcBorders>
              <w:bottom w:val="single" w:sz="8" w:color="auto"/>
            </w:tcBorders>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8140" w:type="dxa"/>
            <w:vAlign w:val="bottom"/>
            <w:tcBorders>
              <w:bottom w:val="single" w:sz="8" w:color="auto"/>
            </w:tcBorders>
            <w:gridSpan w:val="5"/>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1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7"/>
              </w:rPr>
              <w:t>The significant assumptions used in determining the net periodic benefit plan cost for years ended December 31, were as follows: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Pension Benefits</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Postretirement Benefits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Pr>
          <w:p>
            <w:pPr>
              <w:spacing w:after="0"/>
              <w:rPr>
                <w:sz w:val="16"/>
                <w:szCs w:val="16"/>
                <w:color w:val="auto"/>
              </w:rPr>
            </w:pP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6"/>
                <w:szCs w:val="16"/>
                <w:color w:val="auto"/>
              </w:rPr>
            </w:pP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Pr>
          <w:p>
            <w:pPr>
              <w:spacing w:after="0"/>
              <w:rPr>
                <w:sz w:val="16"/>
                <w:szCs w:val="16"/>
                <w:color w:val="auto"/>
              </w:rPr>
            </w:pPr>
          </w:p>
        </w:tc>
        <w:tc>
          <w:tcPr>
            <w:tcW w:w="4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3"/>
              </w:rPr>
              <w:t>2023</w:t>
            </w:r>
          </w:p>
        </w:tc>
        <w:tc>
          <w:tcPr>
            <w:tcW w:w="0" w:type="dxa"/>
            <w:vAlign w:val="bottom"/>
          </w:tcPr>
          <w:p>
            <w:pPr>
              <w:spacing w:after="0"/>
              <w:rPr>
                <w:sz w:val="1"/>
                <w:szCs w:val="1"/>
                <w:color w:val="auto"/>
              </w:rPr>
            </w:pPr>
          </w:p>
        </w:tc>
      </w:tr>
      <w:tr>
        <w:trPr>
          <w:trHeight w:val="180"/>
        </w:trPr>
        <w:tc>
          <w:tcPr>
            <w:tcW w:w="44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Weighted average discount rate</w:t>
            </w:r>
          </w:p>
        </w:tc>
        <w:tc>
          <w:tcPr>
            <w:tcW w:w="14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5.94 %</w:t>
            </w: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6.09 %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5.94 %</w:t>
            </w: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6.09 %</w:t>
            </w: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Expected long term rate of return on plan assets</w:t>
            </w:r>
          </w:p>
        </w:tc>
        <w:tc>
          <w:tcPr>
            <w:tcW w:w="1480" w:type="dxa"/>
            <w:vAlign w:val="bottom"/>
          </w:tcPr>
          <w:p>
            <w:pPr>
              <w:spacing w:after="0"/>
              <w:rPr>
                <w:sz w:val="15"/>
                <w:szCs w:val="15"/>
                <w:color w:val="auto"/>
              </w:rPr>
            </w:pPr>
          </w:p>
        </w:tc>
        <w:tc>
          <w:tcPr>
            <w:tcW w:w="9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6.00 %</w:t>
            </w:r>
          </w:p>
        </w:tc>
        <w:tc>
          <w:tcPr>
            <w:tcW w:w="560" w:type="dxa"/>
            <w:vAlign w:val="bottom"/>
          </w:tcPr>
          <w:p>
            <w:pPr>
              <w:spacing w:after="0"/>
              <w:rPr>
                <w:sz w:val="15"/>
                <w:szCs w:val="15"/>
                <w:color w:val="auto"/>
              </w:rPr>
            </w:pPr>
          </w:p>
        </w:tc>
        <w:tc>
          <w:tcPr>
            <w:tcW w:w="7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6.00 %</w:t>
            </w:r>
          </w:p>
        </w:tc>
        <w:tc>
          <w:tcPr>
            <w:tcW w:w="240" w:type="dxa"/>
            <w:vAlign w:val="bottom"/>
          </w:tcPr>
          <w:p>
            <w:pPr>
              <w:spacing w:after="0"/>
              <w:rPr>
                <w:sz w:val="15"/>
                <w:szCs w:val="15"/>
                <w:color w:val="auto"/>
              </w:rPr>
            </w:pPr>
          </w:p>
        </w:tc>
        <w:tc>
          <w:tcPr>
            <w:tcW w:w="98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5"/>
                <w:szCs w:val="15"/>
                <w:color w:val="auto"/>
              </w:rPr>
            </w:pPr>
          </w:p>
        </w:tc>
        <w:tc>
          <w:tcPr>
            <w:tcW w:w="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Rate of increase in future compensation levels</w:t>
            </w:r>
          </w:p>
        </w:tc>
        <w:tc>
          <w:tcPr>
            <w:tcW w:w="14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4"/>
          <w:szCs w:val="14"/>
          <w:color w:val="auto"/>
        </w:rPr>
        <w:t>The long term rate of return on assets assumption was set based on historical returns earned by equities and fixed income securities, adjusted to reflect expectations of future returns as applied to the plan’s target allocation of asset classes. Equities and fixed income securities were assumed to earn real rates of return in the ranges of</w:t>
      </w:r>
    </w:p>
    <w:p>
      <w:pPr>
        <w:spacing w:after="0" w:line="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6"/>
          <w:szCs w:val="16"/>
          <w:color w:val="auto"/>
        </w:rPr>
        <w:t>6.5% to 8.5% and 2.0% to 4.0%, respectively. The long-term inflation rate was estimated to be 2.5%. When these overall return expectations are applied to the plan’s target allocation, the expected rate of return was determined to be in the range of 5.0% to 7.0%. Management chose to use a 6.0% expected long-term rate of return in 2024 and a 6.0% expected long-term rate of return in 2025 reflecting current economic conditions and expected rates of return. Based on the $ 17.3 million fair value of plan assets at December 31, 2024, each 50 basis point decrease in the expected long-term rate of return would reduce after tax net income at a 2025 expected state and federal combined statutory tax rate of 26.1% by approximately $64,000.</w:t>
      </w:r>
    </w:p>
    <w:p>
      <w:pPr>
        <w:spacing w:after="0" w:line="74"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The estimated net actuarial loss that will be amortized from accumulated other comprehensive loss into net periodic benefit plan income during 2025 is $142,000. The estimated amortization of the unrecognized transition obligation and actuarial income for the postretirement health plan in 2025 is $2,000. The expected net periodic benefit plan benefit for 2025 is estimated to be $305,000 for both retirement plans in aggregate.</w:t>
      </w:r>
    </w:p>
    <w:p>
      <w:pPr>
        <w:spacing w:after="0" w:line="68" w:lineRule="exact"/>
        <w:rPr>
          <w:sz w:val="20"/>
          <w:szCs w:val="20"/>
          <w:color w:val="auto"/>
        </w:rPr>
      </w:pPr>
    </w:p>
    <w:p>
      <w:pPr>
        <w:jc w:val="both"/>
        <w:ind w:right="200"/>
        <w:spacing w:after="0" w:line="241" w:lineRule="auto"/>
        <w:rPr>
          <w:sz w:val="20"/>
          <w:szCs w:val="20"/>
          <w:color w:val="auto"/>
        </w:rPr>
      </w:pPr>
      <w:r>
        <w:rPr>
          <w:rFonts w:ascii="Times New Roman" w:cs="Times New Roman" w:eastAsia="Times New Roman" w:hAnsi="Times New Roman"/>
          <w:sz w:val="16"/>
          <w:szCs w:val="16"/>
          <w:color w:val="auto"/>
        </w:rPr>
        <w:t>Plan assets are invested in a diversified investment portfolio with the overall long-term investment objective of maintaining plan assets at a level that will sufficiently cover long-term obligations and generating a return on plan assets that will meet or exceed the rate at which long-term obligations will grow. The long -term objective for the assets under this policy is to achieve after fees and expenses, an average annual return of 6% over the expected holding period of this portfolio. The moderate portfolio objective combines both preservation of capital and moderate risk taking. This supports a diversified portfolio that incorporates equities, fixed income, cash, and potentially alternatives.</w:t>
      </w:r>
    </w:p>
    <w:p>
      <w:pPr>
        <w:spacing w:after="0" w:line="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8" w:name="page99"/>
    <w:bookmarkEnd w:id="98"/>
    <w:p>
      <w:pPr>
        <w:spacing w:after="0" w:line="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4"/>
          <w:szCs w:val="14"/>
          <w:color w:val="auto"/>
        </w:rPr>
        <w:t>As of year-end, the portfolio holds a diversified mix of U.S., non-U.S., and global equity ETFs. The portfolio also holds both individual bonds and bond ETFs. The fixed income allocation skews toward higher credit quality, with a focus on producing total return as well as hedging some of the liabilities to mitigate funded status volatility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Pension plan assets measured at fair value are summarized below:</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3"/>
          </w:tcPr>
          <w:p>
            <w:pPr>
              <w:jc w:val="right"/>
              <w:ind w:right="502"/>
              <w:spacing w:after="0"/>
              <w:rPr>
                <w:sz w:val="20"/>
                <w:szCs w:val="20"/>
                <w:color w:val="auto"/>
              </w:rPr>
            </w:pPr>
            <w:r>
              <w:rPr>
                <w:rFonts w:ascii="Times New Roman" w:cs="Times New Roman" w:eastAsia="Times New Roman" w:hAnsi="Times New Roman"/>
                <w:sz w:val="16"/>
                <w:szCs w:val="16"/>
                <w:color w:val="auto"/>
              </w:rPr>
              <w:t>At December 31, 2024</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93"/>
        </w:trPr>
        <w:tc>
          <w:tcPr>
            <w:tcW w:w="48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3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Level 2</w:t>
            </w:r>
          </w:p>
        </w:tc>
        <w:tc>
          <w:tcPr>
            <w:tcW w:w="46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3</w:t>
            </w:r>
          </w:p>
        </w:tc>
        <w:tc>
          <w:tcPr>
            <w:tcW w:w="3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Asset Category:</w:t>
            </w:r>
          </w:p>
        </w:tc>
        <w:tc>
          <w:tcPr>
            <w:tcW w:w="10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Mutual Funds - Equity</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Large-cap (a)</w:t>
            </w:r>
          </w:p>
        </w:tc>
        <w:tc>
          <w:tcPr>
            <w:tcW w:w="10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3,906</w:t>
            </w:r>
          </w:p>
        </w:tc>
        <w:tc>
          <w:tcPr>
            <w:tcW w:w="3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3,906</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Mid-cap / Small-cap (a)</w:t>
            </w:r>
          </w:p>
        </w:tc>
        <w:tc>
          <w:tcPr>
            <w:tcW w:w="104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886</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International Equity (a)</w:t>
            </w:r>
          </w:p>
        </w:tc>
        <w:tc>
          <w:tcPr>
            <w:tcW w:w="10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2,234</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(a)</w:t>
            </w:r>
          </w:p>
        </w:tc>
        <w:tc>
          <w:tcPr>
            <w:tcW w:w="104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213</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Equity -Total</w:t>
            </w:r>
          </w:p>
        </w:tc>
        <w:tc>
          <w:tcPr>
            <w:tcW w:w="10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7,239</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7,239</w:t>
            </w: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Fixed Income Funds</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Securities (b) (c)</w:t>
            </w:r>
          </w:p>
        </w:tc>
        <w:tc>
          <w:tcPr>
            <w:tcW w:w="10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5,921</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1,210</w:t>
            </w: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7,131</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 Bonds and other debt securities (d) (e)</w:t>
            </w:r>
          </w:p>
        </w:tc>
        <w:tc>
          <w:tcPr>
            <w:tcW w:w="104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2,283</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Fixed Income-Total</w:t>
            </w:r>
          </w:p>
        </w:tc>
        <w:tc>
          <w:tcPr>
            <w:tcW w:w="10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6,411</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3,493</w:t>
            </w: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9,904</w:t>
            </w: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Equivalents (f) (g)</w:t>
            </w:r>
          </w:p>
        </w:tc>
        <w:tc>
          <w:tcPr>
            <w:tcW w:w="104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38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20"/>
        </w:trPr>
        <w:tc>
          <w:tcPr>
            <w:tcW w:w="482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13,795</w:t>
            </w:r>
          </w:p>
        </w:tc>
        <w:tc>
          <w:tcPr>
            <w:tcW w:w="3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4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17,295</w:t>
            </w:r>
          </w:p>
        </w:tc>
        <w:tc>
          <w:tcPr>
            <w:tcW w:w="0" w:type="dxa"/>
            <w:vAlign w:val="bottom"/>
          </w:tcPr>
          <w:p>
            <w:pPr>
              <w:spacing w:after="0"/>
              <w:rPr>
                <w:sz w:val="1"/>
                <w:szCs w:val="1"/>
                <w:color w:val="auto"/>
              </w:rPr>
            </w:pPr>
          </w:p>
        </w:tc>
      </w:tr>
    </w:tbl>
    <w:p>
      <w:pPr>
        <w:ind w:left="480"/>
        <w:spacing w:after="0"/>
        <w:rPr>
          <w:sz w:val="20"/>
          <w:szCs w:val="20"/>
          <w:color w:val="auto"/>
        </w:rPr>
      </w:pPr>
      <w:r>
        <w:rPr>
          <w:rFonts w:ascii="Times New Roman" w:cs="Times New Roman" w:eastAsia="Times New Roman" w:hAnsi="Times New Roman"/>
          <w:sz w:val="16"/>
          <w:szCs w:val="16"/>
          <w:color w:val="auto"/>
        </w:rPr>
        <w:t>a)This category includes exchange-traded funds representing equity markets.</w:t>
      </w:r>
    </w:p>
    <w:p>
      <w:pPr>
        <w:ind w:left="480"/>
        <w:spacing w:after="0" w:line="236" w:lineRule="auto"/>
        <w:rPr>
          <w:sz w:val="20"/>
          <w:szCs w:val="20"/>
          <w:color w:val="auto"/>
        </w:rPr>
      </w:pPr>
      <w:r>
        <w:rPr>
          <w:rFonts w:ascii="Times New Roman" w:cs="Times New Roman" w:eastAsia="Times New Roman" w:hAnsi="Times New Roman"/>
          <w:sz w:val="16"/>
          <w:szCs w:val="16"/>
          <w:color w:val="auto"/>
        </w:rPr>
        <w:t>b)This category includes nominal U. S Treasuries.</w:t>
      </w:r>
    </w:p>
    <w:p>
      <w:pPr>
        <w:ind w:left="480"/>
        <w:spacing w:after="0" w:line="235" w:lineRule="auto"/>
        <w:rPr>
          <w:sz w:val="20"/>
          <w:szCs w:val="20"/>
          <w:color w:val="auto"/>
        </w:rPr>
      </w:pPr>
      <w:r>
        <w:rPr>
          <w:rFonts w:ascii="Times New Roman" w:cs="Times New Roman" w:eastAsia="Times New Roman" w:hAnsi="Times New Roman"/>
          <w:sz w:val="16"/>
          <w:szCs w:val="16"/>
          <w:color w:val="auto"/>
        </w:rPr>
        <w:t>c)This category includes U.S. Agencies.</w:t>
      </w:r>
    </w:p>
    <w:p>
      <w:pPr>
        <w:ind w:left="480"/>
        <w:spacing w:after="0" w:line="234" w:lineRule="auto"/>
        <w:rPr>
          <w:sz w:val="20"/>
          <w:szCs w:val="20"/>
          <w:color w:val="auto"/>
        </w:rPr>
      </w:pPr>
      <w:r>
        <w:rPr>
          <w:rFonts w:ascii="Times New Roman" w:cs="Times New Roman" w:eastAsia="Times New Roman" w:hAnsi="Times New Roman"/>
          <w:sz w:val="16"/>
          <w:szCs w:val="16"/>
          <w:color w:val="auto"/>
        </w:rPr>
        <w:t>d)This category includes exchange traded funds with fixed income as the underlying exposure.</w:t>
      </w:r>
    </w:p>
    <w:p>
      <w:pPr>
        <w:ind w:left="480"/>
        <w:spacing w:after="0" w:line="235" w:lineRule="auto"/>
        <w:rPr>
          <w:sz w:val="20"/>
          <w:szCs w:val="20"/>
          <w:color w:val="auto"/>
        </w:rPr>
      </w:pPr>
      <w:r>
        <w:rPr>
          <w:rFonts w:ascii="Times New Roman" w:cs="Times New Roman" w:eastAsia="Times New Roman" w:hAnsi="Times New Roman"/>
          <w:sz w:val="16"/>
          <w:szCs w:val="16"/>
          <w:color w:val="auto"/>
        </w:rPr>
        <w:t>e)This category includes investment grade corporate bonds and taxable municipal bonds.</w:t>
      </w:r>
    </w:p>
    <w:p>
      <w:pPr>
        <w:ind w:left="480"/>
        <w:spacing w:after="0" w:line="235" w:lineRule="auto"/>
        <w:rPr>
          <w:sz w:val="20"/>
          <w:szCs w:val="20"/>
          <w:color w:val="auto"/>
        </w:rPr>
      </w:pPr>
      <w:r>
        <w:rPr>
          <w:rFonts w:ascii="Times New Roman" w:cs="Times New Roman" w:eastAsia="Times New Roman" w:hAnsi="Times New Roman"/>
          <w:sz w:val="16"/>
          <w:szCs w:val="16"/>
          <w:color w:val="auto"/>
        </w:rPr>
        <w:t>f)This category includes cash and a fully collateralized money market fund.</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g)This category includes ex-dividends that will be paid in cash.</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3"/>
          </w:tcPr>
          <w:p>
            <w:pPr>
              <w:jc w:val="right"/>
              <w:ind w:right="502"/>
              <w:spacing w:after="0"/>
              <w:rPr>
                <w:sz w:val="20"/>
                <w:szCs w:val="20"/>
                <w:color w:val="auto"/>
              </w:rPr>
            </w:pPr>
            <w:r>
              <w:rPr>
                <w:rFonts w:ascii="Times New Roman" w:cs="Times New Roman" w:eastAsia="Times New Roman" w:hAnsi="Times New Roman"/>
                <w:sz w:val="16"/>
                <w:szCs w:val="16"/>
                <w:color w:val="auto"/>
              </w:rPr>
              <w:t>At December 31, 2023</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93"/>
        </w:trPr>
        <w:tc>
          <w:tcPr>
            <w:tcW w:w="384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3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Level 2</w:t>
            </w:r>
          </w:p>
        </w:tc>
        <w:tc>
          <w:tcPr>
            <w:tcW w:w="46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3</w:t>
            </w:r>
          </w:p>
        </w:tc>
        <w:tc>
          <w:tcPr>
            <w:tcW w:w="3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38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Asset Category:</w:t>
            </w:r>
          </w:p>
        </w:tc>
        <w:tc>
          <w:tcPr>
            <w:tcW w:w="20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Mutual Funds - Equity</w:t>
            </w:r>
          </w:p>
        </w:tc>
        <w:tc>
          <w:tcPr>
            <w:tcW w:w="2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Large-cap (a)</w:t>
            </w:r>
          </w:p>
        </w:tc>
        <w:tc>
          <w:tcPr>
            <w:tcW w:w="202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2,885</w:t>
            </w:r>
          </w:p>
        </w:tc>
        <w:tc>
          <w:tcPr>
            <w:tcW w:w="3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2,885</w:t>
            </w:r>
          </w:p>
        </w:tc>
        <w:tc>
          <w:tcPr>
            <w:tcW w:w="0" w:type="dxa"/>
            <w:vAlign w:val="bottom"/>
          </w:tcPr>
          <w:p>
            <w:pPr>
              <w:spacing w:after="0"/>
              <w:rPr>
                <w:sz w:val="1"/>
                <w:szCs w:val="1"/>
                <w:color w:val="auto"/>
              </w:rPr>
            </w:pPr>
          </w:p>
        </w:tc>
      </w:tr>
      <w:tr>
        <w:trPr>
          <w:trHeight w:val="180"/>
        </w:trPr>
        <w:tc>
          <w:tcPr>
            <w:tcW w:w="38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Mid-cap / Small-cap (a)</w:t>
            </w:r>
          </w:p>
        </w:tc>
        <w:tc>
          <w:tcPr>
            <w:tcW w:w="202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723</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180"/>
        </w:trPr>
        <w:tc>
          <w:tcPr>
            <w:tcW w:w="38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International Equity (a)</w:t>
            </w:r>
          </w:p>
        </w:tc>
        <w:tc>
          <w:tcPr>
            <w:tcW w:w="20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1,442</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180"/>
        </w:trPr>
        <w:tc>
          <w:tcPr>
            <w:tcW w:w="384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Equity -Total</w:t>
            </w:r>
          </w:p>
        </w:tc>
        <w:tc>
          <w:tcPr>
            <w:tcW w:w="202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5,050</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180"/>
        </w:trPr>
        <w:tc>
          <w:tcPr>
            <w:tcW w:w="38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Fixed Income Funds</w:t>
            </w:r>
          </w:p>
        </w:tc>
        <w:tc>
          <w:tcPr>
            <w:tcW w:w="20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 Securities (b) (c)</w:t>
            </w:r>
          </w:p>
        </w:tc>
        <w:tc>
          <w:tcPr>
            <w:tcW w:w="202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7,990</w:t>
            </w:r>
          </w:p>
        </w:tc>
        <w:tc>
          <w:tcPr>
            <w:tcW w:w="38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593</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8,583</w:t>
            </w:r>
          </w:p>
        </w:tc>
        <w:tc>
          <w:tcPr>
            <w:tcW w:w="0" w:type="dxa"/>
            <w:vAlign w:val="bottom"/>
          </w:tcPr>
          <w:p>
            <w:pPr>
              <w:spacing w:after="0"/>
              <w:rPr>
                <w:sz w:val="1"/>
                <w:szCs w:val="1"/>
                <w:color w:val="auto"/>
              </w:rPr>
            </w:pPr>
          </w:p>
        </w:tc>
      </w:tr>
      <w:tr>
        <w:trPr>
          <w:trHeight w:val="180"/>
        </w:trPr>
        <w:tc>
          <w:tcPr>
            <w:tcW w:w="38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Grade Bonds (d) (e)</w:t>
            </w:r>
          </w:p>
        </w:tc>
        <w:tc>
          <w:tcPr>
            <w:tcW w:w="20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1,498</w:t>
            </w: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180"/>
        </w:trPr>
        <w:tc>
          <w:tcPr>
            <w:tcW w:w="384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Fixed Income-Total</w:t>
            </w:r>
          </w:p>
        </w:tc>
        <w:tc>
          <w:tcPr>
            <w:tcW w:w="202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8,319</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2,091</w:t>
            </w:r>
          </w:p>
        </w:tc>
        <w:tc>
          <w:tcPr>
            <w:tcW w:w="46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10,410</w:t>
            </w:r>
          </w:p>
        </w:tc>
        <w:tc>
          <w:tcPr>
            <w:tcW w:w="0" w:type="dxa"/>
            <w:vAlign w:val="bottom"/>
          </w:tcPr>
          <w:p>
            <w:pPr>
              <w:spacing w:after="0"/>
              <w:rPr>
                <w:sz w:val="1"/>
                <w:szCs w:val="1"/>
                <w:color w:val="auto"/>
              </w:rPr>
            </w:pPr>
          </w:p>
        </w:tc>
      </w:tr>
      <w:tr>
        <w:trPr>
          <w:trHeight w:val="180"/>
        </w:trPr>
        <w:tc>
          <w:tcPr>
            <w:tcW w:w="38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Equivalents (f) (g)</w:t>
            </w:r>
          </w:p>
        </w:tc>
        <w:tc>
          <w:tcPr>
            <w:tcW w:w="20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1,634</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020" w:type="dxa"/>
            <w:vAlign w:val="bottom"/>
            <w:tcBorders>
              <w:bottom w:val="single" w:sz="8" w:color="auto"/>
            </w:tcBorders>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15,003</w:t>
            </w:r>
          </w:p>
        </w:tc>
        <w:tc>
          <w:tcPr>
            <w:tcW w:w="38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2,105</w:t>
            </w:r>
          </w:p>
        </w:tc>
        <w:tc>
          <w:tcPr>
            <w:tcW w:w="460" w:type="dxa"/>
            <w:vAlign w:val="bottom"/>
            <w:tcBorders>
              <w:bottom w:val="single" w:sz="8" w:color="auto"/>
            </w:tcBorders>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17,108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a)This category includes exchange-traded funds representing equity markets.</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b)This category includes nominal U. S Treasuries.</w:t>
      </w:r>
    </w:p>
    <w:p>
      <w:pPr>
        <w:ind w:left="480"/>
        <w:spacing w:after="0" w:line="234" w:lineRule="auto"/>
        <w:rPr>
          <w:sz w:val="20"/>
          <w:szCs w:val="20"/>
          <w:color w:val="auto"/>
        </w:rPr>
      </w:pPr>
      <w:r>
        <w:rPr>
          <w:rFonts w:ascii="Times New Roman" w:cs="Times New Roman" w:eastAsia="Times New Roman" w:hAnsi="Times New Roman"/>
          <w:sz w:val="16"/>
          <w:szCs w:val="16"/>
          <w:color w:val="auto"/>
        </w:rPr>
        <w:t>c)This category includes U.S. Agencies and U.S. TIPS.</w:t>
      </w:r>
    </w:p>
    <w:p>
      <w:pPr>
        <w:ind w:left="480"/>
        <w:spacing w:after="0" w:line="235" w:lineRule="auto"/>
        <w:rPr>
          <w:sz w:val="20"/>
          <w:szCs w:val="20"/>
          <w:color w:val="auto"/>
        </w:rPr>
      </w:pPr>
      <w:r>
        <w:rPr>
          <w:rFonts w:ascii="Times New Roman" w:cs="Times New Roman" w:eastAsia="Times New Roman" w:hAnsi="Times New Roman"/>
          <w:sz w:val="16"/>
          <w:szCs w:val="16"/>
          <w:color w:val="auto"/>
        </w:rPr>
        <w:t>d)This category includes exchange traded funds with fixed income as the underlying exposure.</w:t>
      </w:r>
    </w:p>
    <w:p>
      <w:pPr>
        <w:ind w:left="480"/>
        <w:spacing w:after="0" w:line="235" w:lineRule="auto"/>
        <w:rPr>
          <w:sz w:val="20"/>
          <w:szCs w:val="20"/>
          <w:color w:val="auto"/>
        </w:rPr>
      </w:pPr>
      <w:r>
        <w:rPr>
          <w:rFonts w:ascii="Times New Roman" w:cs="Times New Roman" w:eastAsia="Times New Roman" w:hAnsi="Times New Roman"/>
          <w:sz w:val="16"/>
          <w:szCs w:val="16"/>
          <w:color w:val="auto"/>
        </w:rPr>
        <w:t>e)This category includes investment grade corporate bonds and municipal bonds.</w:t>
      </w:r>
    </w:p>
    <w:p>
      <w:pPr>
        <w:ind w:left="480"/>
        <w:spacing w:after="0" w:line="235" w:lineRule="auto"/>
        <w:rPr>
          <w:sz w:val="20"/>
          <w:szCs w:val="20"/>
          <w:color w:val="auto"/>
        </w:rPr>
      </w:pPr>
      <w:r>
        <w:rPr>
          <w:rFonts w:ascii="Times New Roman" w:cs="Times New Roman" w:eastAsia="Times New Roman" w:hAnsi="Times New Roman"/>
          <w:sz w:val="16"/>
          <w:szCs w:val="16"/>
          <w:color w:val="auto"/>
        </w:rPr>
        <w:t>f)This category includes a fully collateralized money market fund.</w:t>
      </w:r>
    </w:p>
    <w:p>
      <w:pPr>
        <w:ind w:left="480"/>
        <w:spacing w:after="0"/>
        <w:rPr>
          <w:sz w:val="20"/>
          <w:szCs w:val="20"/>
          <w:color w:val="auto"/>
        </w:rPr>
      </w:pPr>
      <w:r>
        <w:rPr>
          <w:rFonts w:ascii="Times New Roman" w:cs="Times New Roman" w:eastAsia="Times New Roman" w:hAnsi="Times New Roman"/>
          <w:sz w:val="16"/>
          <w:szCs w:val="16"/>
          <w:color w:val="auto"/>
        </w:rPr>
        <w:t>g)This category includes an ex-dividend that will be paid in cash and accrued interest for the money market fund.</w:t>
      </w:r>
    </w:p>
    <w:p>
      <w:pPr>
        <w:spacing w:after="0" w:line="25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9" w:name="page100"/>
    <w:bookmarkEnd w:id="9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fiscal year ending December 31, 2025, the Company expects to contribute approximately $15,000 to the postretirement plan.</w:t>
      </w:r>
    </w:p>
    <w:p>
      <w:pPr>
        <w:spacing w:after="0" w:line="9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following benefit payments, which reflect expected future service, as appropriate, are expected to be paid from both retirement plans for the years ending December 31:</w:t>
      </w:r>
    </w:p>
    <w:p>
      <w:pPr>
        <w:spacing w:after="0" w:line="79"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60" w:type="dxa"/>
            <w:vAlign w:val="bottom"/>
          </w:tcPr>
          <w:p>
            <w:pPr>
              <w:spacing w:after="0"/>
              <w:rPr>
                <w:sz w:val="16"/>
                <w:szCs w:val="16"/>
                <w:color w:val="auto"/>
              </w:rPr>
            </w:pPr>
          </w:p>
        </w:tc>
        <w:tc>
          <w:tcPr>
            <w:tcW w:w="100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Pension</w:t>
            </w:r>
          </w:p>
        </w:tc>
        <w:tc>
          <w:tcPr>
            <w:tcW w:w="20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4"/>
              </w:rPr>
              <w:t>Postretirement</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6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100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Benefits</w:t>
            </w:r>
          </w:p>
        </w:tc>
        <w:tc>
          <w:tcPr>
            <w:tcW w:w="200" w:type="dxa"/>
            <w:vAlign w:val="bottom"/>
          </w:tcPr>
          <w:p>
            <w:pPr>
              <w:spacing w:after="0"/>
              <w:rPr>
                <w:sz w:val="15"/>
                <w:szCs w:val="15"/>
                <w:color w:val="auto"/>
              </w:rPr>
            </w:pPr>
          </w:p>
        </w:tc>
        <w:tc>
          <w:tcPr>
            <w:tcW w:w="110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Benefits</w:t>
            </w:r>
          </w:p>
        </w:tc>
        <w:tc>
          <w:tcPr>
            <w:tcW w:w="340" w:type="dxa"/>
            <w:vAlign w:val="bottom"/>
          </w:tcPr>
          <w:p>
            <w:pPr>
              <w:spacing w:after="0"/>
              <w:rPr>
                <w:sz w:val="15"/>
                <w:szCs w:val="15"/>
                <w:color w:val="auto"/>
              </w:rPr>
            </w:pPr>
          </w:p>
        </w:tc>
        <w:tc>
          <w:tcPr>
            <w:tcW w:w="94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Years ending December 31:</w:t>
            </w:r>
          </w:p>
        </w:tc>
        <w:tc>
          <w:tcPr>
            <w:tcW w:w="2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615</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16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633</w:t>
            </w:r>
          </w:p>
        </w:tc>
        <w:tc>
          <w:tcPr>
            <w:tcW w:w="200" w:type="dxa"/>
            <w:vAlign w:val="bottom"/>
          </w:tcPr>
          <w:p>
            <w:pPr>
              <w:spacing w:after="0"/>
              <w:rPr>
                <w:sz w:val="15"/>
                <w:szCs w:val="15"/>
                <w:color w:val="auto"/>
              </w:rPr>
            </w:pPr>
          </w:p>
        </w:tc>
        <w:tc>
          <w:tcPr>
            <w:tcW w:w="11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34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691</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16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704</w:t>
            </w:r>
          </w:p>
        </w:tc>
        <w:tc>
          <w:tcPr>
            <w:tcW w:w="200" w:type="dxa"/>
            <w:vAlign w:val="bottom"/>
          </w:tcPr>
          <w:p>
            <w:pPr>
              <w:spacing w:after="0"/>
              <w:rPr>
                <w:sz w:val="15"/>
                <w:szCs w:val="15"/>
                <w:color w:val="auto"/>
              </w:rPr>
            </w:pPr>
          </w:p>
        </w:tc>
        <w:tc>
          <w:tcPr>
            <w:tcW w:w="11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3,706</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3,760</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1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6,849</w:t>
            </w:r>
          </w:p>
        </w:tc>
        <w:tc>
          <w:tcPr>
            <w:tcW w:w="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34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6,970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Company also offers a 401(k) plan to its employees. Contributions to this plan by the Company were $488,000 and $449,000 for 2024 and 2023, respectively. In addition, the Company made $392,000 and $349,000 of safe harbor contributions to the plan in 2024 and 2023, respectively.</w:t>
      </w:r>
    </w:p>
    <w:p>
      <w:pPr>
        <w:spacing w:after="0" w:line="5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maintains optional deferred compensation plans for its directors and certain executive officers, whereby fees and income normally received are deferred and paid by the Company based upon a payment schedule commencing between the ages of 65 and 70 and continuing monthly for 10 years. At December 31, 2024 and 2023, other liabilities on the accompanying Consolidated Statements of Condition include approximately $3.4 million and $3.3 million, respectively, relating to deferred compensation. Deferred compensation expense for the years ended December 31, 2024 and 2023 amounted to approximately $347,000 and $341,000, respectively.</w:t>
      </w:r>
    </w:p>
    <w:p>
      <w:pPr>
        <w:spacing w:after="0" w:line="41"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6"/>
          <w:szCs w:val="16"/>
          <w:color w:val="auto"/>
        </w:rPr>
        <w:t>To assist in the funding of the Company’s benefits under the supplemental executive retirement plan and deferred compensation plans, the Company is the owner of single premium life insurance policies on selected participants. At December 31, 2024 and 2023, the cash surrender values of these policies were $24.7 million and $24.6 million, respectively.</w:t>
      </w:r>
    </w:p>
    <w:p>
      <w:pPr>
        <w:spacing w:after="0" w:line="6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Bank adopted a Defined Contribution Supplemental Executive Retirement Plan (the “SERP”), effective January 1, 2014. The SERP benefits certain key senior executives of the Bank who are selected by the Board to participate, including our named executive officers. The SERP is intended to provide a benefit from the Bank upon retirement, death, disability or voluntary or involuntary termination of service (other than “for cause”), subject to the requirements of Section 409A of the Internal Revenue Code. Accordingly, the SERP obligates the Bank to make a contribution to each executive’s account on the last business day of each calendar year. In addition, the Bank, may, but is not required to, make additional discretionary contributions to the executive’s accounts from time to time. All executives currently participating in the plan, including the named executive officers, are fully vested in the Bank’s contribution to the plan. In the event the executive is terminated involuntarily or resigns for good reason within 24 months following a change in control, the Bank is required to make additional annual contributions the lesser of: (1) three years or (2) the number of years remaining until the executive’s benefit age, subject to potential reduction to avoid an excess parachute payment under Code Section 280G. In the event of the executive’s death, disability or termination within 24 months after a change in control, the executive’s account will be paid in a lump sum to the executive or his beneficiary, as applicable. In the event the executive is entitled to a benefit from the SERP due to retirement or other termination of employment, the benefit will be paid either in a lump sum or in 10 annual installments as detailed in his or her participant agreement. At December 31, 2024 and 2023, other liabilities on the accompanying Consolidated Statements of Condition included $694,000 accrued under this plan.</w:t>
      </w:r>
    </w:p>
    <w:p>
      <w:pPr>
        <w:spacing w:after="0" w:line="7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0" w:name="page101"/>
    <w:bookmarkEnd w:id="100"/>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STOCK BASED COMPENSATION PLANS</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May 2016, the Board of Directors of the Company approved the grant of stock option awards to its directors, executive officers, senior officers and officers under the 2016 Equity Incentive Plan that was approved at the Annual Meeting of Shareholders on May 4, 2016 when 263,605 shares were authorized for award.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Activity in the stock option plans is as follows:</w:t>
            </w: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4"/>
                <w:szCs w:val="24"/>
                <w:color w:val="auto"/>
              </w:rPr>
            </w:pPr>
          </w:p>
        </w:tc>
        <w:tc>
          <w:tcPr>
            <w:tcW w:w="3760" w:type="dxa"/>
            <w:vAlign w:val="bottom"/>
            <w:gridSpan w:val="3"/>
          </w:tcPr>
          <w:p>
            <w:pPr>
              <w:jc w:val="right"/>
              <w:ind w:right="1202"/>
              <w:spacing w:after="0"/>
              <w:rPr>
                <w:sz w:val="20"/>
                <w:szCs w:val="20"/>
                <w:color w:val="auto"/>
              </w:rPr>
            </w:pPr>
            <w:r>
              <w:rPr>
                <w:rFonts w:ascii="Times New Roman" w:cs="Times New Roman" w:eastAsia="Times New Roman" w:hAnsi="Times New Roman"/>
                <w:sz w:val="16"/>
                <w:szCs w:val="16"/>
                <w:color w:val="auto"/>
              </w:rPr>
              <w:t>Options Outstanding</w:t>
            </w:r>
          </w:p>
        </w:tc>
        <w:tc>
          <w:tcPr>
            <w:tcW w:w="2820" w:type="dxa"/>
            <w:vAlign w:val="bottom"/>
            <w:gridSpan w:val="3"/>
          </w:tcPr>
          <w:p>
            <w:pPr>
              <w:jc w:val="right"/>
              <w:ind w:right="902"/>
              <w:spacing w:after="0"/>
              <w:rPr>
                <w:sz w:val="20"/>
                <w:szCs w:val="20"/>
                <w:color w:val="auto"/>
              </w:rPr>
            </w:pPr>
            <w:r>
              <w:rPr>
                <w:rFonts w:ascii="Times New Roman" w:cs="Times New Roman" w:eastAsia="Times New Roman" w:hAnsi="Times New Roman"/>
                <w:sz w:val="16"/>
                <w:szCs w:val="16"/>
                <w:color w:val="auto"/>
              </w:rPr>
              <w:t>Shares Exercisable</w:t>
            </w:r>
          </w:p>
        </w:tc>
        <w:tc>
          <w:tcPr>
            <w:tcW w:w="0" w:type="dxa"/>
            <w:vAlign w:val="bottom"/>
          </w:tcPr>
          <w:p>
            <w:pPr>
              <w:spacing w:after="0"/>
              <w:rPr>
                <w:sz w:val="1"/>
                <w:szCs w:val="1"/>
                <w:color w:val="auto"/>
              </w:rPr>
            </w:pPr>
          </w:p>
        </w:tc>
      </w:tr>
      <w:tr>
        <w:trPr>
          <w:trHeight w:val="180"/>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(Shares in thousands)</w:t>
            </w:r>
          </w:p>
        </w:tc>
        <w:tc>
          <w:tcPr>
            <w:tcW w:w="190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Number of</w:t>
            </w:r>
          </w:p>
        </w:tc>
        <w:tc>
          <w:tcPr>
            <w:tcW w:w="200" w:type="dxa"/>
            <w:vAlign w:val="bottom"/>
          </w:tcPr>
          <w:p>
            <w:pPr>
              <w:spacing w:after="0"/>
              <w:rPr>
                <w:sz w:val="15"/>
                <w:szCs w:val="15"/>
                <w:color w:val="auto"/>
              </w:rPr>
            </w:pP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96"/>
              </w:rPr>
              <w:t>Weighted Average</w:t>
            </w: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Number of</w:t>
            </w:r>
          </w:p>
        </w:tc>
        <w:tc>
          <w:tcPr>
            <w:tcW w:w="20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7"/>
              </w:rPr>
              <w:t>Weighted Average</w:t>
            </w:r>
          </w:p>
        </w:tc>
        <w:tc>
          <w:tcPr>
            <w:tcW w:w="0" w:type="dxa"/>
            <w:vAlign w:val="bottom"/>
          </w:tcPr>
          <w:p>
            <w:pPr>
              <w:spacing w:after="0"/>
              <w:rPr>
                <w:sz w:val="1"/>
                <w:szCs w:val="1"/>
                <w:color w:val="auto"/>
              </w:rPr>
            </w:pPr>
          </w:p>
        </w:tc>
      </w:tr>
      <w:tr>
        <w:trPr>
          <w:trHeight w:val="193"/>
        </w:trPr>
        <w:tc>
          <w:tcPr>
            <w:tcW w:w="3980" w:type="dxa"/>
            <w:vAlign w:val="bottom"/>
            <w:vMerge w:val="continue"/>
          </w:tcPr>
          <w:p>
            <w:pPr>
              <w:spacing w:after="0"/>
              <w:rPr>
                <w:sz w:val="16"/>
                <w:szCs w:val="16"/>
                <w:color w:val="auto"/>
              </w:rPr>
            </w:pPr>
          </w:p>
        </w:tc>
        <w:tc>
          <w:tcPr>
            <w:tcW w:w="19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Shares</w:t>
            </w:r>
          </w:p>
        </w:tc>
        <w:tc>
          <w:tcPr>
            <w:tcW w:w="200" w:type="dxa"/>
            <w:vAlign w:val="bottom"/>
          </w:tcPr>
          <w:p>
            <w:pPr>
              <w:spacing w:after="0"/>
              <w:rPr>
                <w:sz w:val="16"/>
                <w:szCs w:val="16"/>
                <w:color w:val="auto"/>
              </w:rPr>
            </w:pPr>
          </w:p>
        </w:tc>
        <w:tc>
          <w:tcPr>
            <w:tcW w:w="16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Exercise Price</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Shares</w:t>
            </w:r>
          </w:p>
        </w:tc>
        <w:tc>
          <w:tcPr>
            <w:tcW w:w="20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Exercise Price</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Outstanding at January 1, 2023</w:t>
            </w:r>
          </w:p>
        </w:tc>
        <w:tc>
          <w:tcPr>
            <w:tcW w:w="19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10.94</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Newly vested</w:t>
            </w:r>
          </w:p>
        </w:tc>
        <w:tc>
          <w:tcPr>
            <w:tcW w:w="19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1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5"/>
                <w:szCs w:val="15"/>
                <w:color w:val="auto"/>
              </w:rPr>
            </w:pP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9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Outstanding at December 31, 2023</w:t>
            </w:r>
          </w:p>
        </w:tc>
        <w:tc>
          <w:tcPr>
            <w:tcW w:w="19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11.01</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Newly vested</w:t>
            </w:r>
          </w:p>
        </w:tc>
        <w:tc>
          <w:tcPr>
            <w:tcW w:w="19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1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5"/>
                <w:szCs w:val="15"/>
                <w:color w:val="auto"/>
              </w:rPr>
            </w:pP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9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66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Outstanding at December 31, 2024</w:t>
            </w:r>
          </w:p>
        </w:tc>
        <w:tc>
          <w:tcPr>
            <w:tcW w:w="19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11.00</w:t>
            </w:r>
          </w:p>
        </w:tc>
        <w:tc>
          <w:tcPr>
            <w:tcW w:w="13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aggregate intrinsic value of stock options represents the total pre- tax intrinsic value (the amount by which the current market value of the underlying stock exceeds the exercise price of the option) that would have been received by the option holders had all option holders exercised their options prior to the expiration date. The intrinsic value can change based on fluctuations in the market value of the Company’s stock. The intrinsic value of the stock options was $902,000 and $491,000 at December 31, 2024 and December 31,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the average remaining contractual life of outstanding options and shares exercisable was 2.7 years and 3.5 years,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 Grants</w:t>
      </w:r>
    </w:p>
    <w:p>
      <w:pPr>
        <w:spacing w:after="0" w:line="9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In May 2016, the Board of Directors of the Company approved the grant of restricted stock units to its directors, executive officers, senior officers and officers under the 2016 Equity Incentive Plan that was approved at the Annual Meeting of Shareholders on May 4, 2016 when 105,442 shares were authorized for award. A total of 31,635 restricted stock units were granted to the nine directors of the Company and 8,436 restricted stock units, ("RSUs") in total, were granted to two officers. The units vest ratably over five years (20% per year for each year of the participant’s service with the Company). In addition, on that date a total of 46,570 restricted stock units were granted to the Chief Executive Officer, two executive officers and three senior officers. The units vested ratably over seven years (approximately 14.28% per year for each year of the participant’s service with the Company) with the exception of one senior officer whose units vested upon retirement on August 1, 2017.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September 2020, the Board of Directors of the Company approved the grant of 1,000 restricted stock units to one officer. The units are fully vested.</w:t>
      </w:r>
    </w:p>
    <w:p>
      <w:pPr>
        <w:spacing w:after="0" w:line="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In October 2020, the Board of Directors of the Company approved the grant of 17,801 restricted stock units to three senior officers and four officers. The units are fully vested.</w:t>
      </w:r>
    </w:p>
    <w:p>
      <w:pPr>
        <w:spacing w:after="0" w:line="5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In June 2024, the Pathfinder Bancorp, Inc. 2024 Equity Incentive Plan (the “2024 Equity Incentive Plan”) was approved at the Company's 2024 Annual Meeting. The 2024 Equity Incentive Plan authorized the issuance of up to 300,000 shares of common stock pursuant to grants of stock options, restricted stock, and restricted stock units to our senior executive officers, directors, key management, and other employees. Stock options granted under the plan may vest based on performance measures or time-based criteria, as determined by the Compensation Committee. The exercise price for stock options will be set at the fair market value on the date of the grant, and they will have an exercise period of up to 10 years. Restricted stock and restricted stock units granted to senior executive officers and key employees may also vest based on performance measures or continuous service, with at least 95% of the awards vesting no earlier than one year after the grant date. Dividends on restricted stock awards will be distributed only after the shares vest. In January 2025, a total of 125,000 restricted stock units were granted to senior executive officers to vest at a rate of 25% per year commencing January 31, 2026, and 175,000 shares remain available for future issuance under the 2024 Equity Incentive Plan.</w:t>
      </w:r>
    </w:p>
    <w:p>
      <w:pPr>
        <w:spacing w:after="0" w:line="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1" w:name="page102"/>
    <w:bookmarkEnd w:id="101"/>
    <w:p>
      <w:pPr>
        <w:spacing w:after="0" w:line="5"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The compensation expense of the stock option awards and restricted stock units is based on the fair value of the instruments on the date of grant. The Company did not record any Stock Option or RSU related compensation expense for the year ended December 31, 2024, compared to $92,000 recorded in compensation expense for the year ended December 31, 2023.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EMPLOYEE STOCK OWNERSHIP PLAN</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Bank established the Pathfinder Bank Employee Stock Ownership Plan (“the Plan”, or "the ESOP") to purchase stock of the Company for the benefit of its employees. In July 2011, the Plan received a $1.1 million loan from Community Bank, N.A., guaranteed by the Company, to fund the Plan’s purchase of 125,000 shares of the Company’s treasury stock. The loan was being repaid in equal quarterly installments of principal plus interest over ten years beginning October 1, 2011. Interest accrued at the Wall Street Journal Prime Rate plus 1.00%, and was secured by the unallocated shares of the ESOP stock. This loan was refinanced in connection with the Conversion and Offering that occurred on October 16, 2014.</w:t>
      </w:r>
    </w:p>
    <w:p>
      <w:pPr>
        <w:spacing w:after="0" w:line="73"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6"/>
          <w:szCs w:val="16"/>
          <w:color w:val="auto"/>
        </w:rPr>
        <w:t>In connection with the Conversion and Offering, the ESOP purchased 105,442 shares issued in the offering by obtaining a loan from the Company which was used to purchase both the additional shares and refinance the remaining outstanding balance on the loan from Community Bank N.A. There were 138,982.5 shares associated with the refinanced loan resulting in a total of 244,424.5 shares associated with the new loan provided by the Company.</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 xml:space="preserve">The ESOP loan from the Company had a ten year term ended September 30, 2024, and was being repaid in equal payments of principal and interest under a fixed rate of interest equal to 3.25% which was the prime rate of interest on the date of the closing of the offering. This ESOP loan from the Company, also referred to as an internally leveraged ESOP, does not appear as a liability on the Company’s Consolidated Statements of Condition as of December 31, 2024 in accordance with ASC 718-40-25-9d,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w:t>
      </w:r>
    </w:p>
    <w:p>
      <w:pPr>
        <w:spacing w:after="0" w:line="7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In accordance with the payment of principal on the loan, a proportionate number of shares are allocated to the employees over the ten year time horizon of the loan. Participants’ vesting interest in the shares of Company stock is at the rate of 20% per year. Compensation expense is recorded based on the number of shares released to the participants times the average market value of the Company’s stock over that same period. Dividends on unallocated shares, recorded as compensation expense on the income statement, are made available to the participants' account. The Company recorded $247,000 and $379,000 in compensation expense in 2024 and 2023, respectively, including $2,000 and $ 10,000 for dividends on unallocated shares in these same time periods. At September 30, 2024, the ESOP reached maturity status. As of December 31, 2024, all ESOP shares were earned and allocated.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17: INCOME TAXES</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6"/>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provision for (benefit from) income taxes for the years ended December 31, is as follows:</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4"/>
                <w:szCs w:val="24"/>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2024</w:t>
            </w:r>
          </w:p>
        </w:tc>
        <w:tc>
          <w:tcPr>
            <w:tcW w:w="540" w:type="dxa"/>
            <w:vAlign w:val="bottom"/>
          </w:tcPr>
          <w:p>
            <w:pPr>
              <w:spacing w:after="0"/>
              <w:rPr>
                <w:sz w:val="24"/>
                <w:szCs w:val="24"/>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1060" w:type="dxa"/>
            <w:vAlign w:val="bottom"/>
          </w:tcPr>
          <w:p>
            <w:pPr>
              <w:spacing w:after="0"/>
              <w:rPr>
                <w:sz w:val="15"/>
                <w:szCs w:val="15"/>
                <w:color w:val="auto"/>
              </w:rPr>
            </w:pPr>
          </w:p>
        </w:tc>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94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54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2,729</w:t>
            </w:r>
          </w:p>
        </w:tc>
      </w:tr>
      <w:tr>
        <w:trPr>
          <w:trHeight w:val="180"/>
        </w:trPr>
        <w:tc>
          <w:tcPr>
            <w:tcW w:w="1060" w:type="dxa"/>
            <w:vAlign w:val="bottom"/>
          </w:tcPr>
          <w:p>
            <w:pPr>
              <w:spacing w:after="0"/>
              <w:rPr>
                <w:sz w:val="15"/>
                <w:szCs w:val="15"/>
                <w:color w:val="auto"/>
              </w:rPr>
            </w:pPr>
          </w:p>
        </w:tc>
        <w:tc>
          <w:tcPr>
            <w:tcW w:w="5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Deferred</w:t>
            </w:r>
          </w:p>
        </w:tc>
        <w:tc>
          <w:tcPr>
            <w:tcW w:w="940" w:type="dxa"/>
            <w:vAlign w:val="bottom"/>
          </w:tcPr>
          <w:p>
            <w:pPr>
              <w:spacing w:after="0"/>
              <w:rPr>
                <w:sz w:val="15"/>
                <w:szCs w:val="15"/>
                <w:color w:val="auto"/>
              </w:rPr>
            </w:pPr>
          </w:p>
        </w:tc>
        <w:tc>
          <w:tcPr>
            <w:tcW w:w="8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(417 )</w:t>
            </w:r>
          </w:p>
        </w:tc>
        <w:tc>
          <w:tcPr>
            <w:tcW w:w="5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(367 )</w:t>
            </w:r>
          </w:p>
        </w:tc>
      </w:tr>
      <w:tr>
        <w:trPr>
          <w:trHeight w:val="220"/>
        </w:trPr>
        <w:tc>
          <w:tcPr>
            <w:tcW w:w="1060" w:type="dxa"/>
            <w:vAlign w:val="bottom"/>
          </w:tcPr>
          <w:p>
            <w:pPr>
              <w:spacing w:after="0"/>
              <w:rPr>
                <w:sz w:val="19"/>
                <w:szCs w:val="19"/>
                <w:color w:val="auto"/>
              </w:rPr>
            </w:pPr>
          </w:p>
        </w:tc>
        <w:tc>
          <w:tcPr>
            <w:tcW w:w="5300" w:type="dxa"/>
            <w:vAlign w:val="bottom"/>
            <w:tcBorders>
              <w:bottom w:val="single" w:sz="8" w:color="auto"/>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provision for income taxes</w:t>
            </w:r>
          </w:p>
        </w:tc>
        <w:tc>
          <w:tcPr>
            <w:tcW w:w="94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332</w:t>
            </w:r>
          </w:p>
        </w:tc>
        <w:tc>
          <w:tcPr>
            <w:tcW w:w="54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2,362</w:t>
            </w:r>
          </w:p>
        </w:tc>
      </w:tr>
      <w:tr>
        <w:trPr>
          <w:trHeight w:val="358"/>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provision for income taxes includes the following</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4"/>
                <w:szCs w:val="24"/>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2024</w:t>
            </w:r>
          </w:p>
        </w:tc>
        <w:tc>
          <w:tcPr>
            <w:tcW w:w="540" w:type="dxa"/>
            <w:vAlign w:val="bottom"/>
          </w:tcPr>
          <w:p>
            <w:pPr>
              <w:spacing w:after="0"/>
              <w:rPr>
                <w:sz w:val="24"/>
                <w:szCs w:val="24"/>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1060" w:type="dxa"/>
            <w:vAlign w:val="bottom"/>
          </w:tcPr>
          <w:p>
            <w:pPr>
              <w:spacing w:after="0"/>
              <w:rPr>
                <w:sz w:val="15"/>
                <w:szCs w:val="15"/>
                <w:color w:val="auto"/>
              </w:rPr>
            </w:pPr>
          </w:p>
        </w:tc>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Federal Income Tax</w:t>
            </w:r>
          </w:p>
        </w:tc>
        <w:tc>
          <w:tcPr>
            <w:tcW w:w="94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54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2,295</w:t>
            </w:r>
          </w:p>
        </w:tc>
      </w:tr>
      <w:tr>
        <w:trPr>
          <w:trHeight w:val="180"/>
        </w:trPr>
        <w:tc>
          <w:tcPr>
            <w:tcW w:w="1060" w:type="dxa"/>
            <w:vAlign w:val="bottom"/>
          </w:tcPr>
          <w:p>
            <w:pPr>
              <w:spacing w:after="0"/>
              <w:rPr>
                <w:sz w:val="15"/>
                <w:szCs w:val="15"/>
                <w:color w:val="auto"/>
              </w:rPr>
            </w:pPr>
          </w:p>
        </w:tc>
        <w:tc>
          <w:tcPr>
            <w:tcW w:w="5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State Income Tax</w:t>
            </w:r>
          </w:p>
        </w:tc>
        <w:tc>
          <w:tcPr>
            <w:tcW w:w="940" w:type="dxa"/>
            <w:vAlign w:val="bottom"/>
          </w:tcPr>
          <w:p>
            <w:pPr>
              <w:spacing w:after="0"/>
              <w:rPr>
                <w:sz w:val="15"/>
                <w:szCs w:val="15"/>
                <w:color w:val="auto"/>
              </w:rPr>
            </w:pPr>
          </w:p>
        </w:tc>
        <w:tc>
          <w:tcPr>
            <w:tcW w:w="8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54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w:t>
            </w:r>
          </w:p>
        </w:tc>
      </w:tr>
      <w:tr>
        <w:trPr>
          <w:trHeight w:val="220"/>
        </w:trPr>
        <w:tc>
          <w:tcPr>
            <w:tcW w:w="1060" w:type="dxa"/>
            <w:vAlign w:val="bottom"/>
          </w:tcPr>
          <w:p>
            <w:pPr>
              <w:spacing w:after="0"/>
              <w:rPr>
                <w:sz w:val="19"/>
                <w:szCs w:val="19"/>
                <w:color w:val="auto"/>
              </w:rPr>
            </w:pPr>
          </w:p>
        </w:tc>
        <w:tc>
          <w:tcPr>
            <w:tcW w:w="5300" w:type="dxa"/>
            <w:vAlign w:val="bottom"/>
            <w:tcBorders>
              <w:bottom w:val="single" w:sz="8" w:color="auto"/>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provision for income taxes</w:t>
            </w:r>
          </w:p>
        </w:tc>
        <w:tc>
          <w:tcPr>
            <w:tcW w:w="94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332</w:t>
            </w:r>
          </w:p>
        </w:tc>
        <w:tc>
          <w:tcPr>
            <w:tcW w:w="54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2,362</w:t>
            </w:r>
          </w:p>
        </w:tc>
      </w:tr>
    </w:tbl>
    <w:p>
      <w:pPr>
        <w:spacing w:after="0" w:line="26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2" w:name="page103"/>
    <w:bookmarkEnd w:id="102"/>
    <w:p>
      <w:pPr>
        <w:spacing w:after="0" w:line="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components of the net deferred tax asset (liability), included in other assets on the accompanying Consolidated Statements of Condition as of December 31,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6"/>
                <w:szCs w:val="16"/>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4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202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1,120</w:t>
            </w:r>
          </w:p>
        </w:tc>
        <w:tc>
          <w:tcPr>
            <w:tcW w:w="52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1,102</w:t>
            </w:r>
          </w:p>
        </w:tc>
      </w:tr>
      <w:tr>
        <w:trPr>
          <w:trHeight w:val="180"/>
        </w:trPr>
        <w:tc>
          <w:tcPr>
            <w:tcW w:w="42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Allowance for credit losses</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4,720</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4,423</w:t>
            </w: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Postretirement benefits</w:t>
            </w:r>
          </w:p>
        </w:tc>
        <w:tc>
          <w:tcPr>
            <w:tcW w:w="202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52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42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Subordinated debt interest</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w:t>
            </w: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Loan origination fees</w:t>
            </w:r>
          </w:p>
        </w:tc>
        <w:tc>
          <w:tcPr>
            <w:tcW w:w="2020" w:type="dxa"/>
            <w:vAlign w:val="bottom"/>
          </w:tcPr>
          <w:p>
            <w:pPr>
              <w:spacing w:after="0"/>
              <w:rPr>
                <w:sz w:val="15"/>
                <w:szCs w:val="15"/>
                <w:color w:val="auto"/>
              </w:rPr>
            </w:pPr>
          </w:p>
        </w:tc>
        <w:tc>
          <w:tcPr>
            <w:tcW w:w="8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52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r>
      <w:tr>
        <w:trPr>
          <w:trHeight w:val="204"/>
        </w:trPr>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 securities</w:t>
            </w:r>
          </w:p>
        </w:tc>
        <w:tc>
          <w:tcPr>
            <w:tcW w:w="20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2,671</w:t>
            </w:r>
          </w:p>
        </w:tc>
        <w:tc>
          <w:tcPr>
            <w:tcW w:w="5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2,676</w:t>
            </w: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202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52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w:t>
            </w:r>
          </w:p>
        </w:tc>
      </w:tr>
      <w:tr>
        <w:trPr>
          <w:trHeight w:val="180"/>
        </w:trPr>
        <w:tc>
          <w:tcPr>
            <w:tcW w:w="42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Lease Liabilities</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416</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447</w:t>
            </w: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020" w:type="dxa"/>
            <w:vAlign w:val="bottom"/>
          </w:tcPr>
          <w:p>
            <w:pPr>
              <w:spacing w:after="0"/>
              <w:rPr>
                <w:sz w:val="15"/>
                <w:szCs w:val="15"/>
                <w:color w:val="auto"/>
              </w:rPr>
            </w:pPr>
          </w:p>
        </w:tc>
        <w:tc>
          <w:tcPr>
            <w:tcW w:w="8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871</w:t>
            </w:r>
          </w:p>
        </w:tc>
        <w:tc>
          <w:tcPr>
            <w:tcW w:w="52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466</w:t>
            </w:r>
          </w:p>
        </w:tc>
      </w:tr>
      <w:tr>
        <w:trPr>
          <w:trHeight w:val="220"/>
        </w:trPr>
        <w:tc>
          <w:tcPr>
            <w:tcW w:w="420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0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10,362</w:t>
            </w: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9,390</w:t>
            </w:r>
          </w:p>
        </w:tc>
      </w:tr>
      <w:tr>
        <w:trPr>
          <w:trHeight w:val="156"/>
        </w:trPr>
        <w:tc>
          <w:tcPr>
            <w:tcW w:w="420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Liabilities:</w:t>
            </w:r>
          </w:p>
        </w:tc>
        <w:tc>
          <w:tcPr>
            <w:tcW w:w="2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0"/>
        </w:trPr>
        <w:tc>
          <w:tcPr>
            <w:tcW w:w="42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Prepaid pension</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(2,077 )</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(1,966 )</w:t>
            </w: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Derivative instruments</w:t>
            </w:r>
          </w:p>
        </w:tc>
        <w:tc>
          <w:tcPr>
            <w:tcW w:w="2020" w:type="dxa"/>
            <w:vAlign w:val="bottom"/>
          </w:tcPr>
          <w:p>
            <w:pPr>
              <w:spacing w:after="0"/>
              <w:rPr>
                <w:sz w:val="15"/>
                <w:szCs w:val="15"/>
                <w:color w:val="auto"/>
              </w:rPr>
            </w:pPr>
          </w:p>
        </w:tc>
        <w:tc>
          <w:tcPr>
            <w:tcW w:w="8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(146 )</w:t>
            </w:r>
          </w:p>
        </w:tc>
        <w:tc>
          <w:tcPr>
            <w:tcW w:w="5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(17 )</w:t>
            </w:r>
          </w:p>
        </w:tc>
      </w:tr>
      <w:tr>
        <w:trPr>
          <w:trHeight w:val="180"/>
        </w:trPr>
        <w:tc>
          <w:tcPr>
            <w:tcW w:w="42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(1,857 )</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(1,675 )</w:t>
            </w: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Accretion</w:t>
            </w:r>
          </w:p>
        </w:tc>
        <w:tc>
          <w:tcPr>
            <w:tcW w:w="2020" w:type="dxa"/>
            <w:vAlign w:val="bottom"/>
          </w:tcPr>
          <w:p>
            <w:pPr>
              <w:spacing w:after="0"/>
              <w:rPr>
                <w:sz w:val="15"/>
                <w:szCs w:val="15"/>
                <w:color w:val="auto"/>
              </w:rPr>
            </w:pPr>
          </w:p>
        </w:tc>
        <w:tc>
          <w:tcPr>
            <w:tcW w:w="8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(420 )</w:t>
            </w:r>
          </w:p>
        </w:tc>
        <w:tc>
          <w:tcPr>
            <w:tcW w:w="5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(214 )</w:t>
            </w:r>
          </w:p>
        </w:tc>
      </w:tr>
      <w:tr>
        <w:trPr>
          <w:trHeight w:val="180"/>
        </w:trPr>
        <w:tc>
          <w:tcPr>
            <w:tcW w:w="42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Intangible assets</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(982 )</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(1,004 )</w:t>
            </w:r>
          </w:p>
        </w:tc>
      </w:tr>
      <w:tr>
        <w:trPr>
          <w:trHeight w:val="204"/>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02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(76 )</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180"/>
        </w:trPr>
        <w:tc>
          <w:tcPr>
            <w:tcW w:w="42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Right-of-use assets</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(363 )</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(398 )</w:t>
            </w:r>
          </w:p>
        </w:tc>
      </w:tr>
      <w:tr>
        <w:trPr>
          <w:trHeight w:val="180"/>
        </w:trPr>
        <w:tc>
          <w:tcPr>
            <w:tcW w:w="42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Prepaid expenses and transaction fees</w:t>
            </w:r>
          </w:p>
        </w:tc>
        <w:tc>
          <w:tcPr>
            <w:tcW w:w="2020" w:type="dxa"/>
            <w:vAlign w:val="bottom"/>
          </w:tcPr>
          <w:p>
            <w:pPr>
              <w:spacing w:after="0"/>
              <w:rPr>
                <w:sz w:val="15"/>
                <w:szCs w:val="15"/>
                <w:color w:val="auto"/>
              </w:rPr>
            </w:pPr>
          </w:p>
        </w:tc>
        <w:tc>
          <w:tcPr>
            <w:tcW w:w="8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(257 )</w:t>
            </w:r>
          </w:p>
        </w:tc>
        <w:tc>
          <w:tcPr>
            <w:tcW w:w="5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(101 )</w:t>
            </w:r>
          </w:p>
        </w:tc>
      </w:tr>
      <w:tr>
        <w:trPr>
          <w:trHeight w:val="180"/>
        </w:trPr>
        <w:tc>
          <w:tcPr>
            <w:tcW w:w="42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0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(6,178 )</w:t>
            </w: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(5,461 )</w:t>
            </w:r>
          </w:p>
        </w:tc>
      </w:tr>
      <w:tr>
        <w:trPr>
          <w:trHeight w:val="180"/>
        </w:trPr>
        <w:tc>
          <w:tcPr>
            <w:tcW w:w="4200" w:type="dxa"/>
            <w:vAlign w:val="bottom"/>
            <w:tcBorders>
              <w:bottom w:val="single" w:sz="8" w:color="auto"/>
            </w:tcBorders>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deferred tax asset</w:t>
            </w:r>
          </w:p>
        </w:tc>
        <w:tc>
          <w:tcPr>
            <w:tcW w:w="2020" w:type="dxa"/>
            <w:vAlign w:val="bottom"/>
            <w:tcBorders>
              <w:bottom w:val="single" w:sz="8" w:color="auto"/>
            </w:tcBorders>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4,184</w:t>
            </w:r>
          </w:p>
        </w:tc>
        <w:tc>
          <w:tcPr>
            <w:tcW w:w="520" w:type="dxa"/>
            <w:vAlign w:val="bottom"/>
            <w:tcBorders>
              <w:bottom w:val="single" w:sz="8" w:color="auto"/>
            </w:tcBorders>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3,929</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Realization of deferred tax assets is dependent upon the generation of future taxable income or the existence of sufficient taxable income within the statutory carry back period. A valuation allowance is provided when it is more likely than not that some portion, or all of the deferred tax assets, will not be realized. In assessing the need for a valuation allowance, management considers the scheduled reversal of the deferred tax liabilities, the level of historical taxable income and the projected future level of taxable income over the periods in which the temporary differences comprising the deferred tax assets will be deductible. Management determined there was no valuation allowance needed as of December 31, 2024 or 2023.</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Deferred income tax assets and liabilities are determined using the liability method. Under this method, the net deferred tax asset or liability is recognized for their future tax consequences. This is attributable to the differences between the financial statement carrying amounts of existing assets and liabilities and their respective tax basis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7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 2024, the Company’s effective tax rate was 8.9%, as compared to 20.8% in 2023. A reconciliation of the federal statutory income tax rate of 21.0% to the effective income tax rate for the years ended December 31,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16"/>
                <w:szCs w:val="16"/>
                <w:color w:val="auto"/>
              </w:rPr>
            </w:pPr>
          </w:p>
        </w:tc>
        <w:tc>
          <w:tcPr>
            <w:tcW w:w="2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2024</w:t>
            </w:r>
          </w:p>
        </w:tc>
        <w:tc>
          <w:tcPr>
            <w:tcW w:w="620" w:type="dxa"/>
            <w:vAlign w:val="bottom"/>
          </w:tcPr>
          <w:p>
            <w:pPr>
              <w:spacing w:after="0"/>
              <w:rPr>
                <w:sz w:val="16"/>
                <w:szCs w:val="16"/>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Federal statutory income tax rate</w:t>
            </w:r>
          </w:p>
        </w:tc>
        <w:tc>
          <w:tcPr>
            <w:tcW w:w="2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62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2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6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2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Tax-exempt interest income</w:t>
            </w:r>
          </w:p>
        </w:tc>
        <w:tc>
          <w:tcPr>
            <w:tcW w:w="2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6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 in value of bank owned life insurance less premiums paid</w:t>
            </w:r>
          </w:p>
        </w:tc>
        <w:tc>
          <w:tcPr>
            <w:tcW w:w="2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6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Death benefit from bank owned life insurance proceeds</w:t>
            </w:r>
          </w:p>
        </w:tc>
        <w:tc>
          <w:tcPr>
            <w:tcW w:w="2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6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Sale of subsidiary</w:t>
            </w:r>
          </w:p>
        </w:tc>
        <w:tc>
          <w:tcPr>
            <w:tcW w:w="2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62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Federal credits</w:t>
            </w:r>
          </w:p>
        </w:tc>
        <w:tc>
          <w:tcPr>
            <w:tcW w:w="2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6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62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Effective income tax rate - Pathfinder Bancorp, Inc.</w:t>
            </w:r>
          </w:p>
        </w:tc>
        <w:tc>
          <w:tcPr>
            <w:tcW w:w="2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62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Noncontrolling interest</w:t>
            </w:r>
          </w:p>
        </w:tc>
        <w:tc>
          <w:tcPr>
            <w:tcW w:w="2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52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620" w:type="dxa"/>
            <w:vAlign w:val="bottom"/>
            <w:tcBorders>
              <w:bottom w:val="single" w:sz="8" w:color="auto"/>
            </w:tcBorders>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20.8</w:t>
            </w:r>
          </w:p>
        </w:tc>
        <w:tc>
          <w:tcPr>
            <w:tcW w:w="2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3" w:name="page104"/>
    <w:bookmarkEnd w:id="103"/>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COMMITMENTS AND CONTINGENCIES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is a party to financial instruments with off-balance sheet risk in the normal course of business to meet the financing needs of its customers. These financial instruments include commitments to extend credit and standby letters of credit. Such commitments involve, to varying degrees, elements of credit risk in excess of the amount recognized in the Consolidated Statements of Condition. The contractual amount of those commitments to extend credit reflects the extent of involvement the Company has in this particular class of financial instrument. The Company’s exposure to credit loss in the event of nonperformance by the other party to the financial instrument for commitments to extend credit is represented by the contractual amount of the instrument. The Company uses the same credit policies in making commitments as it does for on-balance sheet instruments.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the following financial instruments were outstanding whose contract amounts represent credit risk:</w:t>
      </w:r>
    </w:p>
    <w:p>
      <w:pPr>
        <w:spacing w:after="0" w:line="112"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tcPr>
          <w:p>
            <w:pPr>
              <w:spacing w:after="0"/>
              <w:rPr>
                <w:sz w:val="16"/>
                <w:szCs w:val="16"/>
                <w:color w:val="auto"/>
              </w:rPr>
            </w:pPr>
          </w:p>
        </w:tc>
        <w:tc>
          <w:tcPr>
            <w:tcW w:w="172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Contract Amount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30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Pr>
          <w:p>
            <w:pPr>
              <w:spacing w:after="0"/>
              <w:rPr>
                <w:sz w:val="16"/>
                <w:szCs w:val="16"/>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Commitments to grant loans</w:t>
            </w:r>
          </w:p>
        </w:tc>
        <w:tc>
          <w:tcPr>
            <w:tcW w:w="168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41,283</w:t>
            </w:r>
          </w:p>
        </w:tc>
        <w:tc>
          <w:tcPr>
            <w:tcW w:w="72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41,878</w:t>
            </w:r>
          </w:p>
        </w:tc>
        <w:tc>
          <w:tcPr>
            <w:tcW w:w="0" w:type="dxa"/>
            <w:vAlign w:val="bottom"/>
          </w:tcPr>
          <w:p>
            <w:pPr>
              <w:spacing w:after="0"/>
              <w:rPr>
                <w:sz w:val="1"/>
                <w:szCs w:val="1"/>
                <w:color w:val="auto"/>
              </w:rPr>
            </w:pPr>
          </w:p>
        </w:tc>
      </w:tr>
      <w:tr>
        <w:trPr>
          <w:trHeight w:val="180"/>
        </w:trPr>
        <w:tc>
          <w:tcPr>
            <w:tcW w:w="5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Unfunded commitments under lines of credit</w:t>
            </w:r>
          </w:p>
        </w:tc>
        <w:tc>
          <w:tcPr>
            <w:tcW w:w="168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187,681</w:t>
            </w:r>
          </w:p>
        </w:tc>
        <w:tc>
          <w:tcPr>
            <w:tcW w:w="72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157,150</w:t>
            </w:r>
          </w:p>
        </w:tc>
        <w:tc>
          <w:tcPr>
            <w:tcW w:w="0" w:type="dxa"/>
            <w:vAlign w:val="bottom"/>
          </w:tcPr>
          <w:p>
            <w:pPr>
              <w:spacing w:after="0"/>
              <w:rPr>
                <w:sz w:val="1"/>
                <w:szCs w:val="1"/>
                <w:color w:val="auto"/>
              </w:rPr>
            </w:pPr>
          </w:p>
        </w:tc>
      </w:tr>
      <w:tr>
        <w:trPr>
          <w:trHeight w:val="180"/>
        </w:trPr>
        <w:tc>
          <w:tcPr>
            <w:tcW w:w="5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Unfunded commitments related to construction loans in progress</w:t>
            </w:r>
          </w:p>
        </w:tc>
        <w:tc>
          <w:tcPr>
            <w:tcW w:w="16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1,668</w:t>
            </w:r>
          </w:p>
        </w:tc>
        <w:tc>
          <w:tcPr>
            <w:tcW w:w="7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4,342</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6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2,359</w:t>
            </w:r>
          </w:p>
        </w:tc>
        <w:tc>
          <w:tcPr>
            <w:tcW w:w="72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some of the commitment amounts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counter party. Collateral held varies but may include residential real estate and income-producing commercial properties. Loan commitments outstanding at December</w:t>
      </w:r>
    </w:p>
    <w:p>
      <w:pPr>
        <w:spacing w:after="0" w:line="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31, 2024 with variable interest rates and fixed interest rates were approximately $194.7 million and $35.2 million, respectively. These outstanding loan commitments carry current market rates.</w:t>
      </w:r>
    </w:p>
    <w:p>
      <w:pPr>
        <w:spacing w:after="0" w:line="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Unfunded commitments under standby letters of credit, revolving credit lines and overdraft protection agreements are commitments for possible future extensions of credit to existing customers. These lines of credit usually do not contain a specified maturity date and may not be drawn upon to the total extent to which the Company is committed.</w:t>
      </w:r>
    </w:p>
    <w:p>
      <w:pPr>
        <w:spacing w:after="0" w:line="6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Letters of credit written are conditional commitments issued by the Company to guarantee the performance of a customer to a third party. Generally, all letters of credit, when issued have expiration dates within one year. The credit risk involved in issuing letters of credit is essentially the same as those that are involved in extending loan facilities to customers. The Company generally holds collateral and/or personal guarantees supporting these commitments. Management believes that the proceeds obtained through a liquidation of collateral and the enforcement of guarantees would be sufficient to cover the potential amount of future payments required under the corresponding guarantees.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DIVIDENDS AND RESTRICTIONS</w:t>
      </w:r>
    </w:p>
    <w:p>
      <w:pPr>
        <w:spacing w:after="0" w:line="9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Company's ability to pay dividends to its shareholders is largely dependent on the Bank's ability to pay dividends to the Company. In addition to state law requirements and the capital requirements discussed in Note 20, regulatory matters, regulations and policies limit the circumstances under which the Bank may pay dividends. The amount of retained earnings legally available under these regulations approximated $30.6 million as of December 31, 2024. Dividends paid by the Bank to the Company would be prohibited if the effect thereof would cause the Bank’s capital to be reduced below applicable minimum capital requirements or below the Liquidation Account established following the Conversion in 2024. The Bank made dividend payments to the Company of $3.2 million and $-0- in the years ended December 31, 2024 and December 31, 2023, respectively.</w:t>
      </w:r>
    </w:p>
    <w:p>
      <w:pPr>
        <w:spacing w:after="0" w:line="7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December 31, 2024, the Bank met the regulatory definition of a “well-capitalized” institution, i.e. a leverage capital ratio exceeding 5%, a Tier 1 risk-based capital ratio exceeding 8%, Tier 1 common equity exceeding 6.5%, and a total risk-based capital ratio exceeding 10%.</w:t>
      </w:r>
    </w:p>
    <w:p>
      <w:pPr>
        <w:spacing w:after="0" w:line="7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 (“PCA”) standards. In order to avoid these restrictions, the capital conservation buffer effectively increases the minimum levels of the following capital to risk-weighted assets ratios: (1) Core Capital, (2) Total Capital and (3) Common Equity. The capital conservation buffer requirement is now fully implemented</w:t>
      </w:r>
    </w:p>
    <w:p>
      <w:pPr>
        <w:spacing w:after="0" w:line="7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4" w:name="page105"/>
    <w:bookmarkEnd w:id="104"/>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2.5% of risk-weighted assets. At December 31, 2024, the Bank exceeded all regulatory required minimum capital ratios, including the capital buffer requirements.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REGULATORY MATTERS</w:t>
      </w:r>
    </w:p>
    <w:p>
      <w:pPr>
        <w:spacing w:after="0" w:line="9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7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Quantitative measures established by regulation to ensure capital adequacy require the Bank to maintain amounts and ratios (set forth in the table below) of Total and Tier 1 capital (as defined in the regulations) to risk-weighted assets (as defined), and of Tier 1 capital (as defined) to average assets (as defined).</w:t>
      </w:r>
    </w:p>
    <w:p>
      <w:pPr>
        <w:spacing w:after="0" w:line="5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As of December 31, 2024, the Bank’s most recent notification from the FDIC categorized the Bank as “well-capitalized”, under the regulatory framework for prompt corrective action. To be categorized as “well-capitalized”, the Bank must maintain total risk-based, Tier 1 risk-based and Tier 1 leverage ratios as set forth in the tables below. There are no conditions or events since that notification that management believes have changed the Bank’s category.</w:t>
      </w:r>
    </w:p>
    <w:p>
      <w:pPr>
        <w:spacing w:after="0" w:line="6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As noted above, the regulations also impose a “capital conservation buffer” consisting of 2.5% of common equity Tier 1 capital to risk-weighted assets above the amount necessary to meet its minimum risk -based capital requirements. The buffer is separate from the capital ratios required under the Prompt Corrective Action (“PCA”) standards and imposes restrictions on dividend distributions and discretionary bonuses if the buffer is not met. In order to avoid these restrictions, the capital conservation buffer effectively increases the minimum levels of the following capital to risk -weighted assets ratios: (1) Core Capital, (2) Total Capital and (3) Common Equity. At December 31, 2024, the Bank exceeded all regulatory required minimum capital ratios, including the capital buffer requirements.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Bank’s actual capital amounts and ratios as of December 31, 2024 and 2023 are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rPr>
              <w:t>Minimum To Be</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34"/>
              <w:spacing w:after="0"/>
              <w:rPr>
                <w:sz w:val="20"/>
                <w:szCs w:val="20"/>
                <w:color w:val="auto"/>
              </w:rPr>
            </w:pPr>
            <w:r>
              <w:rPr>
                <w:rFonts w:ascii="Times New Roman" w:cs="Times New Roman" w:eastAsia="Times New Roman" w:hAnsi="Times New Roman"/>
                <w:sz w:val="13"/>
                <w:szCs w:val="13"/>
                <w:color w:val="auto"/>
              </w:rPr>
              <w:t>Minimum For</w:t>
            </w:r>
          </w:p>
        </w:tc>
        <w:tc>
          <w:tcPr>
            <w:tcW w:w="140" w:type="dxa"/>
            <w:vAlign w:val="bottom"/>
          </w:tcPr>
          <w:p>
            <w:pPr>
              <w:spacing w:after="0"/>
              <w:rPr>
                <w:sz w:val="13"/>
                <w:szCs w:val="13"/>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rPr>
              <w:t>"Well-Capitalized"</w:t>
            </w:r>
          </w:p>
        </w:tc>
        <w:tc>
          <w:tcPr>
            <w:tcW w:w="160" w:type="dxa"/>
            <w:vAlign w:val="bottom"/>
          </w:tcPr>
          <w:p>
            <w:pPr>
              <w:spacing w:after="0"/>
              <w:rPr>
                <w:sz w:val="13"/>
                <w:szCs w:val="13"/>
                <w:color w:val="auto"/>
              </w:rPr>
            </w:pPr>
          </w:p>
        </w:tc>
        <w:tc>
          <w:tcPr>
            <w:tcW w:w="1380" w:type="dxa"/>
            <w:vAlign w:val="bottom"/>
            <w:gridSpan w:val="2"/>
          </w:tcPr>
          <w:p>
            <w:pPr>
              <w:jc w:val="center"/>
              <w:ind w:right="194"/>
              <w:spacing w:after="0"/>
              <w:rPr>
                <w:sz w:val="20"/>
                <w:szCs w:val="20"/>
                <w:color w:val="auto"/>
              </w:rPr>
            </w:pPr>
            <w:r>
              <w:rPr>
                <w:rFonts w:ascii="Times New Roman" w:cs="Times New Roman" w:eastAsia="Times New Roman" w:hAnsi="Times New Roman"/>
                <w:sz w:val="13"/>
                <w:szCs w:val="13"/>
                <w:color w:val="auto"/>
              </w:rPr>
              <w:t>Minimum for</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34"/>
              <w:spacing w:after="0"/>
              <w:rPr>
                <w:sz w:val="20"/>
                <w:szCs w:val="20"/>
                <w:color w:val="auto"/>
              </w:rPr>
            </w:pPr>
            <w:r>
              <w:rPr>
                <w:rFonts w:ascii="Times New Roman" w:cs="Times New Roman" w:eastAsia="Times New Roman" w:hAnsi="Times New Roman"/>
                <w:sz w:val="13"/>
                <w:szCs w:val="13"/>
                <w:color w:val="auto"/>
              </w:rPr>
              <w:t>Capital Adequacy</w:t>
            </w:r>
          </w:p>
        </w:tc>
        <w:tc>
          <w:tcPr>
            <w:tcW w:w="140" w:type="dxa"/>
            <w:vAlign w:val="bottom"/>
          </w:tcPr>
          <w:p>
            <w:pPr>
              <w:spacing w:after="0"/>
              <w:rPr>
                <w:sz w:val="13"/>
                <w:szCs w:val="13"/>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w w:val="99"/>
              </w:rPr>
              <w:t>Under Prompt</w:t>
            </w:r>
          </w:p>
        </w:tc>
        <w:tc>
          <w:tcPr>
            <w:tcW w:w="160" w:type="dxa"/>
            <w:vAlign w:val="bottom"/>
          </w:tcPr>
          <w:p>
            <w:pPr>
              <w:spacing w:after="0"/>
              <w:rPr>
                <w:sz w:val="13"/>
                <w:szCs w:val="13"/>
                <w:color w:val="auto"/>
              </w:rPr>
            </w:pPr>
          </w:p>
        </w:tc>
        <w:tc>
          <w:tcPr>
            <w:tcW w:w="138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color w:val="auto"/>
              </w:rPr>
              <w:t>Capital Adequacy</w:t>
            </w:r>
          </w:p>
        </w:tc>
        <w:tc>
          <w:tcPr>
            <w:tcW w:w="0" w:type="dxa"/>
            <w:vAlign w:val="bottom"/>
          </w:tcPr>
          <w:p>
            <w:pPr>
              <w:spacing w:after="0"/>
              <w:rPr>
                <w:sz w:val="1"/>
                <w:szCs w:val="1"/>
                <w:color w:val="auto"/>
              </w:rPr>
            </w:pPr>
          </w:p>
        </w:tc>
      </w:tr>
      <w:tr>
        <w:trPr>
          <w:trHeight w:val="156"/>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Actual</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left="214"/>
              <w:spacing w:after="0"/>
              <w:rPr>
                <w:sz w:val="20"/>
                <w:szCs w:val="20"/>
                <w:color w:val="auto"/>
              </w:rPr>
            </w:pPr>
            <w:r>
              <w:rPr>
                <w:rFonts w:ascii="Times New Roman" w:cs="Times New Roman" w:eastAsia="Times New Roman" w:hAnsi="Times New Roman"/>
                <w:sz w:val="13"/>
                <w:szCs w:val="13"/>
                <w:color w:val="auto"/>
              </w:rPr>
              <w:t>Purposes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rPr>
              <w:t>Corrective Provisions</w:t>
            </w:r>
          </w:p>
        </w:tc>
        <w:tc>
          <w:tcPr>
            <w:tcW w:w="160" w:type="dxa"/>
            <w:vAlign w:val="bottom"/>
          </w:tcPr>
          <w:p>
            <w:pPr>
              <w:spacing w:after="0"/>
              <w:rPr>
                <w:sz w:val="13"/>
                <w:szCs w:val="13"/>
                <w:color w:val="auto"/>
              </w:rPr>
            </w:pPr>
          </w:p>
        </w:tc>
        <w:tc>
          <w:tcPr>
            <w:tcW w:w="138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color w:val="auto"/>
              </w:rPr>
              <w:t>With Buffer</w:t>
            </w:r>
          </w:p>
        </w:tc>
        <w:tc>
          <w:tcPr>
            <w:tcW w:w="0" w:type="dxa"/>
            <w:vAlign w:val="bottom"/>
          </w:tcPr>
          <w:p>
            <w:pPr>
              <w:spacing w:after="0"/>
              <w:rPr>
                <w:sz w:val="1"/>
                <w:szCs w:val="1"/>
                <w:color w:val="auto"/>
              </w:rPr>
            </w:pPr>
          </w:p>
        </w:tc>
      </w:tr>
      <w:tr>
        <w:trPr>
          <w:trHeight w:val="168"/>
        </w:trPr>
        <w:tc>
          <w:tcPr>
            <w:tcW w:w="35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Ratio</w:t>
            </w:r>
          </w:p>
        </w:tc>
        <w:tc>
          <w:tcPr>
            <w:tcW w:w="920" w:type="dxa"/>
            <w:vAlign w:val="bottom"/>
            <w:gridSpan w:val="2"/>
          </w:tcPr>
          <w:p>
            <w:pPr>
              <w:jc w:val="right"/>
              <w:ind w:right="294"/>
              <w:spacing w:after="0"/>
              <w:rPr>
                <w:sz w:val="20"/>
                <w:szCs w:val="20"/>
                <w:color w:val="auto"/>
              </w:rPr>
            </w:pPr>
            <w:r>
              <w:rPr>
                <w:rFonts w:ascii="Times New Roman" w:cs="Times New Roman" w:eastAsia="Times New Roman" w:hAnsi="Times New Roman"/>
                <w:sz w:val="13"/>
                <w:szCs w:val="13"/>
                <w:color w:val="auto"/>
              </w:rPr>
              <w:t>Amount</w:t>
            </w:r>
          </w:p>
        </w:tc>
        <w:tc>
          <w:tcPr>
            <w:tcW w:w="5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2"/>
              </w:rPr>
              <w:t>Ratio</w:t>
            </w:r>
          </w:p>
        </w:tc>
        <w:tc>
          <w:tcPr>
            <w:tcW w:w="80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Amount</w:t>
            </w: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Ratio</w:t>
            </w:r>
          </w:p>
        </w:tc>
        <w:tc>
          <w:tcPr>
            <w:tcW w:w="8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Amount</w:t>
            </w: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Ratio</w:t>
            </w:r>
          </w:p>
        </w:tc>
        <w:tc>
          <w:tcPr>
            <w:tcW w:w="0" w:type="dxa"/>
            <w:vAlign w:val="bottom"/>
          </w:tcPr>
          <w:p>
            <w:pPr>
              <w:spacing w:after="0"/>
              <w:rPr>
                <w:sz w:val="1"/>
                <w:szCs w:val="1"/>
                <w:color w:val="auto"/>
              </w:rPr>
            </w:pPr>
          </w:p>
        </w:tc>
      </w:tr>
      <w:tr>
        <w:trPr>
          <w:trHeight w:val="156"/>
        </w:trPr>
        <w:tc>
          <w:tcPr>
            <w:tcW w:w="3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 of December 31, 2024:</w:t>
            </w:r>
          </w:p>
        </w:tc>
        <w:tc>
          <w:tcPr>
            <w:tcW w:w="8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Core Capital (to Risk-Weighted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151,758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82,845</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8.00 %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103,556</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9"/>
              </w:rPr>
              <w:t>108,733</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10.50 %</w:t>
            </w:r>
          </w:p>
        </w:tc>
        <w:tc>
          <w:tcPr>
            <w:tcW w:w="0" w:type="dxa"/>
            <w:vAlign w:val="bottom"/>
          </w:tcPr>
          <w:p>
            <w:pPr>
              <w:spacing w:after="0"/>
              <w:rPr>
                <w:sz w:val="1"/>
                <w:szCs w:val="1"/>
                <w:color w:val="auto"/>
              </w:rPr>
            </w:pPr>
          </w:p>
        </w:tc>
      </w:tr>
      <w:tr>
        <w:trPr>
          <w:trHeight w:val="264"/>
        </w:trPr>
        <w:tc>
          <w:tcPr>
            <w:tcW w:w="3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138,751</w:t>
            </w:r>
          </w:p>
        </w:tc>
        <w:tc>
          <w:tcPr>
            <w:tcW w:w="660" w:type="dxa"/>
            <w:vAlign w:val="bottom"/>
            <w:shd w:val="clear" w:color="auto" w:fill="CFF0FC"/>
          </w:tcPr>
          <w:p>
            <w:pPr>
              <w:jc w:val="right"/>
              <w:spacing w:after="0" w:line="263" w:lineRule="exact"/>
              <w:rPr>
                <w:sz w:val="20"/>
                <w:szCs w:val="20"/>
                <w:color w:val="auto"/>
              </w:rPr>
            </w:pPr>
            <w:r>
              <w:rPr>
                <w:rFonts w:ascii="Times New Roman" w:cs="Times New Roman" w:eastAsia="Times New Roman" w:hAnsi="Times New Roman"/>
                <w:sz w:val="13"/>
                <w:szCs w:val="13"/>
                <w:color w:val="auto"/>
              </w:rPr>
              <w:t xml:space="preserve">13.40 </w:t>
            </w:r>
            <w:r>
              <w:rPr>
                <w:rFonts w:ascii="Times New Roman" w:cs="Times New Roman" w:eastAsia="Times New Roman" w:hAnsi="Times New Roman"/>
                <w:sz w:val="26"/>
                <w:szCs w:val="26"/>
                <w:color w:val="auto"/>
                <w:vertAlign w:val="subscript"/>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62,133</w:t>
            </w:r>
          </w:p>
        </w:tc>
        <w:tc>
          <w:tcPr>
            <w:tcW w:w="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82,845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88,022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8.50 %</w:t>
            </w:r>
          </w:p>
        </w:tc>
        <w:tc>
          <w:tcPr>
            <w:tcW w:w="0" w:type="dxa"/>
            <w:vAlign w:val="bottom"/>
          </w:tcPr>
          <w:p>
            <w:pPr>
              <w:spacing w:after="0"/>
              <w:rPr>
                <w:sz w:val="1"/>
                <w:szCs w:val="1"/>
                <w:color w:val="auto"/>
              </w:rPr>
            </w:pPr>
          </w:p>
        </w:tc>
      </w:tr>
      <w:tr>
        <w:trPr>
          <w:trHeight w:val="156"/>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Tier 1 Common Equity (to Risk-Weighted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138,751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46,600</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4.50 %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67,311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72,489</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7.00 %</w:t>
            </w:r>
          </w:p>
        </w:tc>
        <w:tc>
          <w:tcPr>
            <w:tcW w:w="0" w:type="dxa"/>
            <w:vAlign w:val="bottom"/>
          </w:tcPr>
          <w:p>
            <w:pPr>
              <w:spacing w:after="0"/>
              <w:rPr>
                <w:sz w:val="1"/>
                <w:szCs w:val="1"/>
                <w:color w:val="auto"/>
              </w:rPr>
            </w:pPr>
          </w:p>
        </w:tc>
      </w:tr>
      <w:tr>
        <w:trPr>
          <w:trHeight w:val="156"/>
        </w:trPr>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(to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138,751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57,398</w:t>
            </w:r>
          </w:p>
        </w:tc>
        <w:tc>
          <w:tcPr>
            <w:tcW w:w="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71,747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71,747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0" w:type="dxa"/>
            <w:vAlign w:val="bottom"/>
          </w:tcPr>
          <w:p>
            <w:pPr>
              <w:spacing w:after="0"/>
              <w:rPr>
                <w:sz w:val="1"/>
                <w:szCs w:val="1"/>
                <w:color w:val="auto"/>
              </w:rPr>
            </w:pPr>
          </w:p>
        </w:tc>
      </w:tr>
      <w:tr>
        <w:trPr>
          <w:trHeight w:val="15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 of December 31, 2023:</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Core Capital (to Risk-Weighted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155,922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82,860</w:t>
            </w:r>
          </w:p>
        </w:tc>
        <w:tc>
          <w:tcPr>
            <w:tcW w:w="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103,575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9"/>
              </w:rPr>
              <w:t>108,753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10.50 %</w:t>
            </w:r>
          </w:p>
        </w:tc>
        <w:tc>
          <w:tcPr>
            <w:tcW w:w="0" w:type="dxa"/>
            <w:vAlign w:val="bottom"/>
          </w:tcPr>
          <w:p>
            <w:pPr>
              <w:spacing w:after="0"/>
              <w:rPr>
                <w:sz w:val="1"/>
                <w:szCs w:val="1"/>
                <w:color w:val="auto"/>
              </w:rPr>
            </w:pPr>
          </w:p>
        </w:tc>
      </w:tr>
      <w:tr>
        <w:trPr>
          <w:trHeight w:val="156"/>
        </w:trPr>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(to Risk-Weighted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142,927</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62,145</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6.00 %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82,860</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88,038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8.50 %</w:t>
            </w:r>
          </w:p>
        </w:tc>
        <w:tc>
          <w:tcPr>
            <w:tcW w:w="0" w:type="dxa"/>
            <w:vAlign w:val="bottom"/>
          </w:tcPr>
          <w:p>
            <w:pPr>
              <w:spacing w:after="0"/>
              <w:rPr>
                <w:sz w:val="1"/>
                <w:szCs w:val="1"/>
                <w:color w:val="auto"/>
              </w:rPr>
            </w:pPr>
          </w:p>
        </w:tc>
      </w:tr>
      <w:tr>
        <w:trPr>
          <w:trHeight w:val="156"/>
        </w:trPr>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Equity (to Risk-Weighted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142,927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46,609</w:t>
            </w:r>
          </w:p>
        </w:tc>
        <w:tc>
          <w:tcPr>
            <w:tcW w:w="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4.50 %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67,324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72,502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7.00 %</w:t>
            </w:r>
          </w:p>
        </w:tc>
        <w:tc>
          <w:tcPr>
            <w:tcW w:w="0" w:type="dxa"/>
            <w:vAlign w:val="bottom"/>
          </w:tcPr>
          <w:p>
            <w:pPr>
              <w:spacing w:after="0"/>
              <w:rPr>
                <w:sz w:val="1"/>
                <w:szCs w:val="1"/>
                <w:color w:val="auto"/>
              </w:rPr>
            </w:pPr>
          </w:p>
        </w:tc>
      </w:tr>
      <w:tr>
        <w:trPr>
          <w:trHeight w:val="172"/>
        </w:trPr>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(to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142,927</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56,548</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4.00 %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70,685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70,685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Company’s goal is to maintain a strong capital position, consistent with the risk profile of its subsidiary bank that supports growth and expansion activities while at the same time exceeding regulatory standards. At December 31, 2024, the Bank exceeded all regulatory required minimum capital ratios and met the regulatory definition of a “well-capitalized” institution, i.e. a leverage capital ratio exceeding 5%, a Tier 1 risk-based capital ratio exceeding 6% and a total risk-based capital ratio exceeding 10%.</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INTEREST RATE DERIVATIVES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and escrow provisions protecting the at-risk party. Based on adherence to the Company’s credit standards and the presence of the netting, collateral or settlement provisions, the Company believes that the credit risk inherent in these contracts was not material at December 31, 2024. Interest rate hedging agreements are recorded at fair value as other assets or liabilities. The Company had no material derivative contracts not designated as hedging agreements at December 31, 2024 or December 31, 2023.</w:t>
      </w:r>
    </w:p>
    <w:p>
      <w:pPr>
        <w:spacing w:after="0" w:line="7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5" w:name="page106"/>
    <w:bookmarkEnd w:id="105"/>
    <w:p>
      <w:pPr>
        <w:spacing w:after="0" w:line="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As a result of interest rate fluctuations, fixed-rate assets and liabilities will appreciate or depreciate in fair value. When effectively hedged, this appreciation or depreciation will generally be offset by changes in the fair value of derivative instruments that are linked to the hedged assets and liabilities. This strategy is referred to as a fair value hedge. In a fair value hedge, the fair value of the derivative (the interest rate hedging agreement) and changes in the fair value of the hedged item are recorded in the Company’s Consolidated Statements of Condition with the corresponding gain or loss recognized in current earnings. The difference between changes in the fair value of the interest rate hedging agreements and the hedged items represents hedge ineffectiveness and is recorded as an adjustment to the interest income or interest expense of the respective hedged item in the current period.</w:t>
      </w:r>
    </w:p>
    <w:p>
      <w:pPr>
        <w:spacing w:after="0" w:line="7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a cash flow hedge.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recorded as an adjustment to the interest income or interest expense of the respective hedged item in the current period.</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strategies. Interest rate swaps involve the receipt of variable (or fixed) amounts from a counterparty in exchange for the Company making fixed (or variable)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rise in interest rates above the strike price.</w:t>
      </w:r>
    </w:p>
    <w:p>
      <w:pPr>
        <w:spacing w:after="0" w:line="7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Company records various hedges in the Consolidated Statement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December 31, 2024 and December 31,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Cumulative Amount of Fair</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Cumulative Amount of</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Value Hedging Adjustment</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Fair Value Hedging</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2280" w:type="dxa"/>
            <w:vAlign w:val="bottom"/>
            <w:gridSpan w:val="2"/>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6"/>
              </w:rPr>
              <w:t>Hedge-Adjusted Carrying</w:t>
            </w:r>
          </w:p>
        </w:tc>
        <w:tc>
          <w:tcPr>
            <w:tcW w:w="2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Subtracted from Carrying</w:t>
            </w:r>
          </w:p>
        </w:tc>
        <w:tc>
          <w:tcPr>
            <w:tcW w:w="19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Hedge-Adjusted Carrying</w:t>
            </w:r>
          </w:p>
        </w:tc>
        <w:tc>
          <w:tcPr>
            <w:tcW w:w="24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Adjustment Subtracted</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color w:val="auto"/>
                <w:w w:val="97"/>
              </w:rPr>
              <w:t>Amount of the Hedged</w:t>
            </w:r>
          </w:p>
        </w:tc>
        <w:tc>
          <w:tcPr>
            <w:tcW w:w="240" w:type="dxa"/>
            <w:vAlign w:val="bottom"/>
          </w:tcPr>
          <w:p>
            <w:pPr>
              <w:spacing w:after="0"/>
              <w:rPr>
                <w:sz w:val="15"/>
                <w:szCs w:val="15"/>
                <w:color w:val="auto"/>
              </w:rPr>
            </w:pPr>
          </w:p>
        </w:tc>
        <w:tc>
          <w:tcPr>
            <w:tcW w:w="178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Amount of the Hedged</w:t>
            </w:r>
          </w:p>
        </w:tc>
        <w:tc>
          <w:tcPr>
            <w:tcW w:w="240" w:type="dxa"/>
            <w:vAlign w:val="bottom"/>
          </w:tcPr>
          <w:p>
            <w:pPr>
              <w:spacing w:after="0"/>
              <w:rPr>
                <w:sz w:val="15"/>
                <w:szCs w:val="15"/>
                <w:color w:val="auto"/>
              </w:rPr>
            </w:pPr>
          </w:p>
        </w:tc>
        <w:tc>
          <w:tcPr>
            <w:tcW w:w="174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Amount of the Hedged</w:t>
            </w:r>
          </w:p>
        </w:tc>
        <w:tc>
          <w:tcPr>
            <w:tcW w:w="19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from Carrying Amount of</w:t>
            </w:r>
          </w:p>
        </w:tc>
        <w:tc>
          <w:tcPr>
            <w:tcW w:w="0" w:type="dxa"/>
            <w:vAlign w:val="bottom"/>
          </w:tcPr>
          <w:p>
            <w:pPr>
              <w:spacing w:after="0"/>
              <w:rPr>
                <w:sz w:val="1"/>
                <w:szCs w:val="1"/>
                <w:color w:val="auto"/>
              </w:rPr>
            </w:pPr>
          </w:p>
        </w:tc>
      </w:tr>
      <w:tr>
        <w:trPr>
          <w:trHeight w:val="180"/>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Pr>
          <w:p>
            <w:pPr>
              <w:spacing w:after="0"/>
              <w:rPr>
                <w:sz w:val="15"/>
                <w:szCs w:val="15"/>
                <w:color w:val="auto"/>
              </w:rPr>
            </w:pPr>
          </w:p>
        </w:tc>
        <w:tc>
          <w:tcPr>
            <w:tcW w:w="1780" w:type="dxa"/>
            <w:vAlign w:val="bottom"/>
          </w:tcPr>
          <w:p>
            <w:pPr>
              <w:jc w:val="center"/>
              <w:ind w:right="222"/>
              <w:spacing w:after="0" w:line="180" w:lineRule="exact"/>
              <w:rPr>
                <w:sz w:val="20"/>
                <w:szCs w:val="20"/>
                <w:color w:val="auto"/>
              </w:rPr>
            </w:pPr>
            <w:r>
              <w:rPr>
                <w:rFonts w:ascii="Times New Roman" w:cs="Times New Roman" w:eastAsia="Times New Roman" w:hAnsi="Times New Roman"/>
                <w:sz w:val="16"/>
                <w:szCs w:val="16"/>
                <w:color w:val="auto"/>
                <w:w w:val="97"/>
              </w:rPr>
              <w:t>Assets at</w:t>
            </w:r>
          </w:p>
        </w:tc>
        <w:tc>
          <w:tcPr>
            <w:tcW w:w="240" w:type="dxa"/>
            <w:vAlign w:val="bottom"/>
          </w:tcPr>
          <w:p>
            <w:pPr>
              <w:spacing w:after="0"/>
              <w:rPr>
                <w:sz w:val="15"/>
                <w:szCs w:val="15"/>
                <w:color w:val="auto"/>
              </w:rPr>
            </w:pPr>
          </w:p>
        </w:tc>
        <w:tc>
          <w:tcPr>
            <w:tcW w:w="17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6"/>
              </w:rPr>
              <w:t>Assets at December 31,</w:t>
            </w:r>
          </w:p>
        </w:tc>
        <w:tc>
          <w:tcPr>
            <w:tcW w:w="240" w:type="dxa"/>
            <w:vAlign w:val="bottom"/>
          </w:tcPr>
          <w:p>
            <w:pPr>
              <w:spacing w:after="0"/>
              <w:rPr>
                <w:sz w:val="15"/>
                <w:szCs w:val="15"/>
                <w:color w:val="auto"/>
              </w:rPr>
            </w:pPr>
          </w:p>
        </w:tc>
        <w:tc>
          <w:tcPr>
            <w:tcW w:w="174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color w:val="auto"/>
                <w:w w:val="97"/>
              </w:rPr>
              <w:t>Assets at</w:t>
            </w:r>
          </w:p>
        </w:tc>
        <w:tc>
          <w:tcPr>
            <w:tcW w:w="24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8"/>
              </w:rPr>
              <w:t>the Hedged Assets at</w:t>
            </w:r>
          </w:p>
        </w:tc>
        <w:tc>
          <w:tcPr>
            <w:tcW w:w="0" w:type="dxa"/>
            <w:vAlign w:val="bottom"/>
          </w:tcPr>
          <w:p>
            <w:pPr>
              <w:spacing w:after="0"/>
              <w:rPr>
                <w:sz w:val="1"/>
                <w:szCs w:val="1"/>
                <w:color w:val="auto"/>
              </w:rPr>
            </w:pPr>
          </w:p>
        </w:tc>
      </w:tr>
      <w:tr>
        <w:trPr>
          <w:trHeight w:val="190"/>
        </w:trPr>
        <w:tc>
          <w:tcPr>
            <w:tcW w:w="23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6"/>
              </w:rPr>
              <w:t>December 31, 2024</w:t>
            </w:r>
          </w:p>
        </w:tc>
        <w:tc>
          <w:tcPr>
            <w:tcW w:w="240" w:type="dxa"/>
            <w:vAlign w:val="bottom"/>
          </w:tcPr>
          <w:p>
            <w:pPr>
              <w:spacing w:after="0"/>
              <w:rPr>
                <w:sz w:val="16"/>
                <w:szCs w:val="16"/>
                <w:color w:val="auto"/>
              </w:rPr>
            </w:pPr>
          </w:p>
        </w:tc>
        <w:tc>
          <w:tcPr>
            <w:tcW w:w="178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3"/>
              </w:rPr>
              <w:t>2024</w:t>
            </w:r>
          </w:p>
        </w:tc>
        <w:tc>
          <w:tcPr>
            <w:tcW w:w="240" w:type="dxa"/>
            <w:vAlign w:val="bottom"/>
          </w:tcPr>
          <w:p>
            <w:pPr>
              <w:spacing w:after="0"/>
              <w:rPr>
                <w:sz w:val="16"/>
                <w:szCs w:val="16"/>
                <w:color w:val="auto"/>
              </w:rPr>
            </w:pPr>
          </w:p>
        </w:tc>
        <w:tc>
          <w:tcPr>
            <w:tcW w:w="174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6"/>
              </w:rPr>
              <w:t>December 31, 2023</w:t>
            </w:r>
          </w:p>
        </w:tc>
        <w:tc>
          <w:tcPr>
            <w:tcW w:w="240" w:type="dxa"/>
            <w:vAlign w:val="bottom"/>
          </w:tcPr>
          <w:p>
            <w:pPr>
              <w:spacing w:after="0"/>
              <w:rPr>
                <w:sz w:val="16"/>
                <w:szCs w:val="16"/>
                <w:color w:val="auto"/>
              </w:rPr>
            </w:pPr>
          </w:p>
        </w:tc>
        <w:tc>
          <w:tcPr>
            <w:tcW w:w="172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December 31, 2023</w:t>
            </w:r>
          </w:p>
        </w:tc>
        <w:tc>
          <w:tcPr>
            <w:tcW w:w="0" w:type="dxa"/>
            <w:vAlign w:val="bottom"/>
          </w:tcPr>
          <w:p>
            <w:pPr>
              <w:spacing w:after="0"/>
              <w:rPr>
                <w:sz w:val="1"/>
                <w:szCs w:val="1"/>
                <w:color w:val="auto"/>
              </w:rPr>
            </w:pPr>
          </w:p>
        </w:tc>
      </w:tr>
      <w:tr>
        <w:trPr>
          <w:trHeight w:val="195"/>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Line item on the balance sheet in which the hedged item is included:</w:t>
            </w: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Available-for-sale securities </w:t>
            </w:r>
            <w:r>
              <w:rPr>
                <w:rFonts w:ascii="Times New Roman" w:cs="Times New Roman" w:eastAsia="Times New Roman" w:hAnsi="Times New Roman"/>
                <w:sz w:val="20"/>
                <w:szCs w:val="20"/>
                <w:color w:val="auto"/>
                <w:vertAlign w:val="superscript"/>
              </w:rPr>
              <w:t>(1)</w:t>
            </w: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76,303</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3,199</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95,887</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3,113</w:t>
            </w:r>
          </w:p>
        </w:tc>
        <w:tc>
          <w:tcPr>
            <w:tcW w:w="0" w:type="dxa"/>
            <w:vAlign w:val="bottom"/>
          </w:tcPr>
          <w:p>
            <w:pPr>
              <w:spacing w:after="0"/>
              <w:rPr>
                <w:sz w:val="1"/>
                <w:szCs w:val="1"/>
                <w:color w:val="auto"/>
              </w:rPr>
            </w:pPr>
          </w:p>
        </w:tc>
      </w:tr>
      <w:tr>
        <w:trPr>
          <w:trHeight w:val="285"/>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Loans receivable </w:t>
            </w:r>
            <w:r>
              <w:rPr>
                <w:rFonts w:ascii="Times New Roman" w:cs="Times New Roman" w:eastAsia="Times New Roman" w:hAnsi="Times New Roman"/>
                <w:sz w:val="21"/>
                <w:szCs w:val="21"/>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133,765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2,887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156,836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360" w:right="80"/>
        <w:spacing w:after="0" w:line="231" w:lineRule="auto"/>
        <w:rPr>
          <w:sz w:val="20"/>
          <w:szCs w:val="20"/>
          <w:color w:val="auto"/>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4"/>
          <w:szCs w:val="14"/>
          <w:color w:val="auto"/>
        </w:rPr>
        <w:t>The $76.3 million net carrying amount of hedged assets represents the hedge-adjusted amortized cost basis of individually evaluated municipal and GSE-backed securities designated as the underlying assets for the hedging relationships. The notional amount of the designated hedges were $73.9 million and $89.1 million at December 31, 2024 and December 31, 2023, respectively. The fair value of the derivatives (an unrealized gain, receivable from derivative counterparties) recorded in other assets resulted in a net asset position of $3.2 million and $3.1 million at December 31, 2024 and December 31, 2023, respectively. The Company's participation in fair value hedging transactions increased investment security interest income by $2.1 million and $2.1 million in the twelve month periods ended December 31, 2024 and December 31, 2023, respectively.</w:t>
      </w:r>
    </w:p>
    <w:p>
      <w:pPr>
        <w:spacing w:after="0" w:line="151" w:lineRule="exact"/>
        <w:rPr>
          <w:sz w:val="20"/>
          <w:szCs w:val="20"/>
          <w:color w:val="auto"/>
        </w:rPr>
      </w:pPr>
    </w:p>
    <w:p>
      <w:pPr>
        <w:ind w:left="360" w:right="80"/>
        <w:spacing w:after="0" w:line="236" w:lineRule="auto"/>
        <w:rPr>
          <w:sz w:val="20"/>
          <w:szCs w:val="20"/>
          <w:color w:val="auto"/>
        </w:rPr>
      </w:pP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4"/>
          <w:szCs w:val="14"/>
          <w:color w:val="auto"/>
        </w:rPr>
        <w:t>The $ 136.7 million net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$ 128.9 million and $ 141.0 million at December 31, 2024 and December 31, 2023, respectively. At December 31, 2024, the fair value of the derivatives recorded in other assets (an unrealized loss, payable to derivative counterparties) resulted in a net asset position of $2.9 million, recorded by the Company as a component of other assets. The Company’s participation in fair value hedging transactions increased interest income by $2.3 million and $2.3 million, for the twelve month periods ended December 31, 2024 and December 31, 2023, respectively. Details of the two loan hedging strategies, in place at December 31, 2024 are presented below:</w:t>
      </w:r>
    </w:p>
    <w:p>
      <w:pPr>
        <w:spacing w:after="0" w:line="149" w:lineRule="exact"/>
        <w:rPr>
          <w:sz w:val="20"/>
          <w:szCs w:val="20"/>
          <w:color w:val="auto"/>
        </w:rPr>
      </w:pPr>
    </w:p>
    <w:p>
      <w:pPr>
        <w:ind w:left="1060" w:right="100"/>
        <w:spacing w:after="0" w:line="258"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4"/>
          <w:szCs w:val="14"/>
          <w:color w:val="auto"/>
        </w:rPr>
        <w:t>On April 7, 2023 the Bank entered into an amortizing swap transaction with an initial notional amount of $100.0 million whereby the Bank will receive the 3-month SOFR rate monthly, based on the notional amount of the swap contract at the beginning of each month until the swap transaction expires in 2035. The notional amount of the swap declines monthly according to a predetermined amortization schedule and was $78.9 million at December 31, 2024. The Bank will pay a fixed rate of 3.208% to the contract's</w:t>
      </w:r>
    </w:p>
    <w:p>
      <w:pPr>
        <w:spacing w:after="0" w:line="6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6" w:name="page107"/>
    <w:bookmarkEnd w:id="106"/>
    <w:p>
      <w:pPr>
        <w:ind w:left="1060" w:right="620"/>
        <w:spacing w:after="0" w:line="291" w:lineRule="auto"/>
        <w:rPr>
          <w:sz w:val="20"/>
          <w:szCs w:val="20"/>
          <w:color w:val="auto"/>
        </w:rPr>
      </w:pPr>
      <w:r>
        <w:rPr>
          <w:rFonts w:ascii="Times New Roman" w:cs="Times New Roman" w:eastAsia="Times New Roman" w:hAnsi="Times New Roman"/>
          <w:sz w:val="14"/>
          <w:szCs w:val="14"/>
          <w:color w:val="auto"/>
        </w:rPr>
        <w:t>counterparty throughout the life of the contract based on each month's beginning notional balance. The fair value of this swap contract was $2.7 million at December 31, 2024.</w:t>
      </w:r>
    </w:p>
    <w:p>
      <w:pPr>
        <w:spacing w:after="0" w:line="113" w:lineRule="exact"/>
        <w:rPr>
          <w:sz w:val="20"/>
          <w:szCs w:val="20"/>
          <w:color w:val="auto"/>
        </w:rPr>
      </w:pPr>
    </w:p>
    <w:p>
      <w:pPr>
        <w:ind w:left="1060" w:right="60"/>
        <w:spacing w:after="0" w:line="258"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4"/>
          <w:szCs w:val="14"/>
          <w:color w:val="auto"/>
        </w:rPr>
        <w:t>On December 7, 2023, the Bank entered into five fixed-pay interest rate swap contracts with a total notional amount of $ 50.0 million, whereby the Bank will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receive the 3-month rate SOFR monthly until the respective maturity dates of the contracts. The contracts expire in annual increments on December 1 of 2025 ($5.0 million, fixed rate of 4.463%), 2026 ($5.0 million, fixed rate of 4.136%), 2027 ($10.0 million, fixed rate of 3.973%), 2028 ($15.0 million, fixed rate of 3.887%), and 2029 ($15.0 million, fixed rate of 3.845%). The fair value of these swap contracts in aggregate was $209,000 at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pre-tax position of the Company’s derivatives designated as cash flow hedges in OCI at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tcPr>
          <w:p>
            <w:pPr>
              <w:spacing w:after="0"/>
              <w:rPr>
                <w:sz w:val="16"/>
                <w:szCs w:val="16"/>
                <w:color w:val="auto"/>
              </w:rPr>
            </w:pPr>
          </w:p>
        </w:tc>
        <w:tc>
          <w:tcPr>
            <w:tcW w:w="1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December 31, 2024</w:t>
            </w:r>
          </w:p>
        </w:tc>
        <w:tc>
          <w:tcPr>
            <w:tcW w:w="660" w:type="dxa"/>
            <w:vAlign w:val="bottom"/>
          </w:tcPr>
          <w:p>
            <w:pPr>
              <w:spacing w:after="0"/>
              <w:rPr>
                <w:sz w:val="16"/>
                <w:szCs w:val="16"/>
                <w:color w:val="auto"/>
              </w:rPr>
            </w:pPr>
          </w:p>
        </w:tc>
        <w:tc>
          <w:tcPr>
            <w:tcW w:w="1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Fair market value adjustment interest rate swap</w:t>
            </w:r>
          </w:p>
        </w:tc>
        <w:tc>
          <w:tcPr>
            <w:tcW w:w="1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w:t>
            </w:r>
          </w:p>
        </w:tc>
      </w:tr>
      <w:tr>
        <w:trPr>
          <w:trHeight w:val="256"/>
        </w:trPr>
        <w:tc>
          <w:tcPr>
            <w:tcW w:w="44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gain in comprehensive income</w:t>
            </w:r>
          </w:p>
        </w:tc>
        <w:tc>
          <w:tcPr>
            <w:tcW w:w="1900" w:type="dxa"/>
            <w:vAlign w:val="bottom"/>
            <w:tcBorders>
              <w:bottom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45</w:t>
            </w:r>
          </w:p>
        </w:tc>
      </w:tr>
    </w:tbl>
    <w:p>
      <w:pPr>
        <w:spacing w:after="0" w:line="17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realized a cash basis gain of $766,000 on that date, recorded for financial statement purposes, as a deferred gain in other assets. $458,000 of this gain will be recognized, as a reduction of interest expense, in substantially equal monthly installments through April 30, 2026 and $308,000 of this gain will be recognized, as a reduction in interest expense, in substantially equal monthly installments through April 30, 2027, which were the respective original maturity dates of the settled hedging contracts.</w:t>
      </w:r>
    </w:p>
    <w:p>
      <w:pPr>
        <w:spacing w:after="0" w:line="7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 -risk party. Based on adherence to the Company’s credit standards and the presence of the netting, collateral or settlement provisions, the Company believes that the credit risk inherent in these contracts was not material at December 31,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22: FAIR VALUE MEASUREMENTS</w:t>
      </w:r>
    </w:p>
    <w:p>
      <w:pPr>
        <w:spacing w:after="0" w:line="92"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6"/>
          <w:szCs w:val="16"/>
          <w:color w:val="auto"/>
        </w:rPr>
        <w:t xml:space="preserve">ASC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 – Quoted prices (unadjusted) for identical assets or liabilities in active markets that the entity has the ability to access as of the measurement date.</w:t>
      </w:r>
    </w:p>
    <w:p>
      <w:pPr>
        <w:spacing w:after="0" w:line="92"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 – Model-derived valuations in which one or more significant inputs or significant value drivers are unobservable.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asset’s or liability’s level within the fair value hierarchy is based on the lowest level of input that is significant to the fair value measurement.</w:t>
      </w:r>
    </w:p>
    <w:p>
      <w:pPr>
        <w:spacing w:after="0" w:line="9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used the following methods and significant assumptions to estimate fair value:</w:t>
      </w:r>
    </w:p>
    <w:p>
      <w:pPr>
        <w:spacing w:after="0" w:line="9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Investment securities: The fair values of securities available-for-sale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5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107" w:name="page108"/>
    <w:bookmarkEnd w:id="107"/>
    <w:p>
      <w:pPr>
        <w:spacing w:after="0" w:line="5"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4"/>
          <w:szCs w:val="14"/>
          <w:color w:val="auto"/>
        </w:rPr>
        <w:t>Within the AFS portfolio, the Bank holds two corporate investment securities with an aggregate amortized historical cost of $4.0 million and an aggregate fair market value of $ 4.2 million as of December 31, 2024. The securities had a valuation that is determined using published net asset values (NAV) derived by an analysis of the security’s underlying assets. The securities are comprised primarily of broadly-diversified real estate loans and are traded in secondary markets on an infrequent basis.</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6"/>
          <w:szCs w:val="16"/>
          <w:color w:val="auto"/>
        </w:rPr>
        <w:t>While these securities are redeemable through tender offers made by their respective issuers, the liquidation value of the securities may be below their stated NAVs and also subject to restrictions as to the amount of securities that can be redeemed at any single scheduled redemption. The Company anticipates that these securities will be redeemed by their respective issuers on indeterminate future dates as a consequence of the ultimate liquidation strategies employed by the management of these investments.</w:t>
      </w:r>
    </w:p>
    <w:p>
      <w:pPr>
        <w:spacing w:after="0" w:line="7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Company also holds two limited partnership investments managed by an unrelated third party with an aggregate fair market value of $4.1 million. The investments are funds comprised of marketable equity securities, primarily focused on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7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7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Individually evaluated loans: Individually evaluated loans are those loans in which the Company has measured potential credit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 -producing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Individually evaluated loans are subject to nonrecurring fair value adjustments upon initial recognition or subsequent impairment. A portion of the allowance for credit losses is allocated to individually evaluated loans if the value of such loans is deemed to be less than the unpaid balance.</w:t>
      </w:r>
    </w:p>
    <w:p>
      <w:pPr>
        <w:spacing w:after="0" w:line="23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following tables summarize assets measured at fair value on a recurring basis as of December 31, segregated by the level of valuation inputs within the hierarchy utilized to measure fair value: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2024</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9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46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2</w:t>
            </w:r>
          </w:p>
        </w:tc>
        <w:tc>
          <w:tcPr>
            <w:tcW w:w="68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3</w:t>
            </w:r>
          </w:p>
        </w:tc>
        <w:tc>
          <w:tcPr>
            <w:tcW w:w="38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7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7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70,425</w:t>
            </w:r>
          </w:p>
        </w:tc>
        <w:tc>
          <w:tcPr>
            <w:tcW w:w="68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70,425</w:t>
            </w:r>
          </w:p>
        </w:tc>
        <w:tc>
          <w:tcPr>
            <w:tcW w:w="0" w:type="dxa"/>
            <w:vAlign w:val="bottom"/>
          </w:tcPr>
          <w:p>
            <w:pPr>
              <w:spacing w:after="0"/>
              <w:rPr>
                <w:sz w:val="1"/>
                <w:szCs w:val="1"/>
                <w:color w:val="auto"/>
              </w:rPr>
            </w:pP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74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33,322</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33,322</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7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6,636</w:t>
            </w: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6,636</w:t>
            </w:r>
          </w:p>
        </w:tc>
        <w:tc>
          <w:tcPr>
            <w:tcW w:w="0" w:type="dxa"/>
            <w:vAlign w:val="bottom"/>
          </w:tcPr>
          <w:p>
            <w:pPr>
              <w:spacing w:after="0"/>
              <w:rPr>
                <w:sz w:val="1"/>
                <w:szCs w:val="1"/>
                <w:color w:val="auto"/>
              </w:rPr>
            </w:pP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74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18,487</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18,487</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7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39,171</w:t>
            </w: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39,171</w:t>
            </w:r>
          </w:p>
        </w:tc>
        <w:tc>
          <w:tcPr>
            <w:tcW w:w="0" w:type="dxa"/>
            <w:vAlign w:val="bottom"/>
          </w:tcPr>
          <w:p>
            <w:pPr>
              <w:spacing w:after="0"/>
              <w:rPr>
                <w:sz w:val="1"/>
                <w:szCs w:val="1"/>
                <w:color w:val="auto"/>
              </w:rPr>
            </w:pP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74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13,530</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13,530</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7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83,309</w:t>
            </w: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83,309</w:t>
            </w:r>
          </w:p>
        </w:tc>
        <w:tc>
          <w:tcPr>
            <w:tcW w:w="0" w:type="dxa"/>
            <w:vAlign w:val="bottom"/>
          </w:tcPr>
          <w:p>
            <w:pPr>
              <w:spacing w:after="0"/>
              <w:rPr>
                <w:sz w:val="1"/>
                <w:szCs w:val="1"/>
                <w:color w:val="auto"/>
              </w:rPr>
            </w:pPr>
          </w:p>
        </w:tc>
      </w:tr>
      <w:tr>
        <w:trPr>
          <w:trHeight w:val="180"/>
        </w:trPr>
        <w:tc>
          <w:tcPr>
            <w:tcW w:w="49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7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74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7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 issuances measured at NAV</w:t>
            </w:r>
          </w:p>
        </w:tc>
        <w:tc>
          <w:tcPr>
            <w:tcW w:w="74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4,245</w:t>
            </w:r>
          </w:p>
        </w:tc>
        <w:tc>
          <w:tcPr>
            <w:tcW w:w="0" w:type="dxa"/>
            <w:vAlign w:val="bottom"/>
          </w:tcPr>
          <w:p>
            <w:pPr>
              <w:spacing w:after="0"/>
              <w:rPr>
                <w:sz w:val="1"/>
                <w:szCs w:val="1"/>
                <w:color w:val="auto"/>
              </w:rPr>
            </w:pPr>
          </w:p>
        </w:tc>
      </w:tr>
      <w:tr>
        <w:trPr>
          <w:trHeight w:val="220"/>
        </w:trPr>
        <w:tc>
          <w:tcPr>
            <w:tcW w:w="494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74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4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68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269,331</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4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74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4,076</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94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740" w:type="dxa"/>
            <w:vAlign w:val="bottom"/>
            <w:tcBorders>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6,086</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6,086</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8" w:name="page109"/>
    <w:bookmarkEnd w:id="108"/>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2023</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9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46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2</w:t>
            </w:r>
          </w:p>
        </w:tc>
        <w:tc>
          <w:tcPr>
            <w:tcW w:w="68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3</w:t>
            </w:r>
          </w:p>
        </w:tc>
        <w:tc>
          <w:tcPr>
            <w:tcW w:w="38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7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72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80,083</w:t>
            </w:r>
          </w:p>
        </w:tc>
        <w:tc>
          <w:tcPr>
            <w:tcW w:w="68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80,083</w:t>
            </w: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7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32,924</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32,924</w:t>
            </w: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7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6,576</w:t>
            </w: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6,576</w:t>
            </w: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7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19,892</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19,892</w:t>
            </w: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7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24,418</w:t>
            </w: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24,418</w:t>
            </w: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7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12,179</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12,179</w:t>
            </w: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7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78,095</w:t>
            </w: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78,095</w:t>
            </w: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7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254,167</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254,167</w:t>
            </w: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7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72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7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 issuances measured at NAV</w:t>
            </w:r>
          </w:p>
        </w:tc>
        <w:tc>
          <w:tcPr>
            <w:tcW w:w="7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220"/>
        </w:trPr>
        <w:tc>
          <w:tcPr>
            <w:tcW w:w="496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72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4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254,167</w:t>
            </w:r>
          </w:p>
        </w:tc>
        <w:tc>
          <w:tcPr>
            <w:tcW w:w="68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258,716</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6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72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3,206</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96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7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720" w:type="dxa"/>
            <w:vAlign w:val="bottom"/>
            <w:tcBorders>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5,160</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5,160</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96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Interest rate swap derivative cash flow hedges (unrealized gain carried as</w:t>
            </w:r>
          </w:p>
        </w:tc>
        <w:tc>
          <w:tcPr>
            <w:tcW w:w="7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720" w:type="dxa"/>
            <w:vAlign w:val="bottom"/>
            <w:tcBorders>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45</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tables summarize assets measured at fair value on a nonrecurring basis as of December 31, segregated by the level of valuation inputs within the hierarchy utilized to measure fair value: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December 31, 2024</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0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1</w:t>
            </w:r>
          </w:p>
        </w:tc>
        <w:tc>
          <w:tcPr>
            <w:tcW w:w="58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2</w:t>
            </w:r>
          </w:p>
        </w:tc>
        <w:tc>
          <w:tcPr>
            <w:tcW w:w="78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Level 3</w:t>
            </w:r>
          </w:p>
        </w:tc>
        <w:tc>
          <w:tcPr>
            <w:tcW w:w="5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3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Individually evaluated loans</w:t>
            </w:r>
          </w:p>
        </w:tc>
        <w:tc>
          <w:tcPr>
            <w:tcW w:w="17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13,020</w:t>
            </w:r>
          </w:p>
        </w:tc>
        <w:tc>
          <w:tcPr>
            <w:tcW w:w="54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13,020</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176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7"/>
        </w:trPr>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December 31, 2023</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8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Level 1</w:t>
            </w:r>
          </w:p>
        </w:tc>
        <w:tc>
          <w:tcPr>
            <w:tcW w:w="58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Level 2</w:t>
            </w:r>
          </w:p>
        </w:tc>
        <w:tc>
          <w:tcPr>
            <w:tcW w:w="780" w:type="dxa"/>
            <w:vAlign w:val="bottom"/>
          </w:tcPr>
          <w:p>
            <w:pPr>
              <w:spacing w:after="0"/>
              <w:rPr>
                <w:sz w:val="15"/>
                <w:szCs w:val="15"/>
                <w:color w:val="auto"/>
              </w:rPr>
            </w:pPr>
          </w:p>
        </w:tc>
        <w:tc>
          <w:tcPr>
            <w:tcW w:w="8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Level 3</w:t>
            </w:r>
          </w:p>
        </w:tc>
        <w:tc>
          <w:tcPr>
            <w:tcW w:w="5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7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9,722</w:t>
            </w:r>
          </w:p>
        </w:tc>
        <w:tc>
          <w:tcPr>
            <w:tcW w:w="5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9,722</w:t>
            </w:r>
          </w:p>
        </w:tc>
        <w:tc>
          <w:tcPr>
            <w:tcW w:w="0" w:type="dxa"/>
            <w:vAlign w:val="bottom"/>
          </w:tcPr>
          <w:p>
            <w:pPr>
              <w:spacing w:after="0"/>
              <w:rPr>
                <w:sz w:val="1"/>
                <w:szCs w:val="1"/>
                <w:color w:val="auto"/>
              </w:rPr>
            </w:pPr>
          </w:p>
        </w:tc>
      </w:tr>
      <w:tr>
        <w:trPr>
          <w:trHeight w:val="180"/>
        </w:trPr>
        <w:tc>
          <w:tcPr>
            <w:tcW w:w="30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Foreclosed real estate</w:t>
            </w:r>
          </w:p>
        </w:tc>
        <w:tc>
          <w:tcPr>
            <w:tcW w:w="17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9" w:name="page110"/>
    <w:bookmarkEnd w:id="109"/>
    <w:p>
      <w:pPr>
        <w:spacing w:after="0" w:line="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 following table presents additional quantitative information about assets measured at fair value on a nonrecurring basis and for which Level 3 inputs were used to determine fair value.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Valuation</w:t>
            </w: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Unobservable</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8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At December 31, 2024</w:t>
            </w:r>
          </w:p>
        </w:tc>
        <w:tc>
          <w:tcPr>
            <w:tcW w:w="20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Techniques</w:t>
            </w: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Input</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(Weighted Avg.)</w:t>
            </w:r>
          </w:p>
        </w:tc>
        <w:tc>
          <w:tcPr>
            <w:tcW w:w="0" w:type="dxa"/>
            <w:vAlign w:val="bottom"/>
          </w:tcPr>
          <w:p>
            <w:pPr>
              <w:spacing w:after="0"/>
              <w:rPr>
                <w:sz w:val="1"/>
                <w:szCs w:val="1"/>
                <w:color w:val="auto"/>
              </w:rPr>
            </w:pPr>
          </w:p>
        </w:tc>
      </w:tr>
      <w:tr>
        <w:trPr>
          <w:trHeight w:val="160"/>
        </w:trPr>
        <w:tc>
          <w:tcPr>
            <w:tcW w:w="192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Individually evaluated loans</w:t>
            </w:r>
          </w:p>
        </w:tc>
        <w:tc>
          <w:tcPr>
            <w:tcW w:w="2080" w:type="dxa"/>
            <w:vAlign w:val="bottom"/>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w:t>
            </w:r>
          </w:p>
        </w:tc>
        <w:tc>
          <w:tcPr>
            <w:tcW w:w="1780" w:type="dxa"/>
            <w:vAlign w:val="bottom"/>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12% - 70% (30%)</w:t>
            </w:r>
          </w:p>
        </w:tc>
        <w:tc>
          <w:tcPr>
            <w:tcW w:w="0" w:type="dxa"/>
            <w:vAlign w:val="bottom"/>
          </w:tcPr>
          <w:p>
            <w:pPr>
              <w:spacing w:after="0"/>
              <w:rPr>
                <w:sz w:val="1"/>
                <w:szCs w:val="1"/>
                <w:color w:val="auto"/>
              </w:rPr>
            </w:pPr>
          </w:p>
        </w:tc>
      </w:tr>
      <w:tr>
        <w:trPr>
          <w:trHeight w:val="188"/>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w:t>
            </w: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Costs to Sell</w:t>
            </w:r>
          </w:p>
        </w:tc>
        <w:tc>
          <w:tcPr>
            <w:tcW w:w="178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21% - 24% (22%)</w:t>
            </w:r>
          </w:p>
        </w:tc>
        <w:tc>
          <w:tcPr>
            <w:tcW w:w="0" w:type="dxa"/>
            <w:vAlign w:val="bottom"/>
          </w:tcPr>
          <w:p>
            <w:pPr>
              <w:spacing w:after="0"/>
              <w:rPr>
                <w:sz w:val="1"/>
                <w:szCs w:val="1"/>
                <w:color w:val="auto"/>
              </w:rPr>
            </w:pPr>
          </w:p>
        </w:tc>
      </w:tr>
      <w:tr>
        <w:trPr>
          <w:trHeight w:val="60"/>
        </w:trPr>
        <w:tc>
          <w:tcPr>
            <w:tcW w:w="1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478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Valuation</w:t>
            </w: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Unobservable</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8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At December 31, 2023</w:t>
            </w:r>
          </w:p>
        </w:tc>
        <w:tc>
          <w:tcPr>
            <w:tcW w:w="20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Techniques</w:t>
            </w: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Input</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(Weighted Avg.)</w:t>
            </w:r>
          </w:p>
        </w:tc>
        <w:tc>
          <w:tcPr>
            <w:tcW w:w="0" w:type="dxa"/>
            <w:vAlign w:val="bottom"/>
          </w:tcPr>
          <w:p>
            <w:pPr>
              <w:spacing w:after="0"/>
              <w:rPr>
                <w:sz w:val="1"/>
                <w:szCs w:val="1"/>
                <w:color w:val="auto"/>
              </w:rPr>
            </w:pPr>
          </w:p>
        </w:tc>
      </w:tr>
      <w:tr>
        <w:trPr>
          <w:trHeight w:val="160"/>
        </w:trPr>
        <w:tc>
          <w:tcPr>
            <w:tcW w:w="192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Individually evaluated loans</w:t>
            </w:r>
          </w:p>
        </w:tc>
        <w:tc>
          <w:tcPr>
            <w:tcW w:w="2080" w:type="dxa"/>
            <w:vAlign w:val="bottom"/>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w:t>
            </w:r>
          </w:p>
        </w:tc>
        <w:tc>
          <w:tcPr>
            <w:tcW w:w="1780" w:type="dxa"/>
            <w:vAlign w:val="bottom"/>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10% - 75% (21%)</w:t>
            </w:r>
          </w:p>
        </w:tc>
        <w:tc>
          <w:tcPr>
            <w:tcW w:w="0" w:type="dxa"/>
            <w:vAlign w:val="bottom"/>
          </w:tcPr>
          <w:p>
            <w:pPr>
              <w:spacing w:after="0"/>
              <w:rPr>
                <w:sz w:val="1"/>
                <w:szCs w:val="1"/>
                <w:color w:val="auto"/>
              </w:rPr>
            </w:pPr>
          </w:p>
        </w:tc>
      </w:tr>
      <w:tr>
        <w:trPr>
          <w:trHeight w:val="188"/>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w:t>
            </w: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Costs to Sell</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21% - 24% (22%)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Required disclosures include fair value information of financial instruments, whether or not recognized in the consolidated statement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4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5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59"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6"/>
          <w:szCs w:val="16"/>
          <w:color w:val="auto"/>
        </w:rPr>
        <w:t>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 xml:space="preserve">FASB ASC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the financial assets and liabilities were valued at a price that represents the Company’s exit price or the price at which these instruments would be sold or transferred.</w:t>
      </w:r>
    </w:p>
    <w:p>
      <w:pPr>
        <w:spacing w:after="0" w:line="56"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 The carrying amounts of these assets approximate their fair value and are classified as Level 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Home Loan Bank stock – The carrying amount of these assets approximates their fair value and are classified as Level 2.</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interest receivable and payable – The carrying amount of these assets approximates their fair value and are classified as Level 1.</w:t>
      </w:r>
    </w:p>
    <w:p>
      <w:pPr>
        <w:spacing w:after="0" w:line="92"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Deposits – The fair values disclosed for demand deposits (e.g., interest -bearing and noninterest-bearing checking, passbook savings and certain types of money management accounts) are, by definition, equal to the amount payable on demand at the reporting date (i.e., their</w:t>
      </w:r>
    </w:p>
    <w:p>
      <w:pPr>
        <w:spacing w:after="0" w:line="6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0" w:name="page111"/>
    <w:bookmarkEnd w:id="110"/>
    <w:p>
      <w:pPr>
        <w:spacing w:after="0" w:line="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carrying amounts) and are classified within Level 1 of the fair value hierarchy. Fair values for fixed- 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6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Borrowings – Fixed/variable term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amounts and fair values of the Company’s financial instruments as of December 31 are presented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ind w:right="602"/>
              <w:spacing w:after="0"/>
              <w:rPr>
                <w:sz w:val="20"/>
                <w:szCs w:val="20"/>
                <w:color w:val="auto"/>
              </w:rPr>
            </w:pPr>
            <w:r>
              <w:rPr>
                <w:rFonts w:ascii="Times New Roman" w:cs="Times New Roman" w:eastAsia="Times New Roman" w:hAnsi="Times New Roman"/>
                <w:sz w:val="16"/>
                <w:szCs w:val="16"/>
                <w:color w:val="auto"/>
              </w:rPr>
              <w:t>December 31, 2024</w:t>
            </w:r>
          </w:p>
        </w:tc>
        <w:tc>
          <w:tcPr>
            <w:tcW w:w="360" w:type="dxa"/>
            <w:vAlign w:val="bottom"/>
          </w:tcPr>
          <w:p>
            <w:pPr>
              <w:spacing w:after="0"/>
              <w:rPr>
                <w:sz w:val="16"/>
                <w:szCs w:val="16"/>
                <w:color w:val="auto"/>
              </w:rPr>
            </w:pPr>
          </w:p>
        </w:tc>
        <w:tc>
          <w:tcPr>
            <w:tcW w:w="2140" w:type="dxa"/>
            <w:vAlign w:val="bottom"/>
            <w:gridSpan w:val="3"/>
          </w:tcPr>
          <w:p>
            <w:pPr>
              <w:jc w:val="right"/>
              <w:ind w:right="562"/>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8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center"/>
              <w:ind w:left="262"/>
              <w:spacing w:after="0" w:line="180" w:lineRule="exact"/>
              <w:rPr>
                <w:sz w:val="20"/>
                <w:szCs w:val="20"/>
                <w:color w:val="auto"/>
              </w:rPr>
            </w:pPr>
            <w:r>
              <w:rPr>
                <w:rFonts w:ascii="Times New Roman" w:cs="Times New Roman" w:eastAsia="Times New Roman" w:hAnsi="Times New Roman"/>
                <w:sz w:val="16"/>
                <w:szCs w:val="16"/>
                <w:color w:val="auto"/>
                <w:w w:val="97"/>
              </w:rPr>
              <w:t>Fair Value</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Carrying</w:t>
            </w:r>
          </w:p>
        </w:tc>
        <w:tc>
          <w:tcPr>
            <w:tcW w:w="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Carrying</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193"/>
        </w:trPr>
        <w:tc>
          <w:tcPr>
            <w:tcW w:w="4060" w:type="dxa"/>
            <w:vAlign w:val="bottom"/>
            <w:vMerge w:val="continue"/>
          </w:tcPr>
          <w:p>
            <w:pPr>
              <w:spacing w:after="0"/>
              <w:rPr>
                <w:sz w:val="16"/>
                <w:szCs w:val="16"/>
                <w:color w:val="auto"/>
              </w:rPr>
            </w:pPr>
          </w:p>
        </w:tc>
        <w:tc>
          <w:tcPr>
            <w:tcW w:w="112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Hierarchy</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Amounts</w:t>
            </w:r>
          </w:p>
        </w:tc>
        <w:tc>
          <w:tcPr>
            <w:tcW w:w="320" w:type="dxa"/>
            <w:vAlign w:val="bottom"/>
          </w:tcPr>
          <w:p>
            <w:pPr>
              <w:spacing w:after="0"/>
              <w:rPr>
                <w:sz w:val="16"/>
                <w:szCs w:val="16"/>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Fair Values</w:t>
            </w:r>
          </w:p>
        </w:tc>
        <w:tc>
          <w:tcPr>
            <w:tcW w:w="36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Amounts</w:t>
            </w:r>
          </w:p>
        </w:tc>
        <w:tc>
          <w:tcPr>
            <w:tcW w:w="32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Fair Values</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Financial assets:</w:t>
            </w: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tcPr>
          <w:p>
            <w:pPr>
              <w:spacing w:after="0"/>
              <w:rPr>
                <w:sz w:val="15"/>
                <w:szCs w:val="15"/>
                <w:color w:val="auto"/>
              </w:rPr>
            </w:pPr>
          </w:p>
        </w:tc>
        <w:tc>
          <w:tcPr>
            <w:tcW w:w="3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31,572</w:t>
            </w: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31,572</w:t>
            </w:r>
          </w:p>
        </w:tc>
        <w:tc>
          <w:tcPr>
            <w:tcW w:w="3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48,732</w:t>
            </w: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48,732</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 available-for-sale</w:t>
            </w: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254,167</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254,167</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 available-for-sale</w:t>
            </w:r>
          </w:p>
        </w:tc>
        <w:tc>
          <w:tcPr>
            <w:tcW w:w="1120" w:type="dxa"/>
            <w:vAlign w:val="bottom"/>
          </w:tcPr>
          <w:p>
            <w:pPr>
              <w:jc w:val="center"/>
              <w:ind w:left="262"/>
              <w:spacing w:after="0" w:line="180" w:lineRule="exact"/>
              <w:rPr>
                <w:sz w:val="20"/>
                <w:szCs w:val="20"/>
                <w:color w:val="auto"/>
              </w:rPr>
            </w:pPr>
            <w:r>
              <w:rPr>
                <w:rFonts w:ascii="Times New Roman" w:cs="Times New Roman" w:eastAsia="Times New Roman" w:hAnsi="Times New Roman"/>
                <w:sz w:val="16"/>
                <w:szCs w:val="16"/>
                <w:color w:val="auto"/>
                <w:w w:val="97"/>
              </w:rPr>
              <w:t>NAV</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4,245</w:t>
            </w:r>
          </w:p>
        </w:tc>
        <w:tc>
          <w:tcPr>
            <w:tcW w:w="3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4,245</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4,343</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 marketable securities</w:t>
            </w:r>
          </w:p>
        </w:tc>
        <w:tc>
          <w:tcPr>
            <w:tcW w:w="1120" w:type="dxa"/>
            <w:vAlign w:val="bottom"/>
            <w:shd w:val="clear" w:color="auto" w:fill="CFF0FC"/>
          </w:tcPr>
          <w:p>
            <w:pPr>
              <w:jc w:val="center"/>
              <w:ind w:left="262"/>
              <w:spacing w:after="0" w:line="180" w:lineRule="exact"/>
              <w:rPr>
                <w:sz w:val="20"/>
                <w:szCs w:val="20"/>
                <w:color w:val="auto"/>
              </w:rPr>
            </w:pPr>
            <w:r>
              <w:rPr>
                <w:rFonts w:ascii="Times New Roman" w:cs="Times New Roman" w:eastAsia="Times New Roman" w:hAnsi="Times New Roman"/>
                <w:sz w:val="16"/>
                <w:szCs w:val="16"/>
                <w:color w:val="auto"/>
                <w:w w:val="97"/>
              </w:rPr>
              <w:t>NAV</w:t>
            </w: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4,076</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4,076</w:t>
            </w: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3,206</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3,206</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securities - held-to-maturity</w:t>
            </w:r>
          </w:p>
        </w:tc>
        <w:tc>
          <w:tcPr>
            <w:tcW w:w="1120" w:type="dxa"/>
            <w:vAlign w:val="bottom"/>
          </w:tcPr>
          <w:p>
            <w:pPr>
              <w:spacing w:after="0"/>
              <w:rPr>
                <w:sz w:val="15"/>
                <w:szCs w:val="15"/>
                <w:color w:val="auto"/>
              </w:rPr>
            </w:pPr>
          </w:p>
        </w:tc>
        <w:tc>
          <w:tcPr>
            <w:tcW w:w="3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158,683</w:t>
            </w:r>
          </w:p>
        </w:tc>
        <w:tc>
          <w:tcPr>
            <w:tcW w:w="3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151,023</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179,286</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168,034</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Federal Home Loan Bank stock</w:t>
            </w: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8,748</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8,748</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Net loans</w:t>
            </w:r>
          </w:p>
        </w:tc>
        <w:tc>
          <w:tcPr>
            <w:tcW w:w="1120" w:type="dxa"/>
            <w:vAlign w:val="bottom"/>
          </w:tcPr>
          <w:p>
            <w:pPr>
              <w:spacing w:after="0"/>
              <w:rPr>
                <w:sz w:val="15"/>
                <w:szCs w:val="15"/>
                <w:color w:val="auto"/>
              </w:rPr>
            </w:pPr>
          </w:p>
        </w:tc>
        <w:tc>
          <w:tcPr>
            <w:tcW w:w="3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901,743</w:t>
            </w:r>
          </w:p>
        </w:tc>
        <w:tc>
          <w:tcPr>
            <w:tcW w:w="3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852,743</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881,232</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823,052</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Accrued interest receivable</w:t>
            </w: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6,881</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6,881</w:t>
            </w: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7,286</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7,286</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derivative cash flow hedge receivable</w:t>
            </w:r>
          </w:p>
        </w:tc>
        <w:tc>
          <w:tcPr>
            <w:tcW w:w="1120" w:type="dxa"/>
            <w:vAlign w:val="bottom"/>
          </w:tcPr>
          <w:p>
            <w:pPr>
              <w:spacing w:after="0"/>
              <w:rPr>
                <w:sz w:val="15"/>
                <w:szCs w:val="15"/>
                <w:color w:val="auto"/>
              </w:rPr>
            </w:pPr>
          </w:p>
        </w:tc>
        <w:tc>
          <w:tcPr>
            <w:tcW w:w="3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67"/>
        </w:trPr>
        <w:tc>
          <w:tcPr>
            <w:tcW w:w="406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6"/>
                <w:szCs w:val="16"/>
                <w:color w:val="auto"/>
              </w:rPr>
              <w:t>Interest rate derivative fair value hedges receivable - AFS</w:t>
            </w:r>
          </w:p>
        </w:tc>
        <w:tc>
          <w:tcPr>
            <w:tcW w:w="1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3,199</w:t>
            </w: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3,199</w:t>
            </w: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3,113</w:t>
            </w: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3,113</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derivative fair value hedges receivable - loans</w:t>
            </w:r>
          </w:p>
        </w:tc>
        <w:tc>
          <w:tcPr>
            <w:tcW w:w="1120" w:type="dxa"/>
            <w:vAlign w:val="bottom"/>
          </w:tcPr>
          <w:p>
            <w:pPr>
              <w:spacing w:after="0"/>
              <w:rPr>
                <w:sz w:val="15"/>
                <w:szCs w:val="15"/>
                <w:color w:val="auto"/>
              </w:rPr>
            </w:pPr>
          </w:p>
        </w:tc>
        <w:tc>
          <w:tcPr>
            <w:tcW w:w="3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2,887</w:t>
            </w:r>
          </w:p>
        </w:tc>
        <w:tc>
          <w:tcPr>
            <w:tcW w:w="3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2,887</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2,047</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Financial liabilities:</w:t>
            </w: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Demand Deposits, Savings, NOW and MMDA</w:t>
            </w: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701,477</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701,477</w:t>
            </w:r>
          </w:p>
        </w:tc>
        <w:tc>
          <w:tcPr>
            <w:tcW w:w="3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607,301</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607,301</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Time Deposits</w:t>
            </w:r>
          </w:p>
        </w:tc>
        <w:tc>
          <w:tcPr>
            <w:tcW w:w="1120" w:type="dxa"/>
            <w:vAlign w:val="bottom"/>
          </w:tcPr>
          <w:p>
            <w:pPr>
              <w:spacing w:after="0"/>
              <w:rPr>
                <w:sz w:val="15"/>
                <w:szCs w:val="15"/>
                <w:color w:val="auto"/>
              </w:rPr>
            </w:pPr>
          </w:p>
        </w:tc>
        <w:tc>
          <w:tcPr>
            <w:tcW w:w="3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503,047</w:t>
            </w:r>
          </w:p>
        </w:tc>
        <w:tc>
          <w:tcPr>
            <w:tcW w:w="320" w:type="dxa"/>
            <w:vAlign w:val="bottom"/>
          </w:tcPr>
          <w:p>
            <w:pPr>
              <w:spacing w:after="0"/>
              <w:rPr>
                <w:sz w:val="15"/>
                <w:szCs w:val="15"/>
                <w:color w:val="auto"/>
              </w:rPr>
            </w:pPr>
          </w:p>
        </w:tc>
        <w:tc>
          <w:tcPr>
            <w:tcW w:w="9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500,638</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512,766</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517,514</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88,068</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87,707</w:t>
            </w: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175,599</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174,071</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Subordinated debt</w:t>
            </w:r>
          </w:p>
        </w:tc>
        <w:tc>
          <w:tcPr>
            <w:tcW w:w="1120" w:type="dxa"/>
            <w:vAlign w:val="bottom"/>
          </w:tcPr>
          <w:p>
            <w:pPr>
              <w:spacing w:after="0"/>
              <w:rPr>
                <w:sz w:val="15"/>
                <w:szCs w:val="15"/>
                <w:color w:val="auto"/>
              </w:rPr>
            </w:pPr>
          </w:p>
        </w:tc>
        <w:tc>
          <w:tcPr>
            <w:tcW w:w="3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30,107</w:t>
            </w:r>
          </w:p>
        </w:tc>
        <w:tc>
          <w:tcPr>
            <w:tcW w:w="32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25,347</w:t>
            </w:r>
          </w:p>
        </w:tc>
        <w:tc>
          <w:tcPr>
            <w:tcW w:w="36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29,914</w:t>
            </w:r>
          </w:p>
        </w:tc>
        <w:tc>
          <w:tcPr>
            <w:tcW w:w="3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28,026</w:t>
            </w:r>
          </w:p>
        </w:tc>
        <w:tc>
          <w:tcPr>
            <w:tcW w:w="0" w:type="dxa"/>
            <w:vAlign w:val="bottom"/>
          </w:tcPr>
          <w:p>
            <w:pPr>
              <w:spacing w:after="0"/>
              <w:rPr>
                <w:sz w:val="1"/>
                <w:szCs w:val="1"/>
                <w:color w:val="auto"/>
              </w:rPr>
            </w:pPr>
          </w:p>
        </w:tc>
      </w:tr>
      <w:tr>
        <w:trPr>
          <w:trHeight w:val="180"/>
        </w:trPr>
        <w:tc>
          <w:tcPr>
            <w:tcW w:w="4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Accrued interest payable</w:t>
            </w: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546</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546</w:t>
            </w: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2,245</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1" w:name="page112"/>
    <w:bookmarkEnd w:id="111"/>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23: PARENT COMPANY – FINANCIAL INFORMATION</w:t>
            </w:r>
          </w:p>
        </w:tc>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76"/>
        </w:trPr>
        <w:tc>
          <w:tcPr>
            <w:tcW w:w="8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represents the condensed financial information of Pathfinder Bancorp, Inc. as of and for the years ended December 31:</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Condition</w:t>
            </w:r>
          </w:p>
        </w:tc>
        <w:tc>
          <w:tcPr>
            <w:tcW w:w="1900" w:type="dxa"/>
            <w:vAlign w:val="bottom"/>
          </w:tcPr>
          <w:p>
            <w:pPr>
              <w:spacing w:after="0"/>
              <w:rPr>
                <w:sz w:val="23"/>
                <w:szCs w:val="23"/>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5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80"/>
        </w:trPr>
        <w:tc>
          <w:tcPr>
            <w:tcW w:w="5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w:t>
            </w:r>
          </w:p>
        </w:tc>
        <w:tc>
          <w:tcPr>
            <w:tcW w:w="19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5,604</w:t>
            </w:r>
          </w:p>
        </w:tc>
        <w:tc>
          <w:tcPr>
            <w:tcW w:w="64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5,336</w:t>
            </w:r>
          </w:p>
        </w:tc>
      </w:tr>
      <w:tr>
        <w:trPr>
          <w:trHeight w:val="180"/>
        </w:trPr>
        <w:tc>
          <w:tcPr>
            <w:tcW w:w="58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Investments, at fair value</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4,076</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3,206</w:t>
            </w:r>
          </w:p>
        </w:tc>
      </w:tr>
      <w:tr>
        <w:trPr>
          <w:trHeight w:val="180"/>
        </w:trPr>
        <w:tc>
          <w:tcPr>
            <w:tcW w:w="5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in bank subsidiary</w:t>
            </w:r>
          </w:p>
        </w:tc>
        <w:tc>
          <w:tcPr>
            <w:tcW w:w="190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140,641</w:t>
            </w:r>
          </w:p>
        </w:tc>
        <w:tc>
          <w:tcPr>
            <w:tcW w:w="6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138,704</w:t>
            </w:r>
          </w:p>
        </w:tc>
      </w:tr>
      <w:tr>
        <w:trPr>
          <w:trHeight w:val="180"/>
        </w:trPr>
        <w:tc>
          <w:tcPr>
            <w:tcW w:w="58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in non-bank subsidiary</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155</w:t>
            </w:r>
          </w:p>
        </w:tc>
      </w:tr>
      <w:tr>
        <w:trPr>
          <w:trHeight w:val="180"/>
        </w:trPr>
        <w:tc>
          <w:tcPr>
            <w:tcW w:w="5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Dividends receivable from bank subsidiary</w:t>
            </w:r>
          </w:p>
        </w:tc>
        <w:tc>
          <w:tcPr>
            <w:tcW w:w="190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1,100</w:t>
            </w:r>
          </w:p>
        </w:tc>
        <w:tc>
          <w:tcPr>
            <w:tcW w:w="6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8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Assets held-for-sale</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3,042</w:t>
            </w:r>
          </w:p>
        </w:tc>
      </w:tr>
      <w:tr>
        <w:trPr>
          <w:trHeight w:val="180"/>
        </w:trPr>
        <w:tc>
          <w:tcPr>
            <w:tcW w:w="5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90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931</w:t>
            </w:r>
          </w:p>
        </w:tc>
        <w:tc>
          <w:tcPr>
            <w:tcW w:w="6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607</w:t>
            </w:r>
          </w:p>
        </w:tc>
      </w:tr>
      <w:tr>
        <w:trPr>
          <w:trHeight w:val="180"/>
        </w:trPr>
        <w:tc>
          <w:tcPr>
            <w:tcW w:w="58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152,507</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151,050</w:t>
            </w:r>
          </w:p>
        </w:tc>
      </w:tr>
      <w:tr>
        <w:trPr>
          <w:trHeight w:val="180"/>
        </w:trPr>
        <w:tc>
          <w:tcPr>
            <w:tcW w:w="5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8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Accrued liabilities</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917</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880</w:t>
            </w:r>
          </w:p>
        </w:tc>
      </w:tr>
      <w:tr>
        <w:trPr>
          <w:trHeight w:val="180"/>
        </w:trPr>
        <w:tc>
          <w:tcPr>
            <w:tcW w:w="5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Subordinated debt</w:t>
            </w:r>
          </w:p>
        </w:tc>
        <w:tc>
          <w:tcPr>
            <w:tcW w:w="190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30,107</w:t>
            </w:r>
          </w:p>
        </w:tc>
        <w:tc>
          <w:tcPr>
            <w:tcW w:w="6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29,914</w:t>
            </w:r>
          </w:p>
        </w:tc>
      </w:tr>
      <w:tr>
        <w:trPr>
          <w:trHeight w:val="180"/>
        </w:trPr>
        <w:tc>
          <w:tcPr>
            <w:tcW w:w="58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Shareholders' equity</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121,483</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120,256</w:t>
            </w:r>
          </w:p>
        </w:tc>
      </w:tr>
      <w:tr>
        <w:trPr>
          <w:trHeight w:val="180"/>
        </w:trPr>
        <w:tc>
          <w:tcPr>
            <w:tcW w:w="5860" w:type="dxa"/>
            <w:vAlign w:val="bottom"/>
            <w:tcBorders>
              <w:bottom w:val="single" w:sz="8" w:color="auto"/>
            </w:tcBorders>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liabilities and shareholders' equity</w:t>
            </w:r>
          </w:p>
        </w:tc>
        <w:tc>
          <w:tcPr>
            <w:tcW w:w="1900" w:type="dxa"/>
            <w:vAlign w:val="bottom"/>
            <w:tcBorders>
              <w:bottom w:val="single" w:sz="8" w:color="auto"/>
            </w:tcBorders>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152,507</w:t>
            </w:r>
          </w:p>
        </w:tc>
        <w:tc>
          <w:tcPr>
            <w:tcW w:w="640" w:type="dxa"/>
            <w:vAlign w:val="bottom"/>
            <w:tcBorders>
              <w:bottom w:val="single" w:sz="8" w:color="auto"/>
            </w:tcBorders>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151,050</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45"/>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1900" w:type="dxa"/>
            <w:vAlign w:val="bottom"/>
          </w:tcPr>
          <w:p>
            <w:pPr>
              <w:spacing w:after="0"/>
              <w:rPr>
                <w:sz w:val="24"/>
                <w:szCs w:val="24"/>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5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5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Dividends from non-bank subsidiary</w:t>
            </w:r>
          </w:p>
        </w:tc>
        <w:tc>
          <w:tcPr>
            <w:tcW w:w="19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64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5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Gain (loss) on marketable securities</w:t>
            </w:r>
          </w:p>
        </w:tc>
        <w:tc>
          <w:tcPr>
            <w:tcW w:w="190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6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(255)</w:t>
            </w:r>
          </w:p>
        </w:tc>
      </w:tr>
      <w:tr>
        <w:trPr>
          <w:trHeight w:val="228"/>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sale of asset held-for-sale</w:t>
            </w:r>
          </w:p>
        </w:tc>
        <w:tc>
          <w:tcPr>
            <w:tcW w:w="19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2"/>
              <w:spacing w:after="0" w:line="228" w:lineRule="exact"/>
              <w:rPr>
                <w:sz w:val="20"/>
                <w:szCs w:val="20"/>
                <w:color w:val="auto"/>
              </w:rPr>
            </w:pPr>
            <w:r>
              <w:rPr>
                <w:rFonts w:ascii="Times New Roman" w:cs="Times New Roman" w:eastAsia="Times New Roman" w:hAnsi="Times New Roman"/>
                <w:sz w:val="14"/>
                <w:szCs w:val="14"/>
                <w:color w:val="auto"/>
              </w:rPr>
              <w:t>(36</w:t>
            </w:r>
            <w:r>
              <w:rPr>
                <w:rFonts w:ascii="Times New Roman" w:cs="Times New Roman" w:eastAsia="Times New Roman" w:hAnsi="Times New Roman"/>
                <w:sz w:val="26"/>
                <w:szCs w:val="26"/>
                <w:color w:val="auto"/>
                <w:vertAlign w:val="superscript"/>
              </w:rPr>
              <w:t>)</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5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Operating, net</w:t>
            </w:r>
          </w:p>
        </w:tc>
        <w:tc>
          <w:tcPr>
            <w:tcW w:w="1900" w:type="dxa"/>
            <w:vAlign w:val="bottom"/>
          </w:tcPr>
          <w:p>
            <w:pPr>
              <w:spacing w:after="0"/>
              <w:rPr>
                <w:sz w:val="15"/>
                <w:szCs w:val="15"/>
                <w:color w:val="auto"/>
              </w:rPr>
            </w:pPr>
          </w:p>
        </w:tc>
        <w:tc>
          <w:tcPr>
            <w:tcW w:w="11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6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192</w:t>
            </w:r>
          </w:p>
        </w:tc>
      </w:tr>
      <w:tr>
        <w:trPr>
          <w:trHeight w:val="180"/>
        </w:trPr>
        <w:tc>
          <w:tcPr>
            <w:tcW w:w="5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income</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5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1,966</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1,941</w:t>
            </w:r>
          </w:p>
        </w:tc>
      </w:tr>
      <w:tr>
        <w:trPr>
          <w:trHeight w:val="180"/>
        </w:trPr>
        <w:tc>
          <w:tcPr>
            <w:tcW w:w="5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Operating, net</w:t>
            </w:r>
          </w:p>
        </w:tc>
        <w:tc>
          <w:tcPr>
            <w:tcW w:w="1900" w:type="dxa"/>
            <w:vAlign w:val="bottom"/>
          </w:tcPr>
          <w:p>
            <w:pPr>
              <w:spacing w:after="0"/>
              <w:rPr>
                <w:sz w:val="15"/>
                <w:szCs w:val="15"/>
                <w:color w:val="auto"/>
              </w:rPr>
            </w:pPr>
          </w:p>
        </w:tc>
        <w:tc>
          <w:tcPr>
            <w:tcW w:w="11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584</w:t>
            </w:r>
          </w:p>
        </w:tc>
        <w:tc>
          <w:tcPr>
            <w:tcW w:w="6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724</w:t>
            </w:r>
          </w:p>
        </w:tc>
      </w:tr>
      <w:tr>
        <w:trPr>
          <w:trHeight w:val="180"/>
        </w:trPr>
        <w:tc>
          <w:tcPr>
            <w:tcW w:w="5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Total expenses</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2,550</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2,665</w:t>
            </w:r>
          </w:p>
        </w:tc>
      </w:tr>
      <w:tr>
        <w:trPr>
          <w:trHeight w:val="167"/>
        </w:trPr>
        <w:tc>
          <w:tcPr>
            <w:tcW w:w="586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Loss before taxes and equity in undistributed net</w:t>
            </w:r>
          </w:p>
        </w:tc>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3"/>
        </w:trPr>
        <w:tc>
          <w:tcPr>
            <w:tcW w:w="5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of subsidiaries</w:t>
            </w:r>
          </w:p>
        </w:tc>
        <w:tc>
          <w:tcPr>
            <w:tcW w:w="190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(2,304)</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180"/>
        </w:trPr>
        <w:tc>
          <w:tcPr>
            <w:tcW w:w="5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Tax benefit</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346</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557</w:t>
            </w:r>
          </w:p>
        </w:tc>
      </w:tr>
      <w:tr>
        <w:trPr>
          <w:trHeight w:val="180"/>
        </w:trPr>
        <w:tc>
          <w:tcPr>
            <w:tcW w:w="5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Loss before equity in undistributed net income of subsidiaries</w:t>
            </w:r>
          </w:p>
        </w:tc>
        <w:tc>
          <w:tcPr>
            <w:tcW w:w="1900" w:type="dxa"/>
            <w:vAlign w:val="bottom"/>
          </w:tcPr>
          <w:p>
            <w:pPr>
              <w:spacing w:after="0"/>
              <w:rPr>
                <w:sz w:val="15"/>
                <w:szCs w:val="15"/>
                <w:color w:val="auto"/>
              </w:rPr>
            </w:pPr>
          </w:p>
        </w:tc>
        <w:tc>
          <w:tcPr>
            <w:tcW w:w="11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(1,958)</w:t>
            </w:r>
          </w:p>
        </w:tc>
        <w:tc>
          <w:tcPr>
            <w:tcW w:w="6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(2,160)</w:t>
            </w:r>
          </w:p>
        </w:tc>
      </w:tr>
      <w:tr>
        <w:trPr>
          <w:trHeight w:val="180"/>
        </w:trPr>
        <w:tc>
          <w:tcPr>
            <w:tcW w:w="5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Equity in undistributed net income of subsidiaries</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5,341</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11,453</w:t>
            </w:r>
          </w:p>
        </w:tc>
      </w:tr>
      <w:tr>
        <w:trPr>
          <w:trHeight w:val="180"/>
        </w:trPr>
        <w:tc>
          <w:tcPr>
            <w:tcW w:w="5860" w:type="dxa"/>
            <w:vAlign w:val="bottom"/>
            <w:tcBorders>
              <w:bottom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1900" w:type="dxa"/>
            <w:vAlign w:val="bottom"/>
            <w:tcBorders>
              <w:bottom w:val="single" w:sz="8" w:color="auto"/>
            </w:tcBorders>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3,383</w:t>
            </w:r>
          </w:p>
        </w:tc>
        <w:tc>
          <w:tcPr>
            <w:tcW w:w="640" w:type="dxa"/>
            <w:vAlign w:val="bottom"/>
            <w:tcBorders>
              <w:bottom w:val="single" w:sz="8" w:color="auto"/>
            </w:tcBorders>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9,293</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Cash Flows</w:t>
            </w:r>
          </w:p>
        </w:tc>
        <w:tc>
          <w:tcPr>
            <w:tcW w:w="1660" w:type="dxa"/>
            <w:vAlign w:val="bottom"/>
          </w:tcPr>
          <w:p>
            <w:pPr>
              <w:spacing w:after="0"/>
              <w:rPr>
                <w:sz w:val="16"/>
                <w:szCs w:val="16"/>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1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5"/>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1660" w:type="dxa"/>
            <w:vAlign w:val="bottom"/>
            <w:shd w:val="clear" w:color="auto" w:fill="CFF0FC"/>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3,383</w:t>
            </w:r>
          </w:p>
        </w:tc>
        <w:tc>
          <w:tcPr>
            <w:tcW w:w="66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9,293</w:t>
            </w: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in undistributed net income of subsidiaries</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(5,341)</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(11,453)</w:t>
            </w: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Stock based compensation and ESOP expense</w:t>
            </w:r>
          </w:p>
        </w:tc>
        <w:tc>
          <w:tcPr>
            <w:tcW w:w="166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247</w:t>
            </w:r>
          </w:p>
        </w:tc>
        <w:tc>
          <w:tcPr>
            <w:tcW w:w="6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462</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from subordinated loan</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181</w:t>
            </w: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(Gain) loss on marketable securities</w:t>
            </w:r>
          </w:p>
        </w:tc>
        <w:tc>
          <w:tcPr>
            <w:tcW w:w="1660" w:type="dxa"/>
            <w:vAlign w:val="bottom"/>
          </w:tcPr>
          <w:p>
            <w:pPr>
              <w:spacing w:after="0"/>
              <w:rPr>
                <w:sz w:val="15"/>
                <w:szCs w:val="15"/>
                <w:color w:val="auto"/>
              </w:rPr>
            </w:pPr>
          </w:p>
        </w:tc>
        <w:tc>
          <w:tcPr>
            <w:tcW w:w="10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6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255</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(Gain) from sale of subsidiary</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(1,504)</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Loss on sale of assets held-for-sale</w:t>
            </w:r>
          </w:p>
        </w:tc>
        <w:tc>
          <w:tcPr>
            <w:tcW w:w="1660" w:type="dxa"/>
            <w:vAlign w:val="bottom"/>
          </w:tcPr>
          <w:p>
            <w:pPr>
              <w:spacing w:after="0"/>
              <w:rPr>
                <w:sz w:val="15"/>
                <w:szCs w:val="15"/>
                <w:color w:val="auto"/>
              </w:rPr>
            </w:pPr>
          </w:p>
        </w:tc>
        <w:tc>
          <w:tcPr>
            <w:tcW w:w="10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660" w:type="dxa"/>
            <w:vAlign w:val="bottom"/>
          </w:tcPr>
          <w:p>
            <w:pPr>
              <w:spacing w:after="0"/>
              <w:rPr>
                <w:sz w:val="15"/>
                <w:szCs w:val="15"/>
                <w:color w:val="auto"/>
              </w:rPr>
            </w:pPr>
          </w:p>
        </w:tc>
        <w:tc>
          <w:tcPr>
            <w:tcW w:w="10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change in other assets and liabilities</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w:t>
            </w:r>
          </w:p>
        </w:tc>
      </w:tr>
      <w:tr>
        <w:trPr>
          <w:trHeight w:val="180"/>
        </w:trPr>
        <w:tc>
          <w:tcPr>
            <w:tcW w:w="61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1660" w:type="dxa"/>
            <w:vAlign w:val="bottom"/>
          </w:tcPr>
          <w:p>
            <w:pPr>
              <w:spacing w:after="0"/>
              <w:rPr>
                <w:sz w:val="15"/>
                <w:szCs w:val="15"/>
                <w:color w:val="auto"/>
              </w:rPr>
            </w:pPr>
          </w:p>
        </w:tc>
        <w:tc>
          <w:tcPr>
            <w:tcW w:w="10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(3,184)</w:t>
            </w:r>
          </w:p>
        </w:tc>
        <w:tc>
          <w:tcPr>
            <w:tcW w:w="6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(1,110)</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Investing Activities</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 of investments</w:t>
            </w:r>
          </w:p>
        </w:tc>
        <w:tc>
          <w:tcPr>
            <w:tcW w:w="1660" w:type="dxa"/>
            <w:vAlign w:val="bottom"/>
          </w:tcPr>
          <w:p>
            <w:pPr>
              <w:spacing w:after="0"/>
              <w:rPr>
                <w:sz w:val="15"/>
                <w:szCs w:val="15"/>
                <w:color w:val="auto"/>
              </w:rPr>
            </w:pPr>
          </w:p>
        </w:tc>
        <w:tc>
          <w:tcPr>
            <w:tcW w:w="10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(673)</w:t>
            </w:r>
          </w:p>
        </w:tc>
        <w:tc>
          <w:tcPr>
            <w:tcW w:w="6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(1,598)</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Proceeds from sale of assets held-for-sale</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3,007</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Proceeds from sale of subsidiary</w:t>
            </w:r>
          </w:p>
        </w:tc>
        <w:tc>
          <w:tcPr>
            <w:tcW w:w="1660" w:type="dxa"/>
            <w:vAlign w:val="bottom"/>
          </w:tcPr>
          <w:p>
            <w:pPr>
              <w:spacing w:after="0"/>
              <w:rPr>
                <w:sz w:val="15"/>
                <w:szCs w:val="15"/>
                <w:color w:val="auto"/>
              </w:rPr>
            </w:pPr>
          </w:p>
        </w:tc>
        <w:tc>
          <w:tcPr>
            <w:tcW w:w="10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1,155</w:t>
            </w:r>
          </w:p>
        </w:tc>
        <w:tc>
          <w:tcPr>
            <w:tcW w:w="660" w:type="dxa"/>
            <w:vAlign w:val="bottom"/>
          </w:tcPr>
          <w:p>
            <w:pPr>
              <w:spacing w:after="0"/>
              <w:rPr>
                <w:sz w:val="15"/>
                <w:szCs w:val="15"/>
                <w:color w:val="auto"/>
              </w:rPr>
            </w:pPr>
          </w:p>
        </w:tc>
        <w:tc>
          <w:tcPr>
            <w:tcW w:w="10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 of premises and equipment</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616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660" w:type="dxa"/>
            <w:vAlign w:val="bottom"/>
          </w:tcPr>
          <w:p>
            <w:pPr>
              <w:spacing w:after="0"/>
              <w:rPr>
                <w:sz w:val="15"/>
                <w:szCs w:val="15"/>
                <w:color w:val="auto"/>
              </w:rPr>
            </w:pPr>
          </w:p>
        </w:tc>
        <w:tc>
          <w:tcPr>
            <w:tcW w:w="10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3,489</w:t>
            </w:r>
          </w:p>
        </w:tc>
        <w:tc>
          <w:tcPr>
            <w:tcW w:w="6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(1,589)</w:t>
            </w:r>
          </w:p>
        </w:tc>
      </w:tr>
      <w:tr>
        <w:trPr>
          <w:trHeight w:val="180"/>
        </w:trPr>
        <w:tc>
          <w:tcPr>
            <w:tcW w:w="61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Financing activities</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Proceeds from exercise of stock options</w:t>
            </w:r>
          </w:p>
        </w:tc>
        <w:tc>
          <w:tcPr>
            <w:tcW w:w="166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291</w:t>
            </w:r>
          </w:p>
        </w:tc>
        <w:tc>
          <w:tcPr>
            <w:tcW w:w="6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623</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Dividends received from subsidiary</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2,100</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dividends paid to common shareholders</w:t>
            </w:r>
          </w:p>
        </w:tc>
        <w:tc>
          <w:tcPr>
            <w:tcW w:w="1660" w:type="dxa"/>
            <w:vAlign w:val="bottom"/>
          </w:tcPr>
          <w:p>
            <w:pPr>
              <w:spacing w:after="0"/>
              <w:rPr>
                <w:sz w:val="15"/>
                <w:szCs w:val="15"/>
                <w:color w:val="auto"/>
              </w:rPr>
            </w:pPr>
          </w:p>
        </w:tc>
        <w:tc>
          <w:tcPr>
            <w:tcW w:w="10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(1,841)</w:t>
            </w:r>
          </w:p>
        </w:tc>
        <w:tc>
          <w:tcPr>
            <w:tcW w:w="6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(1,684)</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dividends paid to non-voting common shareholders</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(538)</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(497)</w:t>
            </w:r>
          </w:p>
        </w:tc>
      </w:tr>
      <w:tr>
        <w:trPr>
          <w:trHeight w:val="180"/>
        </w:trPr>
        <w:tc>
          <w:tcPr>
            <w:tcW w:w="61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dividends paid on warrants</w:t>
            </w:r>
          </w:p>
        </w:tc>
        <w:tc>
          <w:tcPr>
            <w:tcW w:w="1660" w:type="dxa"/>
            <w:vAlign w:val="bottom"/>
          </w:tcPr>
          <w:p>
            <w:pPr>
              <w:spacing w:after="0"/>
              <w:rPr>
                <w:sz w:val="15"/>
                <w:szCs w:val="15"/>
                <w:color w:val="auto"/>
              </w:rPr>
            </w:pPr>
          </w:p>
        </w:tc>
        <w:tc>
          <w:tcPr>
            <w:tcW w:w="10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6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616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(1,603)</w:t>
            </w:r>
          </w:p>
        </w:tc>
      </w:tr>
      <w:tr>
        <w:trPr>
          <w:trHeight w:val="228"/>
        </w:trPr>
        <w:tc>
          <w:tcPr>
            <w:tcW w:w="61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660" w:type="dxa"/>
            <w:vAlign w:val="bottom"/>
          </w:tcPr>
          <w:p>
            <w:pPr>
              <w:spacing w:after="0"/>
              <w:rPr>
                <w:sz w:val="19"/>
                <w:szCs w:val="19"/>
                <w:color w:val="auto"/>
              </w:rPr>
            </w:pP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268</w:t>
            </w:r>
          </w:p>
        </w:tc>
        <w:tc>
          <w:tcPr>
            <w:tcW w:w="66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Times New Roman" w:cs="Times New Roman" w:eastAsia="Times New Roman" w:hAnsi="Times New Roman"/>
                <w:sz w:val="14"/>
                <w:szCs w:val="14"/>
                <w:color w:val="auto"/>
              </w:rPr>
              <w:t>(4,302</w:t>
            </w:r>
            <w:r>
              <w:rPr>
                <w:rFonts w:ascii="Times New Roman" w:cs="Times New Roman" w:eastAsia="Times New Roman" w:hAnsi="Times New Roman"/>
                <w:sz w:val="26"/>
                <w:szCs w:val="26"/>
                <w:color w:val="auto"/>
                <w:vertAlign w:val="subscript"/>
              </w:rPr>
              <w:t>)</w:t>
            </w:r>
          </w:p>
        </w:tc>
      </w:tr>
      <w:tr>
        <w:trPr>
          <w:trHeight w:val="180"/>
        </w:trPr>
        <w:tc>
          <w:tcPr>
            <w:tcW w:w="61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16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5,336</w:t>
            </w:r>
          </w:p>
        </w:tc>
        <w:tc>
          <w:tcPr>
            <w:tcW w:w="6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9,638</w:t>
            </w:r>
          </w:p>
        </w:tc>
      </w:tr>
      <w:tr>
        <w:trPr>
          <w:trHeight w:val="180"/>
        </w:trPr>
        <w:tc>
          <w:tcPr>
            <w:tcW w:w="6160" w:type="dxa"/>
            <w:vAlign w:val="bottom"/>
            <w:tcBorders>
              <w:bottom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and cash equivalents at end of year</w:t>
            </w:r>
          </w:p>
        </w:tc>
        <w:tc>
          <w:tcPr>
            <w:tcW w:w="1660" w:type="dxa"/>
            <w:vAlign w:val="bottom"/>
            <w:tcBorders>
              <w:bottom w:val="single" w:sz="8" w:color="auto"/>
            </w:tcBorders>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5,604</w:t>
            </w:r>
          </w:p>
        </w:tc>
        <w:tc>
          <w:tcPr>
            <w:tcW w:w="660" w:type="dxa"/>
            <w:vAlign w:val="bottom"/>
            <w:tcBorders>
              <w:bottom w:val="single" w:sz="8" w:color="auto"/>
            </w:tcBorders>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5,336</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24: RELATED PARTY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ordinary course of business, the Company has granted loans to certain directors, executive officers and their affiliates (collectively referred to as “related parties”).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of the related party loans were classified as nonaccrual, past due, restructured, or potential problem loans at December 31, 2024 or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w w:val="98"/>
              </w:rPr>
              <w:t>The following represents the activity associated with loans to related parties during the years ended December 31:</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9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20" w:type="dxa"/>
            <w:vAlign w:val="bottom"/>
          </w:tcPr>
          <w:p>
            <w:pPr>
              <w:spacing w:after="0"/>
              <w:rPr>
                <w:sz w:val="24"/>
                <w:szCs w:val="24"/>
                <w:color w:val="auto"/>
              </w:rPr>
            </w:pP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7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the beginning of the year</w:t>
            </w:r>
          </w:p>
        </w:tc>
        <w:tc>
          <w:tcPr>
            <w:tcW w:w="62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32,742</w:t>
            </w:r>
          </w:p>
        </w:tc>
        <w:tc>
          <w:tcPr>
            <w:tcW w:w="64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32,531</w:t>
            </w:r>
          </w:p>
        </w:tc>
      </w:tr>
      <w:tr>
        <w:trPr>
          <w:trHeight w:val="180"/>
        </w:trPr>
        <w:tc>
          <w:tcPr>
            <w:tcW w:w="72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Originations and related party additions</w:t>
            </w:r>
          </w:p>
        </w:tc>
        <w:tc>
          <w:tcPr>
            <w:tcW w:w="620" w:type="dxa"/>
            <w:vAlign w:val="bottom"/>
          </w:tcPr>
          <w:p>
            <w:pPr>
              <w:spacing w:after="0"/>
              <w:rPr>
                <w:sz w:val="15"/>
                <w:szCs w:val="15"/>
                <w:color w:val="auto"/>
              </w:rPr>
            </w:pPr>
          </w:p>
        </w:tc>
        <w:tc>
          <w:tcPr>
            <w:tcW w:w="10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1,167</w:t>
            </w:r>
          </w:p>
        </w:tc>
        <w:tc>
          <w:tcPr>
            <w:tcW w:w="640" w:type="dxa"/>
            <w:vAlign w:val="bottom"/>
          </w:tcPr>
          <w:p>
            <w:pPr>
              <w:spacing w:after="0"/>
              <w:rPr>
                <w:sz w:val="15"/>
                <w:szCs w:val="15"/>
                <w:color w:val="auto"/>
              </w:rPr>
            </w:pPr>
          </w:p>
        </w:tc>
        <w:tc>
          <w:tcPr>
            <w:tcW w:w="10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4,360</w:t>
            </w:r>
          </w:p>
        </w:tc>
      </w:tr>
      <w:tr>
        <w:trPr>
          <w:trHeight w:val="180"/>
        </w:trPr>
        <w:tc>
          <w:tcPr>
            <w:tcW w:w="72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Principal payments and related party removals</w:t>
            </w:r>
          </w:p>
        </w:tc>
        <w:tc>
          <w:tcPr>
            <w:tcW w:w="6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(6,269)</w:t>
            </w:r>
          </w:p>
        </w:tc>
        <w:tc>
          <w:tcPr>
            <w:tcW w:w="6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(4,149)</w:t>
            </w:r>
          </w:p>
        </w:tc>
      </w:tr>
      <w:tr>
        <w:trPr>
          <w:trHeight w:val="180"/>
        </w:trPr>
        <w:tc>
          <w:tcPr>
            <w:tcW w:w="722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at the end of the year</w:t>
            </w:r>
          </w:p>
        </w:tc>
        <w:tc>
          <w:tcPr>
            <w:tcW w:w="620" w:type="dxa"/>
            <w:vAlign w:val="bottom"/>
            <w:tcBorders>
              <w:bottom w:val="single" w:sz="8" w:color="auto"/>
            </w:tcBorders>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27,640</w:t>
            </w:r>
          </w:p>
        </w:tc>
        <w:tc>
          <w:tcPr>
            <w:tcW w:w="640" w:type="dxa"/>
            <w:vAlign w:val="bottom"/>
            <w:tcBorders>
              <w:bottom w:val="single" w:sz="8" w:color="auto"/>
            </w:tcBorders>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32,742</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 accounts of each related party at December 31, 2024 and 2023 were $17.6 million and $20.0 million, respectively.</w:t>
      </w:r>
    </w:p>
    <w:p>
      <w:pPr>
        <w:spacing w:after="0" w:line="9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7" w:right="680" w:bottom="1440" w:gutter="0" w:footer="0" w:header="0"/>
        </w:sectPr>
      </w:pPr>
    </w:p>
    <w:bookmarkStart w:id="113" w:name="page114"/>
    <w:bookmarkEnd w:id="113"/>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25: BRANCH ACQUISITION</w:t>
      </w:r>
    </w:p>
    <w:p>
      <w:pPr>
        <w:spacing w:after="0" w:line="94"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Pathfinder Bank completed the purchase of the East Syracuse branch from Berkshire Bank on July 19, 2024, assuming $186.0 million in associated deposits and acquired $30.6 million in assets including $29.9 million in loans. In addition to the assets acquired, the Company recorded a core deposit intangible (“CDI”) valued at $6.3 million, and the valuation of acquired loans resulted in an estimated discount of $1.8 million.</w:t>
      </w:r>
    </w:p>
    <w:p>
      <w:pPr>
        <w:spacing w:after="0" w:line="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No loans were purchased with evidence of credit deterioration since origination and for which it is probable that all contractually required payments will not be collected and considered to be credit impaired.</w:t>
      </w:r>
    </w:p>
    <w:p>
      <w:pPr>
        <w:spacing w:after="0" w:line="59"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Acquisition related expenses of $1.6 million were recorded in the Consolidated Statements of Income. The following table sets forth assets acquired and liabilities assumed in the acquisition of the East Syracuse branch, at their estimated fair values as of the closing date of the transaction: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Data is actual, not in thousands</w:t>
            </w:r>
          </w:p>
        </w:tc>
        <w:tc>
          <w:tcPr>
            <w:tcW w:w="860" w:type="dxa"/>
            <w:vAlign w:val="bottom"/>
          </w:tcPr>
          <w:p>
            <w:pPr>
              <w:spacing w:after="0"/>
              <w:rPr>
                <w:sz w:val="16"/>
                <w:szCs w:val="16"/>
                <w:color w:val="auto"/>
              </w:rPr>
            </w:pPr>
          </w:p>
        </w:tc>
        <w:tc>
          <w:tcPr>
            <w:tcW w:w="15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 Recorded</w:t>
            </w:r>
          </w:p>
        </w:tc>
        <w:tc>
          <w:tcPr>
            <w:tcW w:w="18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 Adjustment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 Recorded</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Cash received</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149,843,537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assets acquired and liabilities assumed:</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Assets acquired:</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251,040</w:t>
            </w:r>
          </w:p>
        </w:tc>
        <w:tc>
          <w:tcPr>
            <w:tcW w:w="6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251,040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Negative deposits (classified as loans)</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28,080</w:t>
            </w: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28,080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net</w:t>
            </w:r>
          </w:p>
        </w:tc>
        <w:tc>
          <w:tcPr>
            <w:tcW w:w="860" w:type="dxa"/>
            <w:vAlign w:val="bottom"/>
          </w:tcPr>
          <w:p>
            <w:pPr>
              <w:spacing w:after="0"/>
              <w:rPr>
                <w:sz w:val="14"/>
                <w:szCs w:val="14"/>
                <w:color w:val="auto"/>
              </w:rPr>
            </w:pP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29,908,345</w:t>
            </w:r>
          </w:p>
        </w:tc>
        <w:tc>
          <w:tcPr>
            <w:tcW w:w="6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(1,843,429)</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28,064,916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interest receivable on loans</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162,388</w:t>
            </w: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162,388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860" w:type="dxa"/>
            <w:vAlign w:val="bottom"/>
          </w:tcPr>
          <w:p>
            <w:pPr>
              <w:spacing w:after="0"/>
              <w:rPr>
                <w:sz w:val="14"/>
                <w:szCs w:val="14"/>
                <w:color w:val="auto"/>
              </w:rPr>
            </w:pP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223,676</w:t>
            </w:r>
          </w:p>
        </w:tc>
        <w:tc>
          <w:tcPr>
            <w:tcW w:w="6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223,676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Core deposit intangible</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6,271,000</w:t>
            </w:r>
          </w:p>
        </w:tc>
        <w:tc>
          <w:tcPr>
            <w:tcW w:w="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6,271,000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Right-of-use asset</w:t>
            </w:r>
          </w:p>
        </w:tc>
        <w:tc>
          <w:tcPr>
            <w:tcW w:w="860" w:type="dxa"/>
            <w:vAlign w:val="bottom"/>
          </w:tcPr>
          <w:p>
            <w:pPr>
              <w:spacing w:after="0"/>
              <w:rPr>
                <w:sz w:val="14"/>
                <w:szCs w:val="14"/>
                <w:color w:val="auto"/>
              </w:rPr>
            </w:pP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12,481,680</w:t>
            </w:r>
          </w:p>
        </w:tc>
        <w:tc>
          <w:tcPr>
            <w:tcW w:w="6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493,000</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12,974,680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assets acquired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43,055,209</w:t>
            </w:r>
          </w:p>
        </w:tc>
        <w:tc>
          <w:tcPr>
            <w:tcW w:w="64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4,920,571</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47,975,780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Liabilities assumed:</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185,860,409</w:t>
            </w:r>
          </w:p>
        </w:tc>
        <w:tc>
          <w:tcPr>
            <w:tcW w:w="6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543,226</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186,403,635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interest payable on deposits</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149,948</w:t>
            </w: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149,948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liability</w:t>
            </w:r>
          </w:p>
        </w:tc>
        <w:tc>
          <w:tcPr>
            <w:tcW w:w="860" w:type="dxa"/>
            <w:vAlign w:val="bottom"/>
          </w:tcPr>
          <w:p>
            <w:pPr>
              <w:spacing w:after="0"/>
              <w:rPr>
                <w:sz w:val="14"/>
                <w:szCs w:val="14"/>
                <w:color w:val="auto"/>
              </w:rPr>
            </w:pPr>
          </w:p>
        </w:tc>
        <w:tc>
          <w:tcPr>
            <w:tcW w:w="1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12,481,680</w:t>
            </w:r>
          </w:p>
        </w:tc>
        <w:tc>
          <w:tcPr>
            <w:tcW w:w="6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12,481,680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198,492,037</w:t>
            </w:r>
          </w:p>
        </w:tc>
        <w:tc>
          <w:tcPr>
            <w:tcW w:w="64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543,226</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199,035,263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 acquired and liabilities assumed</w:t>
            </w:r>
          </w:p>
        </w:tc>
        <w:tc>
          <w:tcPr>
            <w:tcW w:w="8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(151,059,483)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80" w:type="dxa"/>
            <w:vAlign w:val="bottom"/>
            <w:tcBorders>
              <w:bottom w:val="single" w:sz="8" w:color="CFF0FC"/>
            </w:tcBorders>
            <w:shd w:val="clear" w:color="auto" w:fill="CFF0FC"/>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8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1,215,946</w:t>
            </w:r>
          </w:p>
        </w:tc>
        <w:tc>
          <w:tcPr>
            <w:tcW w:w="260" w:type="dxa"/>
            <w:vAlign w:val="bottom"/>
            <w:tcBorders>
              <w:bottom w:val="single" w:sz="8" w:color="CFF0FC"/>
            </w:tcBorders>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of revenue of the acquired business since the acquisition date, and the proforma results of operations, are not material to the financial statements.</w:t>
      </w:r>
    </w:p>
    <w:p>
      <w:pPr>
        <w:spacing w:after="0" w:line="165" w:lineRule="exact"/>
        <w:rPr>
          <w:sz w:val="20"/>
          <w:szCs w:val="20"/>
          <w:color w:val="auto"/>
        </w:rPr>
      </w:pPr>
    </w:p>
    <w:p>
      <w:pPr>
        <w:ind w:left="180" w:hanging="174"/>
        <w:spacing w:after="0"/>
        <w:tabs>
          <w:tab w:leader="none" w:pos="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to loans will be recognized as an adjustment of yield over their remaining term.</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Recording of new intangible asset for the fair value of core deposits, to be amortized on a straight-line basis over a ten year period. The weighted average amortization period is 6.4 years.</w:t>
      </w:r>
    </w:p>
    <w:p>
      <w:pPr>
        <w:spacing w:after="0" w:line="6" w:lineRule="exact"/>
        <w:rPr>
          <w:rFonts w:ascii="Times New Roman" w:cs="Times New Roman" w:eastAsia="Times New Roman" w:hAnsi="Times New Roman"/>
          <w:sz w:val="13"/>
          <w:szCs w:val="13"/>
          <w:color w:val="auto"/>
        </w:rPr>
      </w:pPr>
    </w:p>
    <w:p>
      <w:pPr>
        <w:ind w:left="180" w:hanging="174"/>
        <w:spacing w:after="0"/>
        <w:tabs>
          <w:tab w:leader="none" w:pos="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right-of-use asset was initially measured at an amount equal to the lease liability and includes an adjustment for favorable lease terms when compared with market terms.</w:t>
      </w:r>
    </w:p>
    <w:p>
      <w:pPr>
        <w:spacing w:after="0" w:line="6"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to deposits will be recognized as an adjustment of yield over their remaining term.</w:t>
      </w:r>
    </w:p>
    <w:p>
      <w:pPr>
        <w:spacing w:after="0" w:line="6" w:lineRule="exact"/>
        <w:rPr>
          <w:rFonts w:ascii="Times New Roman" w:cs="Times New Roman" w:eastAsia="Times New Roman" w:hAnsi="Times New Roman"/>
          <w:sz w:val="13"/>
          <w:szCs w:val="13"/>
          <w:color w:val="auto"/>
        </w:rPr>
      </w:pPr>
    </w:p>
    <w:p>
      <w:pPr>
        <w:ind w:left="220" w:hanging="214"/>
        <w:spacing w:after="0"/>
        <w:tabs>
          <w:tab w:leader="none" w:pos="2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amount of goodwill that is expected to be deductible for tax purposes.</w:t>
      </w:r>
    </w:p>
    <w:p>
      <w:pPr>
        <w:spacing w:after="0" w:line="24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estimated fair values of the assets and liabilities, including identifiable intangible assets, are subject to refinement. Subsequent adjustments to the estimated fair values of assets acquired and liabilities assumed, and the resulting goodwill, is allowed for a period of up to one year after the acquisition date for new information that becomes available after the acquisition date.</w:t>
      </w:r>
    </w:p>
    <w:p>
      <w:pPr>
        <w:spacing w:after="0" w:line="6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4" w:name="page115"/>
    <w:bookmarkEnd w:id="114"/>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26: ACCUMULATED OTHER COMPREHENSIVE INCOME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accumulated other comprehensive income (loss) (“AOCI”), net of tax, for the periods indicated are summarized in the table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tcPr>
          <w:p>
            <w:pPr>
              <w:spacing w:after="0"/>
              <w:rPr>
                <w:sz w:val="16"/>
                <w:szCs w:val="16"/>
                <w:color w:val="auto"/>
              </w:rPr>
            </w:pPr>
          </w:p>
        </w:tc>
        <w:tc>
          <w:tcPr>
            <w:tcW w:w="264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For the year ended December 31, 2024</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Loss on</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Unrealized Loss on</w:t>
            </w:r>
          </w:p>
        </w:tc>
        <w:tc>
          <w:tcPr>
            <w:tcW w:w="20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 Gain</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Retirement</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Available-for-Sale</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on Derivatives and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Plans</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Hedging Activities</w:t>
            </w:r>
          </w:p>
        </w:tc>
        <w:tc>
          <w:tcPr>
            <w:tcW w:w="3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(7,564)</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(9,605)</w:t>
            </w:r>
          </w:p>
        </w:tc>
        <w:tc>
          <w:tcPr>
            <w:tcW w:w="0" w:type="dxa"/>
            <w:vAlign w:val="bottom"/>
          </w:tcPr>
          <w:p>
            <w:pPr>
              <w:spacing w:after="0"/>
              <w:rPr>
                <w:sz w:val="1"/>
                <w:szCs w:val="1"/>
                <w:color w:val="auto"/>
              </w:rPr>
            </w:pPr>
          </w:p>
        </w:tc>
      </w:tr>
      <w:tr>
        <w:trPr>
          <w:trHeight w:val="168"/>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13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363</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68"/>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20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8"/>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(1,991)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(7,548)</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395</w:t>
            </w:r>
          </w:p>
        </w:tc>
        <w:tc>
          <w:tcPr>
            <w:tcW w:w="3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(9,144)</w:t>
            </w:r>
          </w:p>
        </w:tc>
        <w:tc>
          <w:tcPr>
            <w:tcW w:w="0" w:type="dxa"/>
            <w:vAlign w:val="bottom"/>
          </w:tcPr>
          <w:p>
            <w:pPr>
              <w:spacing w:after="0"/>
              <w:rPr>
                <w:sz w:val="1"/>
                <w:szCs w:val="1"/>
                <w:color w:val="auto"/>
              </w:rPr>
            </w:pPr>
          </w:p>
        </w:tc>
      </w:tr>
      <w:tr>
        <w:trPr>
          <w:trHeight w:val="356"/>
        </w:trPr>
        <w:tc>
          <w:tcPr>
            <w:tcW w:w="4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tcPr>
          <w:p>
            <w:pPr>
              <w:spacing w:after="0"/>
              <w:rPr>
                <w:sz w:val="24"/>
                <w:szCs w:val="24"/>
                <w:color w:val="auto"/>
              </w:rPr>
            </w:pPr>
          </w:p>
        </w:tc>
        <w:tc>
          <w:tcPr>
            <w:tcW w:w="264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Loss on</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Unrealized Loss on</w:t>
            </w:r>
          </w:p>
        </w:tc>
        <w:tc>
          <w:tcPr>
            <w:tcW w:w="20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 Gain</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Retirement</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Available-for-Sale</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on Derivatives and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Plans</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Hedging Activities</w:t>
            </w:r>
          </w:p>
        </w:tc>
        <w:tc>
          <w:tcPr>
            <w:tcW w:w="3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(10,127)</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382</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(12,172)</w:t>
            </w:r>
          </w:p>
        </w:tc>
        <w:tc>
          <w:tcPr>
            <w:tcW w:w="0" w:type="dxa"/>
            <w:vAlign w:val="bottom"/>
          </w:tcPr>
          <w:p>
            <w:pPr>
              <w:spacing w:after="0"/>
              <w:rPr>
                <w:sz w:val="1"/>
                <w:szCs w:val="1"/>
                <w:color w:val="auto"/>
              </w:rPr>
            </w:pPr>
          </w:p>
        </w:tc>
      </w:tr>
      <w:tr>
        <w:trPr>
          <w:trHeight w:val="188"/>
        </w:trPr>
        <w:tc>
          <w:tcPr>
            <w:tcW w:w="46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3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190</w:t>
            </w: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1,136</w:t>
            </w:r>
          </w:p>
        </w:tc>
        <w:tc>
          <w:tcPr>
            <w:tcW w:w="200" w:type="dxa"/>
            <w:vAlign w:val="bottom"/>
            <w:shd w:val="clear" w:color="auto" w:fill="CFF0FC"/>
          </w:tcPr>
          <w:p>
            <w:pPr>
              <w:spacing w:after="0"/>
              <w:rPr>
                <w:sz w:val="16"/>
                <w:szCs w:val="16"/>
                <w:color w:val="auto"/>
              </w:rPr>
            </w:pPr>
          </w:p>
        </w:tc>
        <w:tc>
          <w:tcPr>
            <w:tcW w:w="11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32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12"/>
        </w:trPr>
        <w:tc>
          <w:tcPr>
            <w:tcW w:w="4600" w:type="dxa"/>
            <w:vAlign w:val="bottom"/>
            <w:vMerge w:val="continue"/>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40" w:type="dxa"/>
            <w:vAlign w:val="bottom"/>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164</w:t>
            </w:r>
          </w:p>
        </w:tc>
        <w:tc>
          <w:tcPr>
            <w:tcW w:w="1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1,427</w:t>
            </w:r>
          </w:p>
        </w:tc>
        <w:tc>
          <w:tcPr>
            <w:tcW w:w="20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208"/>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(2,073)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(7,564)</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amounts reclassified out of each component of AOCI for the indicated annual period:</w:t>
      </w:r>
    </w:p>
    <w:p>
      <w:pPr>
        <w:spacing w:after="0" w:line="117"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3"/>
          <w:szCs w:val="13"/>
          <w:color w:val="auto"/>
        </w:rPr>
        <w:t>Amount Reclassified</w:t>
      </w:r>
    </w:p>
    <w:p>
      <w:pPr>
        <w:jc w:val="center"/>
        <w:ind w:left="7660"/>
        <w:spacing w:after="0" w:line="230" w:lineRule="auto"/>
        <w:rPr>
          <w:sz w:val="20"/>
          <w:szCs w:val="20"/>
          <w:color w:val="auto"/>
        </w:rPr>
      </w:pPr>
      <w:r>
        <w:rPr>
          <w:rFonts w:ascii="Times New Roman" w:cs="Times New Roman" w:eastAsia="Times New Roman" w:hAnsi="Times New Roman"/>
          <w:sz w:val="13"/>
          <w:szCs w:val="13"/>
          <w:color w:val="auto"/>
        </w:rPr>
        <w:t xml:space="preserve">from AOCI </w:t>
      </w:r>
      <w:r>
        <w:rPr>
          <w:rFonts w:ascii="Times New Roman" w:cs="Times New Roman" w:eastAsia="Times New Roman" w:hAnsi="Times New Roman"/>
          <w:sz w:val="16"/>
          <w:szCs w:val="16"/>
          <w:color w:val="auto"/>
          <w:vertAlign w:val="superscript"/>
        </w:rPr>
        <w:t>(1)</w:t>
      </w:r>
    </w:p>
    <w:tbl>
      <w:tblPr>
        <w:tblLayout w:type="fixed"/>
        <w:tblInd w:w="0" w:type="dxa"/>
        <w:tblCellMar>
          <w:top w:w="0" w:type="dxa"/>
          <w:left w:w="0" w:type="dxa"/>
          <w:bottom w:w="0" w:type="dxa"/>
          <w:right w:w="0" w:type="dxa"/>
        </w:tblCellMar>
      </w:tblPr>
      <w:tr>
        <w:trPr>
          <w:trHeight w:val="142"/>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(Unaudited)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2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20" w:type="dxa"/>
            <w:vAlign w:val="bottom"/>
            <w:gridSpan w:val="2"/>
          </w:tcPr>
          <w:p>
            <w:pPr>
              <w:jc w:val="right"/>
              <w:ind w:right="854"/>
              <w:spacing w:after="0" w:line="145" w:lineRule="exact"/>
              <w:rPr>
                <w:sz w:val="20"/>
                <w:szCs w:val="20"/>
                <w:color w:val="auto"/>
              </w:rPr>
            </w:pPr>
            <w:r>
              <w:rPr>
                <w:rFonts w:ascii="Times New Roman" w:cs="Times New Roman" w:eastAsia="Times New Roman" w:hAnsi="Times New Roman"/>
                <w:sz w:val="13"/>
                <w:szCs w:val="13"/>
                <w:color w:val="auto"/>
              </w:rPr>
              <w:t>For the years ended</w:t>
            </w:r>
          </w:p>
        </w:tc>
        <w:tc>
          <w:tcPr>
            <w:tcW w:w="0" w:type="dxa"/>
            <w:vAlign w:val="bottom"/>
          </w:tcPr>
          <w:p>
            <w:pPr>
              <w:spacing w:after="0"/>
              <w:rPr>
                <w:sz w:val="1"/>
                <w:szCs w:val="1"/>
                <w:color w:val="auto"/>
              </w:rPr>
            </w:pPr>
          </w:p>
        </w:tc>
      </w:tr>
      <w:tr>
        <w:trPr>
          <w:trHeight w:val="179"/>
        </w:trPr>
        <w:tc>
          <w:tcPr>
            <w:tcW w:w="29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Details about AOCI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components</w:t>
            </w:r>
          </w:p>
        </w:tc>
        <w:tc>
          <w:tcPr>
            <w:tcW w:w="41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Affected Line Item in the Statement of Income</w:t>
            </w:r>
          </w:p>
        </w:tc>
        <w:tc>
          <w:tcPr>
            <w:tcW w:w="840" w:type="dxa"/>
            <w:vAlign w:val="bottom"/>
          </w:tcPr>
          <w:p>
            <w:pPr>
              <w:spacing w:after="0"/>
              <w:rPr>
                <w:sz w:val="15"/>
                <w:szCs w:val="15"/>
                <w:color w:val="auto"/>
              </w:rPr>
            </w:pP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December 31, 2024</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9"/>
              </w:rPr>
              <w:t>December 31, 2023</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Retirement plan items</w:t>
            </w:r>
          </w:p>
        </w:tc>
        <w:tc>
          <w:tcPr>
            <w:tcW w:w="4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auto"/>
              </w:rPr>
              <w:t>Retirement plan net losses</w:t>
            </w:r>
          </w:p>
        </w:tc>
        <w:tc>
          <w:tcPr>
            <w:tcW w:w="4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920" w:type="dxa"/>
            <w:vAlign w:val="bottom"/>
          </w:tcPr>
          <w:p>
            <w:pPr>
              <w:ind w:left="120"/>
              <w:spacing w:after="0" w:line="179" w:lineRule="exact"/>
              <w:rPr>
                <w:sz w:val="20"/>
                <w:szCs w:val="20"/>
                <w:color w:val="auto"/>
              </w:rPr>
            </w:pPr>
            <w:r>
              <w:rPr>
                <w:rFonts w:ascii="Times New Roman" w:cs="Times New Roman" w:eastAsia="Times New Roman" w:hAnsi="Times New Roman"/>
                <w:sz w:val="13"/>
                <w:szCs w:val="13"/>
                <w:color w:val="auto"/>
              </w:rPr>
              <w:t xml:space="preserve">recognized in plan expenses </w:t>
            </w:r>
            <w:r>
              <w:rPr>
                <w:rFonts w:ascii="Times New Roman" w:cs="Times New Roman" w:eastAsia="Times New Roman" w:hAnsi="Times New Roman"/>
                <w:sz w:val="16"/>
                <w:szCs w:val="16"/>
                <w:color w:val="auto"/>
                <w:vertAlign w:val="superscript"/>
              </w:rPr>
              <w:t>(2)</w:t>
            </w:r>
          </w:p>
        </w:tc>
        <w:tc>
          <w:tcPr>
            <w:tcW w:w="418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(151 )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effect</w:t>
            </w:r>
          </w:p>
        </w:tc>
        <w:tc>
          <w:tcPr>
            <w:tcW w:w="418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4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39</w:t>
            </w: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6"/>
        </w:trPr>
        <w:tc>
          <w:tcPr>
            <w:tcW w:w="292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rPr>
              <w:t>(112 )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(164 )</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Available-for-sale securities</w:t>
            </w:r>
          </w:p>
        </w:tc>
        <w:tc>
          <w:tcPr>
            <w:tcW w:w="4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4180" w:type="dxa"/>
            <w:vAlign w:val="bottom"/>
          </w:tcPr>
          <w:p>
            <w:pPr>
              <w:ind w:left="1060"/>
              <w:spacing w:after="0" w:line="144" w:lineRule="exact"/>
              <w:rPr>
                <w:sz w:val="20"/>
                <w:szCs w:val="20"/>
                <w:color w:val="auto"/>
              </w:rPr>
            </w:pPr>
            <w:r>
              <w:rPr>
                <w:rFonts w:ascii="Times New Roman" w:cs="Times New Roman" w:eastAsia="Times New Roman" w:hAnsi="Times New Roman"/>
                <w:sz w:val="13"/>
                <w:szCs w:val="13"/>
                <w:color w:val="auto"/>
              </w:rPr>
              <w:t>Net losses on sales and redemptions</w:t>
            </w: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losses on sale of securities</w:t>
            </w:r>
          </w:p>
        </w:tc>
        <w:tc>
          <w:tcPr>
            <w:tcW w:w="418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of investment securities</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(137 )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effect</w:t>
            </w:r>
          </w:p>
        </w:tc>
        <w:tc>
          <w:tcPr>
            <w:tcW w:w="418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4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36</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505</w:t>
            </w:r>
          </w:p>
        </w:tc>
        <w:tc>
          <w:tcPr>
            <w:tcW w:w="0" w:type="dxa"/>
            <w:vAlign w:val="bottom"/>
          </w:tcPr>
          <w:p>
            <w:pPr>
              <w:spacing w:after="0"/>
              <w:rPr>
                <w:sz w:val="1"/>
                <w:szCs w:val="1"/>
                <w:color w:val="auto"/>
              </w:rPr>
            </w:pPr>
          </w:p>
        </w:tc>
      </w:tr>
      <w:tr>
        <w:trPr>
          <w:trHeight w:val="156"/>
        </w:trPr>
        <w:tc>
          <w:tcPr>
            <w:tcW w:w="292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rPr>
              <w:t>(101 )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3"/>
          <w:szCs w:val="13"/>
          <w:color w:val="auto"/>
        </w:rPr>
        <w:t>Amounts in parentheses indicates debits in net income.</w:t>
      </w:r>
    </w:p>
    <w:p>
      <w:pPr>
        <w:ind w:left="100"/>
        <w:spacing w:after="0"/>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3"/>
          <w:szCs w:val="13"/>
          <w:color w:val="auto"/>
        </w:rPr>
        <w:t>These items are included in net periodic pension cost. See Note 14 for additional information.</w:t>
      </w:r>
    </w:p>
    <w:p>
      <w:pPr>
        <w:spacing w:after="0" w:line="20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27: NONINTEREST INCOME</w:t>
            </w:r>
          </w:p>
        </w:tc>
        <w:tc>
          <w:tcPr>
            <w:tcW w:w="1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Company has included the following table regarding the Company’s noninterest income for the years ended December 31, 2024 and 2023:</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For the years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620" w:type="dxa"/>
            <w:vAlign w:val="bottom"/>
          </w:tcPr>
          <w:p>
            <w:pPr>
              <w:jc w:val="right"/>
              <w:ind w:right="122"/>
              <w:spacing w:after="0" w:line="178" w:lineRule="exact"/>
              <w:rPr>
                <w:sz w:val="20"/>
                <w:szCs w:val="20"/>
                <w:color w:val="auto"/>
              </w:rPr>
            </w:pPr>
            <w:r>
              <w:rPr>
                <w:rFonts w:ascii="Times New Roman" w:cs="Times New Roman" w:eastAsia="Times New Roman" w:hAnsi="Times New Roman"/>
                <w:sz w:val="16"/>
                <w:szCs w:val="16"/>
                <w:color w:val="auto"/>
              </w:rPr>
              <w:t>December 31, 2024</w:t>
            </w:r>
          </w:p>
        </w:tc>
        <w:tc>
          <w:tcPr>
            <w:tcW w:w="560" w:type="dxa"/>
            <w:vAlign w:val="bottom"/>
          </w:tcPr>
          <w:p>
            <w:pPr>
              <w:spacing w:after="0"/>
              <w:rPr>
                <w:sz w:val="15"/>
                <w:szCs w:val="15"/>
                <w:color w:val="auto"/>
              </w:rPr>
            </w:pPr>
          </w:p>
        </w:tc>
        <w:tc>
          <w:tcPr>
            <w:tcW w:w="1320" w:type="dxa"/>
            <w:vAlign w:val="bottom"/>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6"/>
              </w:rPr>
              <w:t>December 31, 2023</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charges on deposit accounts</w:t>
            </w:r>
          </w:p>
        </w:tc>
        <w:tc>
          <w:tcPr>
            <w:tcW w:w="1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Insufficient funds fees</w:t>
            </w:r>
          </w:p>
        </w:tc>
        <w:tc>
          <w:tcPr>
            <w:tcW w:w="1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819</w:t>
            </w:r>
          </w:p>
        </w:tc>
        <w:tc>
          <w:tcPr>
            <w:tcW w:w="56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Deposit related fees</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534</w:t>
            </w:r>
          </w:p>
        </w:tc>
        <w:tc>
          <w:tcPr>
            <w:tcW w:w="5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ATM fees</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80"/>
        </w:trPr>
        <w:tc>
          <w:tcPr>
            <w:tcW w:w="564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service charges on deposit accounts</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1,436</w:t>
            </w:r>
          </w:p>
        </w:tc>
        <w:tc>
          <w:tcPr>
            <w:tcW w:w="560" w:type="dxa"/>
            <w:vAlign w:val="bottom"/>
          </w:tcPr>
          <w:p>
            <w:pPr>
              <w:spacing w:after="0"/>
              <w:rPr>
                <w:sz w:val="15"/>
                <w:szCs w:val="15"/>
                <w:color w:val="auto"/>
              </w:rPr>
            </w:pPr>
          </w:p>
        </w:tc>
        <w:tc>
          <w:tcPr>
            <w:tcW w:w="13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1,249</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Fee Income</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Insurance agency revenue</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1,073</w:t>
            </w:r>
          </w:p>
        </w:tc>
        <w:tc>
          <w:tcPr>
            <w:tcW w:w="560" w:type="dxa"/>
            <w:vAlign w:val="bottom"/>
          </w:tcPr>
          <w:p>
            <w:pPr>
              <w:spacing w:after="0"/>
              <w:rPr>
                <w:sz w:val="15"/>
                <w:szCs w:val="15"/>
                <w:color w:val="auto"/>
              </w:rPr>
            </w:pPr>
          </w:p>
        </w:tc>
        <w:tc>
          <w:tcPr>
            <w:tcW w:w="13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1,304</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services revenue</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470</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ATM fees surcharge</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5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Banking house rents collected</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180"/>
        </w:trPr>
        <w:tc>
          <w:tcPr>
            <w:tcW w:w="564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fee income</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1,979</w:t>
            </w:r>
          </w:p>
        </w:tc>
        <w:tc>
          <w:tcPr>
            <w:tcW w:w="560" w:type="dxa"/>
            <w:vAlign w:val="bottom"/>
          </w:tcPr>
          <w:p>
            <w:pPr>
              <w:spacing w:after="0"/>
              <w:rPr>
                <w:sz w:val="15"/>
                <w:szCs w:val="15"/>
                <w:color w:val="auto"/>
              </w:rPr>
            </w:pPr>
          </w:p>
        </w:tc>
        <w:tc>
          <w:tcPr>
            <w:tcW w:w="13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Card income</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Debit card interchange fees</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875</w:t>
            </w:r>
          </w:p>
        </w:tc>
        <w:tc>
          <w:tcPr>
            <w:tcW w:w="5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Merchant card fees</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0"/>
        </w:trPr>
        <w:tc>
          <w:tcPr>
            <w:tcW w:w="564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card income</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936</w:t>
            </w:r>
          </w:p>
        </w:tc>
        <w:tc>
          <w:tcPr>
            <w:tcW w:w="5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165"/>
        </w:trPr>
        <w:tc>
          <w:tcPr>
            <w:tcW w:w="564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Mortgage fee income and realized gains on sales of loans</w:t>
            </w:r>
          </w:p>
        </w:tc>
        <w:tc>
          <w:tcPr>
            <w:tcW w:w="14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and foreclosed real estate</w:t>
            </w:r>
          </w:p>
        </w:tc>
        <w:tc>
          <w:tcPr>
            <w:tcW w:w="14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Loan servicing fees</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375</w:t>
            </w:r>
          </w:p>
        </w:tc>
        <w:tc>
          <w:tcPr>
            <w:tcW w:w="5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gains on sales of loans and foreclosed real estate</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67"/>
        </w:trPr>
        <w:tc>
          <w:tcPr>
            <w:tcW w:w="5640" w:type="dxa"/>
            <w:vAlign w:val="bottom"/>
          </w:tcPr>
          <w:p>
            <w:pPr>
              <w:ind w:left="260"/>
              <w:spacing w:after="0" w:line="167" w:lineRule="exact"/>
              <w:rPr>
                <w:sz w:val="20"/>
                <w:szCs w:val="20"/>
                <w:color w:val="auto"/>
              </w:rPr>
            </w:pPr>
            <w:r>
              <w:rPr>
                <w:rFonts w:ascii="Times New Roman" w:cs="Times New Roman" w:eastAsia="Times New Roman" w:hAnsi="Times New Roman"/>
                <w:sz w:val="16"/>
                <w:szCs w:val="16"/>
                <w:color w:val="auto"/>
              </w:rPr>
              <w:t>Total mortgage fee income and realized gains on sales of</w:t>
            </w: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loans and foreclosed real estate</w:t>
            </w:r>
          </w:p>
        </w:tc>
        <w:tc>
          <w:tcPr>
            <w:tcW w:w="1420" w:type="dxa"/>
            <w:vAlign w:val="bottom"/>
          </w:tcPr>
          <w:p>
            <w:pPr>
              <w:spacing w:after="0"/>
              <w:rPr>
                <w:sz w:val="16"/>
                <w:szCs w:val="16"/>
                <w:color w:val="auto"/>
              </w:rPr>
            </w:pPr>
          </w:p>
        </w:tc>
        <w:tc>
          <w:tcPr>
            <w:tcW w:w="16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562</w:t>
            </w:r>
          </w:p>
        </w:tc>
        <w:tc>
          <w:tcPr>
            <w:tcW w:w="560" w:type="dxa"/>
            <w:vAlign w:val="bottom"/>
          </w:tcPr>
          <w:p>
            <w:pPr>
              <w:spacing w:after="0"/>
              <w:rPr>
                <w:sz w:val="16"/>
                <w:szCs w:val="16"/>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4,913</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4,603</w:t>
            </w: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Earnings and gains on bank owned life insurance</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854</w:t>
            </w:r>
          </w:p>
        </w:tc>
        <w:tc>
          <w:tcPr>
            <w:tcW w:w="5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realized (losses) gains on sales and redemptions of investment securities</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realized gains (losses) on sales of marketable equity securities</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5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Gain on sale of subsidiary</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3,169</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Loss on sale of premises and equipment</w:t>
            </w:r>
          </w:p>
        </w:tc>
        <w:tc>
          <w:tcPr>
            <w:tcW w:w="1420" w:type="dxa"/>
            <w:vAlign w:val="bottom"/>
          </w:tcPr>
          <w:p>
            <w:pPr>
              <w:spacing w:after="0"/>
              <w:rPr>
                <w:sz w:val="15"/>
                <w:szCs w:val="15"/>
                <w:color w:val="auto"/>
              </w:rPr>
            </w:pPr>
          </w:p>
        </w:tc>
        <w:tc>
          <w:tcPr>
            <w:tcW w:w="16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560" w:type="dxa"/>
            <w:vAlign w:val="bottom"/>
          </w:tcPr>
          <w:p>
            <w:pPr>
              <w:spacing w:after="0"/>
              <w:rPr>
                <w:sz w:val="15"/>
                <w:szCs w:val="15"/>
                <w:color w:val="auto"/>
              </w:rPr>
            </w:pPr>
          </w:p>
        </w:tc>
        <w:tc>
          <w:tcPr>
            <w:tcW w:w="13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Non-recurring gain on lease renegotiations</w:t>
            </w:r>
          </w:p>
        </w:tc>
        <w:tc>
          <w:tcPr>
            <w:tcW w:w="1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245</w:t>
            </w:r>
          </w:p>
        </w:tc>
        <w:tc>
          <w:tcPr>
            <w:tcW w:w="5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miscellaneous income</w:t>
            </w:r>
          </w:p>
        </w:tc>
        <w:tc>
          <w:tcPr>
            <w:tcW w:w="1420" w:type="dxa"/>
            <w:vAlign w:val="bottom"/>
          </w:tcPr>
          <w:p>
            <w:pPr>
              <w:spacing w:after="0"/>
              <w:rPr>
                <w:sz w:val="15"/>
                <w:szCs w:val="15"/>
                <w:color w:val="auto"/>
              </w:rPr>
            </w:pPr>
          </w:p>
        </w:tc>
        <w:tc>
          <w:tcPr>
            <w:tcW w:w="16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267</w:t>
            </w:r>
          </w:p>
        </w:tc>
        <w:tc>
          <w:tcPr>
            <w:tcW w:w="560" w:type="dxa"/>
            <w:vAlign w:val="bottom"/>
          </w:tcPr>
          <w:p>
            <w:pPr>
              <w:spacing w:after="0"/>
              <w:rPr>
                <w:sz w:val="15"/>
                <w:szCs w:val="15"/>
                <w:color w:val="auto"/>
              </w:rPr>
            </w:pPr>
          </w:p>
        </w:tc>
        <w:tc>
          <w:tcPr>
            <w:tcW w:w="1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20"/>
        </w:trPr>
        <w:tc>
          <w:tcPr>
            <w:tcW w:w="5640" w:type="dxa"/>
            <w:vAlign w:val="bottom"/>
            <w:tcBorders>
              <w:bottom w:val="single" w:sz="8" w:color="auto"/>
            </w:tcBorders>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42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9,561</w:t>
            </w:r>
          </w:p>
        </w:tc>
        <w:tc>
          <w:tcPr>
            <w:tcW w:w="560" w:type="dxa"/>
            <w:vAlign w:val="bottom"/>
            <w:tcBorders>
              <w:bottom w:val="single" w:sz="8" w:color="auto"/>
            </w:tcBorders>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5,190</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discussion of key revenues within the scope of ASC 606:</w:t>
      </w:r>
    </w:p>
    <w:p>
      <w:pPr>
        <w:spacing w:after="0" w:line="90" w:lineRule="exact"/>
        <w:rPr>
          <w:sz w:val="20"/>
          <w:szCs w:val="20"/>
          <w:color w:val="auto"/>
        </w:rPr>
      </w:pPr>
    </w:p>
    <w:p>
      <w:pPr>
        <w:ind w:left="36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Service charges on deposit accounts –</w:t>
      </w:r>
      <w:r>
        <w:rPr>
          <w:rFonts w:ascii="Times New Roman" w:cs="Times New Roman" w:eastAsia="Times New Roman" w:hAnsi="Times New Roman"/>
          <w:sz w:val="14"/>
          <w:szCs w:val="14"/>
          <w:color w:val="auto"/>
        </w:rPr>
        <w:t xml:space="preserve"> Revenue is earned through insufficient funds fees, customer initiated activities or passage of 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54" w:lineRule="exact"/>
        <w:rPr>
          <w:sz w:val="20"/>
          <w:szCs w:val="20"/>
          <w:color w:val="auto"/>
        </w:rPr>
      </w:pPr>
    </w:p>
    <w:p>
      <w:pPr>
        <w:ind w:left="360" w:right="18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Fee income –</w:t>
      </w:r>
      <w:r>
        <w:rPr>
          <w:rFonts w:ascii="Times New Roman" w:cs="Times New Roman" w:eastAsia="Times New Roman" w:hAnsi="Times New Roman"/>
          <w:sz w:val="16"/>
          <w:szCs w:val="16"/>
          <w:color w:val="auto"/>
        </w:rPr>
        <w:t xml:space="preserve"> Revenue is earned through commissions on insurance and securities sales, ATM surcharge fees, and banking 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92" w:lineRule="exact"/>
        <w:rPr>
          <w:sz w:val="20"/>
          <w:szCs w:val="20"/>
          <w:color w:val="auto"/>
        </w:rPr>
      </w:pPr>
    </w:p>
    <w:p>
      <w:pPr>
        <w:ind w:left="360" w:right="220"/>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Card income –</w:t>
      </w:r>
      <w:r>
        <w:rPr>
          <w:rFonts w:ascii="Times New Roman" w:cs="Times New Roman" w:eastAsia="Times New Roman" w:hAnsi="Times New Roman"/>
          <w:sz w:val="14"/>
          <w:szCs w:val="14"/>
          <w:color w:val="auto"/>
        </w:rPr>
        <w:t xml:space="preserve"> Card income consists of interchange fees from consumer debit card networks and other related services. Interchange rates are set by unaffiliated card processing networks. Interchange fees are based on purchase volumes transacted and certain other factors and are recognized as transactions occur.</w:t>
      </w:r>
    </w:p>
    <w:p>
      <w:pPr>
        <w:spacing w:after="0" w:line="32" w:lineRule="exact"/>
        <w:rPr>
          <w:sz w:val="20"/>
          <w:szCs w:val="20"/>
          <w:color w:val="auto"/>
        </w:rPr>
      </w:pPr>
    </w:p>
    <w:p>
      <w:pPr>
        <w:ind w:left="360" w:right="2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Mortgage fee income and realized gain on sale of loans and foreclosed real estate</w:t>
      </w:r>
      <w:r>
        <w:rPr>
          <w:rFonts w:ascii="Times New Roman" w:cs="Times New Roman" w:eastAsia="Times New Roman" w:hAnsi="Times New Roman"/>
          <w:sz w:val="16"/>
          <w:szCs w:val="16"/>
          <w:color w:val="auto"/>
        </w:rPr>
        <w:t xml:space="preserve"> – Revenue from mortgage fee income and realized gain on sale of loans and foreclosed real estate is earned through the origination of residential and commercial mortgage</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6" w:name="page117"/>
    <w:bookmarkEnd w:id="116"/>
    <w:p>
      <w:pPr>
        <w:spacing w:after="0" w:line="259" w:lineRule="auto"/>
        <w:rPr>
          <w:sz w:val="20"/>
          <w:szCs w:val="20"/>
          <w:color w:val="auto"/>
        </w:rPr>
      </w:pPr>
      <w:r>
        <w:rPr>
          <w:rFonts w:ascii="Times New Roman" w:cs="Times New Roman" w:eastAsia="Times New Roman" w:hAnsi="Times New Roman"/>
          <w:sz w:val="16"/>
          <w:szCs w:val="16"/>
          <w:color w:val="auto"/>
        </w:rPr>
        <w:t>loans, sales of one-to-four family residential mortgage loans, sales of government guarantees portions of SBA loans, and sales of foreclosed real estate, and is earned as the individual transactions occur.</w:t>
      </w:r>
    </w:p>
    <w:p>
      <w:pPr>
        <w:spacing w:after="0" w:line="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427990</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1020" w:top="1349" w:right="1040" w:bottom="1440" w:gutter="0" w:footer="0" w:header="0"/>
        </w:sectPr>
      </w:pPr>
    </w:p>
    <w:bookmarkStart w:id="117" w:name="page118"/>
    <w:bookmarkEnd w:id="117"/>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28: LEASES</w:t>
      </w:r>
    </w:p>
    <w:p>
      <w:pPr>
        <w:spacing w:after="0" w:line="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Company has operating and finance leases for certain banking offices and land under noncancelable agreements. Our leases have remaining lease terms that vary from less than one year up to twenty-eight years, some of which include options to extend the leases for various renewal periods. All options to renew are included in the current lease term when it is reasonably certain that the renewal options will be exercised. In July 2024, the Company acquired a finance lease with a fair value of approximately $13.0 million and assumed a finance lease liability of $12.5 million in connection with the acquisition of the East Syracuse Branch from Berkshire Bank.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expense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tcPr>
          <w:p>
            <w:pPr>
              <w:spacing w:after="0"/>
              <w:rPr>
                <w:sz w:val="16"/>
                <w:szCs w:val="16"/>
                <w:color w:val="auto"/>
              </w:rPr>
            </w:pPr>
          </w:p>
        </w:tc>
        <w:tc>
          <w:tcPr>
            <w:tcW w:w="3800" w:type="dxa"/>
            <w:vAlign w:val="bottom"/>
            <w:gridSpan w:val="3"/>
          </w:tcPr>
          <w:p>
            <w:pPr>
              <w:jc w:val="right"/>
              <w:ind w:right="1362"/>
              <w:spacing w:after="0"/>
              <w:rPr>
                <w:sz w:val="20"/>
                <w:szCs w:val="20"/>
                <w:color w:val="auto"/>
              </w:rPr>
            </w:pPr>
            <w:r>
              <w:rPr>
                <w:rFonts w:ascii="Times New Roman" w:cs="Times New Roman" w:eastAsia="Times New Roman" w:hAnsi="Times New Roman"/>
                <w:sz w:val="16"/>
                <w:szCs w:val="16"/>
                <w:color w:val="auto"/>
              </w:rPr>
              <w:t>For the years ended</w:t>
            </w:r>
          </w:p>
        </w:tc>
        <w:tc>
          <w:tcPr>
            <w:tcW w:w="0" w:type="dxa"/>
            <w:vAlign w:val="bottom"/>
          </w:tcPr>
          <w:p>
            <w:pPr>
              <w:spacing w:after="0"/>
              <w:rPr>
                <w:sz w:val="1"/>
                <w:szCs w:val="1"/>
                <w:color w:val="auto"/>
              </w:rPr>
            </w:pPr>
          </w:p>
        </w:tc>
      </w:tr>
      <w:tr>
        <w:trPr>
          <w:trHeight w:val="193"/>
        </w:trPr>
        <w:tc>
          <w:tcPr>
            <w:tcW w:w="558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December 31, 2024</w:t>
            </w:r>
          </w:p>
        </w:tc>
        <w:tc>
          <w:tcPr>
            <w:tcW w:w="440" w:type="dxa"/>
            <w:vAlign w:val="bottom"/>
          </w:tcPr>
          <w:p>
            <w:pPr>
              <w:spacing w:after="0"/>
              <w:rPr>
                <w:sz w:val="16"/>
                <w:szCs w:val="16"/>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11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4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180" w:type="dxa"/>
            <w:vAlign w:val="bottom"/>
          </w:tcPr>
          <w:p>
            <w:pPr>
              <w:spacing w:after="0"/>
              <w:rPr>
                <w:sz w:val="17"/>
                <w:szCs w:val="17"/>
                <w:color w:val="auto"/>
              </w:rPr>
            </w:pPr>
          </w:p>
        </w:tc>
        <w:tc>
          <w:tcPr>
            <w:tcW w:w="1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1,019</w:t>
            </w:r>
          </w:p>
        </w:tc>
        <w:tc>
          <w:tcPr>
            <w:tcW w:w="440" w:type="dxa"/>
            <w:vAlign w:val="bottom"/>
          </w:tcPr>
          <w:p>
            <w:pPr>
              <w:spacing w:after="0"/>
              <w:rPr>
                <w:sz w:val="17"/>
                <w:szCs w:val="17"/>
                <w:color w:val="auto"/>
              </w:rPr>
            </w:pP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359"/>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cash flow information related to leases was as follows:</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tcPr>
          <w:p>
            <w:pPr>
              <w:spacing w:after="0"/>
              <w:rPr>
                <w:sz w:val="24"/>
                <w:szCs w:val="24"/>
                <w:color w:val="auto"/>
              </w:rPr>
            </w:pPr>
          </w:p>
        </w:tc>
        <w:tc>
          <w:tcPr>
            <w:tcW w:w="3800" w:type="dxa"/>
            <w:vAlign w:val="bottom"/>
            <w:gridSpan w:val="3"/>
          </w:tcPr>
          <w:p>
            <w:pPr>
              <w:jc w:val="right"/>
              <w:ind w:right="1362"/>
              <w:spacing w:after="0"/>
              <w:rPr>
                <w:sz w:val="20"/>
                <w:szCs w:val="20"/>
                <w:color w:val="auto"/>
              </w:rPr>
            </w:pPr>
            <w:r>
              <w:rPr>
                <w:rFonts w:ascii="Times New Roman" w:cs="Times New Roman" w:eastAsia="Times New Roman" w:hAnsi="Times New Roman"/>
                <w:sz w:val="16"/>
                <w:szCs w:val="16"/>
                <w:color w:val="auto"/>
              </w:rPr>
              <w:t>For the years ended</w:t>
            </w:r>
          </w:p>
        </w:tc>
        <w:tc>
          <w:tcPr>
            <w:tcW w:w="0" w:type="dxa"/>
            <w:vAlign w:val="bottom"/>
          </w:tcPr>
          <w:p>
            <w:pPr>
              <w:spacing w:after="0"/>
              <w:rPr>
                <w:sz w:val="1"/>
                <w:szCs w:val="1"/>
                <w:color w:val="auto"/>
              </w:rPr>
            </w:pPr>
          </w:p>
        </w:tc>
      </w:tr>
      <w:tr>
        <w:trPr>
          <w:trHeight w:val="193"/>
        </w:trPr>
        <w:tc>
          <w:tcPr>
            <w:tcW w:w="558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December 31, 2024</w:t>
            </w:r>
          </w:p>
        </w:tc>
        <w:tc>
          <w:tcPr>
            <w:tcW w:w="440" w:type="dxa"/>
            <w:vAlign w:val="bottom"/>
          </w:tcPr>
          <w:p>
            <w:pPr>
              <w:spacing w:after="0"/>
              <w:rPr>
                <w:sz w:val="16"/>
                <w:szCs w:val="16"/>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paid for amount included in the measurement of lease liabilities: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1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182</w:t>
            </w:r>
          </w:p>
        </w:tc>
        <w:tc>
          <w:tcPr>
            <w:tcW w:w="4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Operating cash flows from finance leases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1,019</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18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261</w:t>
            </w:r>
          </w:p>
        </w:tc>
        <w:tc>
          <w:tcPr>
            <w:tcW w:w="440" w:type="dxa"/>
            <w:vAlign w:val="bottom"/>
          </w:tcPr>
          <w:p>
            <w:pPr>
              <w:spacing w:after="0"/>
              <w:rPr>
                <w:sz w:val="17"/>
                <w:szCs w:val="17"/>
                <w:color w:val="auto"/>
              </w:rPr>
            </w:pP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359"/>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was as follows:</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lease term and discount rate)</w:t>
            </w:r>
          </w:p>
        </w:tc>
        <w:tc>
          <w:tcPr>
            <w:tcW w:w="1180" w:type="dxa"/>
            <w:vAlign w:val="bottom"/>
          </w:tcPr>
          <w:p>
            <w:pPr>
              <w:spacing w:after="0"/>
              <w:rPr>
                <w:sz w:val="24"/>
                <w:szCs w:val="24"/>
                <w:color w:val="auto"/>
              </w:rPr>
            </w:pPr>
          </w:p>
        </w:tc>
        <w:tc>
          <w:tcPr>
            <w:tcW w:w="17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December 31, 2024</w:t>
            </w:r>
          </w:p>
        </w:tc>
        <w:tc>
          <w:tcPr>
            <w:tcW w:w="440" w:type="dxa"/>
            <w:vAlign w:val="bottom"/>
          </w:tcPr>
          <w:p>
            <w:pPr>
              <w:spacing w:after="0"/>
              <w:rPr>
                <w:sz w:val="24"/>
                <w:szCs w:val="24"/>
                <w:color w:val="auto"/>
              </w:rPr>
            </w:pPr>
          </w:p>
        </w:tc>
        <w:tc>
          <w:tcPr>
            <w:tcW w:w="16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Operating Leases: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1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1,391</w:t>
            </w:r>
          </w:p>
        </w:tc>
        <w:tc>
          <w:tcPr>
            <w:tcW w:w="4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1,526</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1,591</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1,711</w:t>
            </w:r>
          </w:p>
        </w:tc>
        <w:tc>
          <w:tcPr>
            <w:tcW w:w="0" w:type="dxa"/>
            <w:vAlign w:val="bottom"/>
          </w:tcPr>
          <w:p>
            <w:pPr>
              <w:spacing w:after="0"/>
              <w:rPr>
                <w:sz w:val="1"/>
                <w:szCs w:val="1"/>
                <w:color w:val="auto"/>
              </w:rPr>
            </w:pPr>
          </w:p>
        </w:tc>
      </w:tr>
      <w:tr>
        <w:trPr>
          <w:trHeight w:val="180"/>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Finance Leases: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Finance lease right-of-use assets</w:t>
            </w:r>
          </w:p>
        </w:tc>
        <w:tc>
          <w:tcPr>
            <w:tcW w:w="11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16,676</w:t>
            </w:r>
          </w:p>
        </w:tc>
        <w:tc>
          <w:tcPr>
            <w:tcW w:w="4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4,073</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Finance lease liabilities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16,745</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180"/>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w:t>
            </w:r>
          </w:p>
        </w:tc>
        <w:tc>
          <w:tcPr>
            <w:tcW w:w="1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1180" w:type="dxa"/>
            <w:vAlign w:val="bottom"/>
          </w:tcPr>
          <w:p>
            <w:pPr>
              <w:spacing w:after="0"/>
              <w:rPr>
                <w:sz w:val="15"/>
                <w:szCs w:val="15"/>
                <w:color w:val="auto"/>
              </w:rPr>
            </w:pPr>
          </w:p>
        </w:tc>
        <w:tc>
          <w:tcPr>
            <w:tcW w:w="17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17.08 years</w:t>
            </w:r>
          </w:p>
        </w:tc>
        <w:tc>
          <w:tcPr>
            <w:tcW w:w="440" w:type="dxa"/>
            <w:vAlign w:val="bottom"/>
          </w:tcPr>
          <w:p>
            <w:pPr>
              <w:spacing w:after="0"/>
              <w:rPr>
                <w:sz w:val="15"/>
                <w:szCs w:val="15"/>
                <w:color w:val="auto"/>
              </w:rPr>
            </w:pPr>
          </w:p>
        </w:tc>
        <w:tc>
          <w:tcPr>
            <w:tcW w:w="1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17.22 years</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23.16 years</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27.35 years</w:t>
            </w:r>
          </w:p>
        </w:tc>
        <w:tc>
          <w:tcPr>
            <w:tcW w:w="0" w:type="dxa"/>
            <w:vAlign w:val="bottom"/>
          </w:tcPr>
          <w:p>
            <w:pPr>
              <w:spacing w:after="0"/>
              <w:rPr>
                <w:sz w:val="1"/>
                <w:szCs w:val="1"/>
                <w:color w:val="auto"/>
              </w:rPr>
            </w:pPr>
          </w:p>
        </w:tc>
      </w:tr>
      <w:tr>
        <w:trPr>
          <w:trHeight w:val="180"/>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1180" w:type="dxa"/>
            <w:vAlign w:val="bottom"/>
          </w:tcPr>
          <w:p>
            <w:pPr>
              <w:spacing w:after="0"/>
              <w:rPr>
                <w:sz w:val="15"/>
                <w:szCs w:val="15"/>
                <w:color w:val="auto"/>
              </w:rPr>
            </w:pPr>
          </w:p>
        </w:tc>
        <w:tc>
          <w:tcPr>
            <w:tcW w:w="1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3.90%</w:t>
            </w:r>
          </w:p>
        </w:tc>
        <w:tc>
          <w:tcPr>
            <w:tcW w:w="440" w:type="dxa"/>
            <w:vAlign w:val="bottom"/>
          </w:tcPr>
          <w:p>
            <w:pPr>
              <w:spacing w:after="0"/>
              <w:rPr>
                <w:sz w:val="15"/>
                <w:szCs w:val="15"/>
                <w:color w:val="auto"/>
              </w:rPr>
            </w:pP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8.25%</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382"/>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As of December 31, maturities of lease liabilities were as follows:</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Twelve Months Ending December 31,</w:t>
            </w:r>
          </w:p>
        </w:tc>
        <w:tc>
          <w:tcPr>
            <w:tcW w:w="11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5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tcPr>
          <w:p>
            <w:pPr>
              <w:spacing w:after="0"/>
              <w:rPr>
                <w:sz w:val="15"/>
                <w:szCs w:val="15"/>
                <w:color w:val="auto"/>
              </w:rPr>
            </w:pPr>
          </w:p>
        </w:tc>
        <w:tc>
          <w:tcPr>
            <w:tcW w:w="1760" w:type="dxa"/>
            <w:vAlign w:val="bottom"/>
          </w:tcPr>
          <w:p>
            <w:pPr>
              <w:jc w:val="right"/>
              <w:ind w:right="462"/>
              <w:spacing w:after="0" w:line="182" w:lineRule="exact"/>
              <w:rPr>
                <w:sz w:val="20"/>
                <w:szCs w:val="20"/>
                <w:color w:val="auto"/>
              </w:rPr>
            </w:pPr>
            <w:r>
              <w:rPr>
                <w:rFonts w:ascii="Times New Roman" w:cs="Times New Roman" w:eastAsia="Times New Roman" w:hAnsi="Times New Roman"/>
                <w:sz w:val="16"/>
                <w:szCs w:val="16"/>
                <w:color w:val="auto"/>
              </w:rPr>
              <w:t>Operating Leases</w:t>
            </w:r>
          </w:p>
        </w:tc>
        <w:tc>
          <w:tcPr>
            <w:tcW w:w="440" w:type="dxa"/>
            <w:vAlign w:val="bottom"/>
          </w:tcPr>
          <w:p>
            <w:pPr>
              <w:spacing w:after="0"/>
              <w:rPr>
                <w:sz w:val="15"/>
                <w:szCs w:val="15"/>
                <w:color w:val="auto"/>
              </w:rPr>
            </w:pPr>
          </w:p>
        </w:tc>
        <w:tc>
          <w:tcPr>
            <w:tcW w:w="1600" w:type="dxa"/>
            <w:vAlign w:val="bottom"/>
          </w:tcPr>
          <w:p>
            <w:pPr>
              <w:jc w:val="right"/>
              <w:ind w:right="402"/>
              <w:spacing w:after="0" w:line="182" w:lineRule="exact"/>
              <w:rPr>
                <w:sz w:val="20"/>
                <w:szCs w:val="20"/>
                <w:color w:val="auto"/>
              </w:rPr>
            </w:pPr>
            <w:r>
              <w:rPr>
                <w:rFonts w:ascii="Times New Roman" w:cs="Times New Roman" w:eastAsia="Times New Roman" w:hAnsi="Times New Roman"/>
                <w:sz w:val="16"/>
                <w:szCs w:val="16"/>
                <w:color w:val="auto"/>
              </w:rPr>
              <w:t>Finance Leases</w:t>
            </w:r>
          </w:p>
        </w:tc>
        <w:tc>
          <w:tcPr>
            <w:tcW w:w="0" w:type="dxa"/>
            <w:vAlign w:val="bottom"/>
          </w:tcPr>
          <w:p>
            <w:pPr>
              <w:spacing w:after="0"/>
              <w:rPr>
                <w:sz w:val="1"/>
                <w:szCs w:val="1"/>
                <w:color w:val="auto"/>
              </w:rPr>
            </w:pPr>
          </w:p>
        </w:tc>
      </w:tr>
      <w:tr>
        <w:trPr>
          <w:trHeight w:val="19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1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118</w:t>
            </w: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180" w:type="dxa"/>
            <w:vAlign w:val="bottom"/>
          </w:tcPr>
          <w:p>
            <w:pPr>
              <w:spacing w:after="0"/>
              <w:rPr>
                <w:sz w:val="15"/>
                <w:szCs w:val="15"/>
                <w:color w:val="auto"/>
              </w:rPr>
            </w:pPr>
          </w:p>
        </w:tc>
        <w:tc>
          <w:tcPr>
            <w:tcW w:w="17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440" w:type="dxa"/>
            <w:vAlign w:val="bottom"/>
          </w:tcPr>
          <w:p>
            <w:pPr>
              <w:spacing w:after="0"/>
              <w:rPr>
                <w:sz w:val="15"/>
                <w:szCs w:val="15"/>
                <w:color w:val="auto"/>
              </w:rPr>
            </w:pPr>
          </w:p>
        </w:tc>
        <w:tc>
          <w:tcPr>
            <w:tcW w:w="16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180" w:type="dxa"/>
            <w:vAlign w:val="bottom"/>
          </w:tcPr>
          <w:p>
            <w:pPr>
              <w:spacing w:after="0"/>
              <w:rPr>
                <w:sz w:val="15"/>
                <w:szCs w:val="15"/>
                <w:color w:val="auto"/>
              </w:rPr>
            </w:pPr>
          </w:p>
        </w:tc>
        <w:tc>
          <w:tcPr>
            <w:tcW w:w="17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440" w:type="dxa"/>
            <w:vAlign w:val="bottom"/>
          </w:tcPr>
          <w:p>
            <w:pPr>
              <w:spacing w:after="0"/>
              <w:rPr>
                <w:sz w:val="15"/>
                <w:szCs w:val="15"/>
                <w:color w:val="auto"/>
              </w:rPr>
            </w:pPr>
          </w:p>
        </w:tc>
        <w:tc>
          <w:tcPr>
            <w:tcW w:w="16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1,063</w:t>
            </w:r>
          </w:p>
        </w:tc>
        <w:tc>
          <w:tcPr>
            <w:tcW w:w="4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14,754</w:t>
            </w:r>
          </w:p>
        </w:tc>
        <w:tc>
          <w:tcPr>
            <w:tcW w:w="0" w:type="dxa"/>
            <w:vAlign w:val="bottom"/>
          </w:tcPr>
          <w:p>
            <w:pPr>
              <w:spacing w:after="0"/>
              <w:rPr>
                <w:sz w:val="1"/>
                <w:szCs w:val="1"/>
                <w:color w:val="auto"/>
              </w:rPr>
            </w:pPr>
          </w:p>
        </w:tc>
      </w:tr>
      <w:tr>
        <w:trPr>
          <w:trHeight w:val="180"/>
        </w:trPr>
        <w:tc>
          <w:tcPr>
            <w:tcW w:w="5580" w:type="dxa"/>
            <w:vAlign w:val="bottom"/>
            <w:tcBorders>
              <w:bottom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minimum lease payments</w:t>
            </w:r>
          </w:p>
        </w:tc>
        <w:tc>
          <w:tcPr>
            <w:tcW w:w="11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1,591</w:t>
            </w:r>
          </w:p>
        </w:tc>
        <w:tc>
          <w:tcPr>
            <w:tcW w:w="4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16,745</w:t>
            </w: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Company owns certain properties that it leases to unaffiliated third parties at market rates. Lease rental income was $194,000 and $206,000 for the years ended December 31, 2024 and 2023, respectively. All rental agreements with lessees are accounted for as operating leases.</w:t>
      </w:r>
    </w:p>
    <w:p>
      <w:pPr>
        <w:spacing w:after="0" w:line="6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8" w:name="page119"/>
    <w:bookmarkEnd w:id="118"/>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29: SUBSEQUENT EVENTS</w:t>
      </w:r>
    </w:p>
    <w:p>
      <w:pPr>
        <w:spacing w:after="0" w:line="9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On March 28, 2025, the Company announced that its Board of Directors had declared a cash dividend of $0.10 per common share, and a cash dividend of $0.10 per notional share for the issued Warrant. The dividend will be payable on May 9, 2025 to shareholders of record on April 18, 2025.</w:t>
      </w:r>
    </w:p>
    <w:p>
      <w:pPr>
        <w:spacing w:after="0" w:line="141" w:lineRule="exact"/>
        <w:rPr>
          <w:sz w:val="20"/>
          <w:szCs w:val="20"/>
          <w:color w:val="auto"/>
        </w:rPr>
      </w:pPr>
    </w:p>
    <w:p>
      <w:pPr>
        <w:ind w:right="172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9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Under the supervision and with the participation of our Chief Executive Officer (“CEO”) and our Chief Financial Officer (“CFO”) (the Company’s principal executive officer and principal financial officer), management conducted an evaluation (the “Evaluation”) of the effectiveness of the design and operation of our disclosure controls and procedures (as defined in Rule 13a-15(e) and 15d -15(e) under the Exchange Act) as of December 31, 2024.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connection with the filing of the Annual Report on Form 10-K as of December 31, 2024, our CEO and CFO concluded that the design and operation of our disclosure controls and procedures were effective at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did not make any changes in internal control over financial reporting during the quarter ended December 31, 2024 that materially affected, or are reasonably likely to materially affect, the Company’s internal control over financial reporting.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4"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During the fourth quarter of 2024,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58" w:lineRule="exact"/>
        <w:rPr>
          <w:sz w:val="20"/>
          <w:szCs w:val="20"/>
          <w:color w:val="auto"/>
        </w:rPr>
      </w:pPr>
    </w:p>
    <w:p>
      <w:pPr>
        <w:ind w:right="342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ITEM 9C: DISCLOSURE REGARDING FOREIGN JURISDICTIONS THAT PREVENT INSPECTIONS </w:t>
      </w:r>
      <w:r>
        <w:rPr>
          <w:rFonts w:ascii="Times New Roman" w:cs="Times New Roman" w:eastAsia="Times New Roman" w:hAnsi="Times New Roman"/>
          <w:sz w:val="16"/>
          <w:szCs w:val="16"/>
          <w:color w:val="auto"/>
        </w:rPr>
        <w:t>Not applicable.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94" w:lineRule="exact"/>
        <w:rPr>
          <w:sz w:val="20"/>
          <w:szCs w:val="20"/>
          <w:color w:val="auto"/>
        </w:rPr>
      </w:pPr>
    </w:p>
    <w:p>
      <w:pPr>
        <w:ind w:left="480" w:right="360"/>
        <w:spacing w:after="0" w:line="293" w:lineRule="auto"/>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5"/>
          <w:szCs w:val="15"/>
          <w:color w:val="auto"/>
        </w:rPr>
        <w:t>Information concerning the directors of the Company is incorporated herein by reference to Proposal 1 of the Company’s Proxy Statement for the Annual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Meeting of Shareholders.</w:t>
      </w:r>
    </w:p>
    <w:p>
      <w:pPr>
        <w:spacing w:after="0" w:line="35" w:lineRule="exact"/>
        <w:rPr>
          <w:sz w:val="20"/>
          <w:szCs w:val="20"/>
          <w:color w:val="auto"/>
        </w:rPr>
      </w:pPr>
    </w:p>
    <w:p>
      <w:pPr>
        <w:ind w:left="480" w:right="340"/>
        <w:spacing w:after="0" w:line="293"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5"/>
          <w:szCs w:val="15"/>
          <w:color w:val="auto"/>
        </w:rPr>
        <w:t>Information concerning the officers and directors compliance with Section 16(a) of the Securities Exchange Act is incorporated herein by reference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Company’s Proxy Statement for the Annual Meeting of Shareholders under the caption “Delinquent Section 16(a) Reports”.</w:t>
      </w:r>
    </w:p>
    <w:p>
      <w:pPr>
        <w:spacing w:after="0" w:line="35" w:lineRule="exact"/>
        <w:rPr>
          <w:sz w:val="20"/>
          <w:szCs w:val="20"/>
          <w:color w:val="auto"/>
        </w:rPr>
      </w:pPr>
    </w:p>
    <w:p>
      <w:pPr>
        <w:ind w:left="480" w:right="400"/>
        <w:spacing w:after="0" w:line="293" w:lineRule="auto"/>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5"/>
          <w:szCs w:val="15"/>
          <w:color w:val="auto"/>
        </w:rPr>
        <w:t>Information concerning the Company’s Code of Ethics is incorporated herein by reference to the Company’s Proxy Statement for the Annual Meeting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Shareholders under the caption “Code of Ethics”.</w:t>
      </w:r>
    </w:p>
    <w:p>
      <w:pPr>
        <w:spacing w:after="0" w:line="35" w:lineRule="exact"/>
        <w:rPr>
          <w:sz w:val="20"/>
          <w:szCs w:val="20"/>
          <w:color w:val="auto"/>
        </w:rPr>
      </w:pPr>
    </w:p>
    <w:p>
      <w:pPr>
        <w:ind w:left="480" w:right="20"/>
        <w:spacing w:after="0" w:line="293" w:lineRule="auto"/>
        <w:rPr>
          <w:sz w:val="20"/>
          <w:szCs w:val="20"/>
          <w:color w:val="auto"/>
        </w:rPr>
      </w:pPr>
      <w:r>
        <w:rPr>
          <w:rFonts w:ascii="Times New Roman" w:cs="Times New Roman" w:eastAsia="Times New Roman" w:hAnsi="Times New Roman"/>
          <w:sz w:val="14"/>
          <w:szCs w:val="14"/>
          <w:color w:val="auto"/>
        </w:rPr>
        <w:t>(d)</w:t>
      </w:r>
      <w:r>
        <w:rPr>
          <w:rFonts w:ascii="Times New Roman" w:cs="Times New Roman" w:eastAsia="Times New Roman" w:hAnsi="Times New Roman"/>
          <w:sz w:val="15"/>
          <w:szCs w:val="15"/>
          <w:color w:val="auto"/>
        </w:rPr>
        <w:t>Information concerning the Company’s Audit Committee and “financial expert” thereof is incorporated herein by reference to the Company’s Proxy Statement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for the Annual Meeting of Shareholders under the caption “Audit Committee”.</w:t>
      </w:r>
    </w:p>
    <w:p>
      <w:pPr>
        <w:spacing w:after="0" w:line="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9" w:name="page120"/>
    <w:bookmarkEnd w:id="119"/>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5"/>
          <w:szCs w:val="15"/>
          <w:color w:val="auto"/>
        </w:rPr>
        <w:t>Set forth below is information concerning the Executive Officers of the Company at December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60" w:type="dxa"/>
            <w:vAlign w:val="bottom"/>
          </w:tcPr>
          <w:p>
            <w:pPr>
              <w:jc w:val="center"/>
              <w:ind w:left="742"/>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080" w:type="dxa"/>
            <w:vAlign w:val="bottom"/>
          </w:tcPr>
          <w:p>
            <w:pPr>
              <w:ind w:left="1960"/>
              <w:spacing w:after="0"/>
              <w:rPr>
                <w:sz w:val="20"/>
                <w:szCs w:val="20"/>
                <w:color w:val="auto"/>
              </w:rPr>
            </w:pPr>
            <w:r>
              <w:rPr>
                <w:rFonts w:ascii="Times New Roman" w:cs="Times New Roman" w:eastAsia="Times New Roman" w:hAnsi="Times New Roman"/>
                <w:sz w:val="16"/>
                <w:szCs w:val="16"/>
                <w:b w:val="1"/>
                <w:bCs w:val="1"/>
                <w:color w:val="auto"/>
              </w:rPr>
              <w:t>Positions Held With the Company</w:t>
            </w: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James A. Dowd, CPA</w:t>
            </w:r>
          </w:p>
        </w:tc>
        <w:tc>
          <w:tcPr>
            <w:tcW w:w="1360" w:type="dxa"/>
            <w:vAlign w:val="bottom"/>
            <w:shd w:val="clear" w:color="auto" w:fill="CFF0FC"/>
          </w:tcPr>
          <w:p>
            <w:pPr>
              <w:jc w:val="center"/>
              <w:ind w:left="762"/>
              <w:spacing w:after="0" w:line="180" w:lineRule="exact"/>
              <w:rPr>
                <w:sz w:val="20"/>
                <w:szCs w:val="20"/>
                <w:color w:val="auto"/>
              </w:rPr>
            </w:pPr>
            <w:r>
              <w:rPr>
                <w:rFonts w:ascii="Times New Roman" w:cs="Times New Roman" w:eastAsia="Times New Roman" w:hAnsi="Times New Roman"/>
                <w:sz w:val="16"/>
                <w:szCs w:val="16"/>
                <w:color w:val="auto"/>
                <w:w w:val="99"/>
              </w:rPr>
              <w:t>57</w:t>
            </w:r>
          </w:p>
        </w:tc>
        <w:tc>
          <w:tcPr>
            <w:tcW w:w="60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80"/>
        </w:trPr>
        <w:tc>
          <w:tcPr>
            <w:tcW w:w="3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Justin K. Bigham, CPA</w:t>
            </w:r>
          </w:p>
        </w:tc>
        <w:tc>
          <w:tcPr>
            <w:tcW w:w="1360" w:type="dxa"/>
            <w:vAlign w:val="bottom"/>
          </w:tcPr>
          <w:p>
            <w:pPr>
              <w:jc w:val="center"/>
              <w:ind w:left="762"/>
              <w:spacing w:after="0" w:line="180" w:lineRule="exact"/>
              <w:rPr>
                <w:sz w:val="20"/>
                <w:szCs w:val="20"/>
                <w:color w:val="auto"/>
              </w:rPr>
            </w:pPr>
            <w:r>
              <w:rPr>
                <w:rFonts w:ascii="Times New Roman" w:cs="Times New Roman" w:eastAsia="Times New Roman" w:hAnsi="Times New Roman"/>
                <w:sz w:val="16"/>
                <w:szCs w:val="16"/>
                <w:color w:val="auto"/>
                <w:w w:val="99"/>
              </w:rPr>
              <w:t>51</w:t>
            </w:r>
          </w:p>
        </w:tc>
        <w:tc>
          <w:tcPr>
            <w:tcW w:w="60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Robert G. Butkowski</w:t>
            </w:r>
          </w:p>
        </w:tc>
        <w:tc>
          <w:tcPr>
            <w:tcW w:w="1360" w:type="dxa"/>
            <w:vAlign w:val="bottom"/>
            <w:shd w:val="clear" w:color="auto" w:fill="CFF0FC"/>
          </w:tcPr>
          <w:p>
            <w:pPr>
              <w:jc w:val="center"/>
              <w:ind w:left="762"/>
              <w:spacing w:after="0" w:line="180" w:lineRule="exact"/>
              <w:rPr>
                <w:sz w:val="20"/>
                <w:szCs w:val="20"/>
                <w:color w:val="auto"/>
              </w:rPr>
            </w:pPr>
            <w:r>
              <w:rPr>
                <w:rFonts w:ascii="Times New Roman" w:cs="Times New Roman" w:eastAsia="Times New Roman" w:hAnsi="Times New Roman"/>
                <w:sz w:val="16"/>
                <w:szCs w:val="16"/>
                <w:color w:val="auto"/>
                <w:w w:val="99"/>
              </w:rPr>
              <w:t>49</w:t>
            </w:r>
          </w:p>
        </w:tc>
        <w:tc>
          <w:tcPr>
            <w:tcW w:w="60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Senior Vice President, Chief Operating Officer</w:t>
            </w:r>
          </w:p>
        </w:tc>
      </w:tr>
      <w:tr>
        <w:trPr>
          <w:trHeight w:val="180"/>
        </w:trPr>
        <w:tc>
          <w:tcPr>
            <w:tcW w:w="3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Joseph P. McManus</w:t>
            </w:r>
          </w:p>
        </w:tc>
        <w:tc>
          <w:tcPr>
            <w:tcW w:w="1360" w:type="dxa"/>
            <w:vAlign w:val="bottom"/>
          </w:tcPr>
          <w:p>
            <w:pPr>
              <w:jc w:val="center"/>
              <w:ind w:left="762"/>
              <w:spacing w:after="0" w:line="180" w:lineRule="exact"/>
              <w:rPr>
                <w:sz w:val="20"/>
                <w:szCs w:val="20"/>
                <w:color w:val="auto"/>
              </w:rPr>
            </w:pPr>
            <w:r>
              <w:rPr>
                <w:rFonts w:ascii="Times New Roman" w:cs="Times New Roman" w:eastAsia="Times New Roman" w:hAnsi="Times New Roman"/>
                <w:sz w:val="16"/>
                <w:szCs w:val="16"/>
                <w:color w:val="auto"/>
                <w:w w:val="99"/>
              </w:rPr>
              <w:t>43</w:t>
            </w:r>
          </w:p>
        </w:tc>
        <w:tc>
          <w:tcPr>
            <w:tcW w:w="60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Senior Vice President, Chief Information Officer</w:t>
            </w: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William D. O' Brien</w:t>
            </w:r>
          </w:p>
        </w:tc>
        <w:tc>
          <w:tcPr>
            <w:tcW w:w="1360" w:type="dxa"/>
            <w:vAlign w:val="bottom"/>
            <w:shd w:val="clear" w:color="auto" w:fill="CFF0FC"/>
          </w:tcPr>
          <w:p>
            <w:pPr>
              <w:jc w:val="center"/>
              <w:ind w:left="762"/>
              <w:spacing w:after="0" w:line="180" w:lineRule="exact"/>
              <w:rPr>
                <w:sz w:val="20"/>
                <w:szCs w:val="20"/>
                <w:color w:val="auto"/>
              </w:rPr>
            </w:pPr>
            <w:r>
              <w:rPr>
                <w:rFonts w:ascii="Times New Roman" w:cs="Times New Roman" w:eastAsia="Times New Roman" w:hAnsi="Times New Roman"/>
                <w:sz w:val="16"/>
                <w:szCs w:val="16"/>
                <w:color w:val="auto"/>
                <w:w w:val="99"/>
              </w:rPr>
              <w:t>59</w:t>
            </w:r>
          </w:p>
        </w:tc>
        <w:tc>
          <w:tcPr>
            <w:tcW w:w="60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Senior Vice President, Chief Risk Officer and Corporate Secretary</w:t>
            </w:r>
          </w:p>
        </w:tc>
      </w:tr>
      <w:tr>
        <w:trPr>
          <w:trHeight w:val="180"/>
        </w:trPr>
        <w:tc>
          <w:tcPr>
            <w:tcW w:w="31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Joseph F. Serbun</w:t>
            </w:r>
          </w:p>
        </w:tc>
        <w:tc>
          <w:tcPr>
            <w:tcW w:w="1360" w:type="dxa"/>
            <w:vAlign w:val="bottom"/>
          </w:tcPr>
          <w:p>
            <w:pPr>
              <w:jc w:val="center"/>
              <w:ind w:left="762"/>
              <w:spacing w:after="0" w:line="180" w:lineRule="exact"/>
              <w:rPr>
                <w:sz w:val="20"/>
                <w:szCs w:val="20"/>
                <w:color w:val="auto"/>
              </w:rPr>
            </w:pPr>
            <w:r>
              <w:rPr>
                <w:rFonts w:ascii="Times New Roman" w:cs="Times New Roman" w:eastAsia="Times New Roman" w:hAnsi="Times New Roman"/>
                <w:sz w:val="16"/>
                <w:szCs w:val="16"/>
                <w:color w:val="auto"/>
                <w:w w:val="99"/>
              </w:rPr>
              <w:t>64</w:t>
            </w:r>
          </w:p>
        </w:tc>
        <w:tc>
          <w:tcPr>
            <w:tcW w:w="60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Senior Vice President, Chief Credit Officer</w:t>
            </w:r>
          </w:p>
        </w:tc>
      </w:tr>
      <w:tr>
        <w:trPr>
          <w:trHeight w:val="180"/>
        </w:trPr>
        <w:tc>
          <w:tcPr>
            <w:tcW w:w="31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Ronald G. Tascarella</w:t>
            </w:r>
          </w:p>
        </w:tc>
        <w:tc>
          <w:tcPr>
            <w:tcW w:w="1360" w:type="dxa"/>
            <w:vAlign w:val="bottom"/>
            <w:shd w:val="clear" w:color="auto" w:fill="CFF0FC"/>
          </w:tcPr>
          <w:p>
            <w:pPr>
              <w:jc w:val="center"/>
              <w:ind w:left="762"/>
              <w:spacing w:after="0" w:line="180" w:lineRule="exact"/>
              <w:rPr>
                <w:sz w:val="20"/>
                <w:szCs w:val="20"/>
                <w:color w:val="auto"/>
              </w:rPr>
            </w:pPr>
            <w:r>
              <w:rPr>
                <w:rFonts w:ascii="Times New Roman" w:cs="Times New Roman" w:eastAsia="Times New Roman" w:hAnsi="Times New Roman"/>
                <w:sz w:val="16"/>
                <w:szCs w:val="16"/>
                <w:color w:val="auto"/>
                <w:w w:val="99"/>
              </w:rPr>
              <w:t>40</w:t>
            </w:r>
          </w:p>
        </w:tc>
        <w:tc>
          <w:tcPr>
            <w:tcW w:w="60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Senior Vice President, Chief Lending Officer</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4"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(a)Information with respect to management compensation and transactions required under this item is incorporated by reference hereunder in the Company's Proxy Materials for the Annual Meeting of Shareholders under the caption "Compensation Committee".</w:t>
      </w:r>
    </w:p>
    <w:p>
      <w:pPr>
        <w:spacing w:after="0" w:line="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(b)Information concerning director compensation is incorporated herein by reference to the Company’s Proxy Statement for the Annual Meeting of Shareholders under the caption “Directors Compensation”.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hereunder in the Company’s Proxy Materials for the Annual Meeting of Shareholders under the caption "Voting Securities and Principal Holders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9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hereunder in the Company’s Proxy Materials for the Annual Meeting of Shareholders under the captions “Independence and Diversity of Directors” and "Transactions with Certain Related Persons”.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9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Our independent registered public accounting firm is Bonadio &amp; Co., LLP, Syracuse, NY, Auditor Firm ID 1884. The information required by this item is incorporated by reference hereunder in the Company’s Proxy Materials for the Annual Meeting of Shareholders under the caption "Audit and Related Fees".</w:t>
      </w:r>
    </w:p>
    <w:p>
      <w:pPr>
        <w:spacing w:after="0" w:line="6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(a)(1)</w:t>
            </w:r>
          </w:p>
        </w:tc>
        <w:tc>
          <w:tcPr>
            <w:tcW w:w="948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54">
              <w:r>
                <w:rPr>
                  <w:rFonts w:ascii="Times New Roman" w:cs="Times New Roman" w:eastAsia="Times New Roman" w:hAnsi="Times New Roman"/>
                  <w:sz w:val="16"/>
                  <w:szCs w:val="16"/>
                  <w:color w:val="0000FF"/>
                  <w:w w:val="97"/>
                </w:rPr>
                <w:t>Financial Statements - The Company’s consolidated financial statements, for the years ended December 31, 2023 and 2022, together with the Report of</w:t>
              </w:r>
            </w:hyperlink>
          </w:p>
        </w:tc>
      </w:tr>
      <w:tr>
        <w:trPr>
          <w:trHeight w:val="160"/>
        </w:trPr>
        <w:tc>
          <w:tcPr>
            <w:tcW w:w="1060" w:type="dxa"/>
            <w:vAlign w:val="bottom"/>
          </w:tcPr>
          <w:p>
            <w:pPr>
              <w:spacing w:after="0"/>
              <w:rPr>
                <w:sz w:val="13"/>
                <w:szCs w:val="13"/>
                <w:color w:val="auto"/>
              </w:rPr>
            </w:pPr>
          </w:p>
        </w:tc>
        <w:tc>
          <w:tcPr>
            <w:tcW w:w="9480" w:type="dxa"/>
            <w:vAlign w:val="bottom"/>
            <w:gridSpan w:val="5"/>
          </w:tcPr>
          <w:p>
            <w:pPr>
              <w:spacing w:after="0" w:line="160" w:lineRule="exact"/>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Independent Registered Public Accounting Firm are filed as part of this Form 10-K report. See “Item 8: Financial Statements and Supplementary</w:t>
              </w:r>
            </w:hyperlink>
          </w:p>
        </w:tc>
      </w:tr>
      <w:tr>
        <w:trPr>
          <w:trHeight w:val="160"/>
        </w:trPr>
        <w:tc>
          <w:tcPr>
            <w:tcW w:w="106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1"/>
              </w:rPr>
            </w:pPr>
            <w:hyperlink w:anchor="page54">
              <w:r>
                <w:rPr>
                  <w:rFonts w:ascii="Times New Roman" w:cs="Times New Roman" w:eastAsia="Times New Roman" w:hAnsi="Times New Roman"/>
                  <w:sz w:val="16"/>
                  <w:szCs w:val="16"/>
                  <w:color w:val="0000FF"/>
                  <w:w w:val="91"/>
                </w:rPr>
                <w:t>Data.”</w:t>
              </w:r>
            </w:hyperlink>
          </w:p>
        </w:tc>
        <w:tc>
          <w:tcPr>
            <w:tcW w:w="8720" w:type="dxa"/>
            <w:vAlign w:val="bottom"/>
            <w:tcBorders>
              <w:top w:val="single" w:sz="8" w:color="0000EE"/>
            </w:tcBorders>
            <w:gridSpan w:val="2"/>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(a)(2)</w:t>
            </w:r>
          </w:p>
        </w:tc>
        <w:tc>
          <w:tcPr>
            <w:tcW w:w="9480" w:type="dxa"/>
            <w:vAlign w:val="bottom"/>
            <w:gridSpan w:val="5"/>
          </w:tcPr>
          <w:p>
            <w:pPr>
              <w:spacing w:after="0"/>
              <w:rPr>
                <w:rFonts w:ascii="Times New Roman" w:cs="Times New Roman" w:eastAsia="Times New Roman" w:hAnsi="Times New Roman"/>
                <w:sz w:val="16"/>
                <w:szCs w:val="16"/>
                <w:color w:val="0000FF"/>
                <w:w w:val="97"/>
              </w:rPr>
            </w:pPr>
            <w:hyperlink w:anchor="page27">
              <w:r>
                <w:rPr>
                  <w:rFonts w:ascii="Times New Roman" w:cs="Times New Roman" w:eastAsia="Times New Roman" w:hAnsi="Times New Roman"/>
                  <w:sz w:val="16"/>
                  <w:szCs w:val="16"/>
                  <w:color w:val="0000FF"/>
                  <w:w w:val="97"/>
                </w:rPr>
                <w:t>Financial Statement Schedules - All financial statement schedules have been omitted as the required information is inapplicable or has been included in</w:t>
              </w:r>
            </w:hyperlink>
          </w:p>
        </w:tc>
      </w:tr>
      <w:tr>
        <w:trPr>
          <w:trHeight w:val="160"/>
        </w:trPr>
        <w:tc>
          <w:tcPr>
            <w:tcW w:w="1060" w:type="dxa"/>
            <w:vAlign w:val="bottom"/>
          </w:tcPr>
          <w:p>
            <w:pPr>
              <w:spacing w:after="0"/>
              <w:rPr>
                <w:sz w:val="13"/>
                <w:szCs w:val="13"/>
                <w:color w:val="auto"/>
              </w:rPr>
            </w:pPr>
          </w:p>
        </w:tc>
        <w:tc>
          <w:tcPr>
            <w:tcW w:w="946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“Item 7: Management Discussion and Analysis.”</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9" w:lineRule="exact"/>
        <w:rPr>
          <w:sz w:val="20"/>
          <w:szCs w:val="20"/>
          <w:color w:val="auto"/>
        </w:rPr>
      </w:pPr>
    </w:p>
    <w:p>
      <w:pPr>
        <w:ind w:left="1080" w:hanging="1062"/>
        <w:spacing w:after="0"/>
        <w:tabs>
          <w:tab w:leader="none" w:pos="10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2.1</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Purchase and Assumption Agreement dated as of March 4, 2024, by and between Berkshire Bank and Pathfinder Bank (Incorporated herein by</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0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136">
              <w:r>
                <w:rPr>
                  <w:rFonts w:ascii="Times New Roman" w:cs="Times New Roman" w:eastAsia="Times New Roman" w:hAnsi="Times New Roman"/>
                  <w:sz w:val="16"/>
                  <w:szCs w:val="16"/>
                  <w:color w:val="0000FF"/>
                  <w:w w:val="97"/>
                </w:rPr>
                <w:t>reference to Exhibit 1.1 to Pathfinder Bancorp, Inc.'s Current Report on Form 8-K, file no. 001-36695, filed on March 4, 2024).</w:t>
              </w:r>
            </w:hyperlink>
          </w:p>
        </w:tc>
        <w:tc>
          <w:tcPr>
            <w:tcW w:w="94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3.1</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Articles of Incorporation of Pathfinder Bancorp, Inc. (Incorporated herein by reference to Exhibit 3.1 to Pathfinder Bancorp, Inc.’s Registration</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9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Statement on Form S-1, file no. 333-196676, originally filed on June 11, 2014)</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3.2</w:t>
            </w:r>
          </w:p>
        </w:tc>
        <w:tc>
          <w:tcPr>
            <w:tcW w:w="9480" w:type="dxa"/>
            <w:vAlign w:val="bottom"/>
            <w:gridSpan w:val="26"/>
          </w:tcPr>
          <w:p>
            <w:pPr>
              <w:spacing w:after="0"/>
              <w:rPr>
                <w:rFonts w:ascii="Times New Roman" w:cs="Times New Roman" w:eastAsia="Times New Roman" w:hAnsi="Times New Roman"/>
                <w:sz w:val="16"/>
                <w:szCs w:val="16"/>
                <w:color w:val="0000FF"/>
                <w:w w:val="98"/>
              </w:rPr>
            </w:pPr>
            <w:hyperlink r:id="rId138">
              <w:r>
                <w:rPr>
                  <w:rFonts w:ascii="Times New Roman" w:cs="Times New Roman" w:eastAsia="Times New Roman" w:hAnsi="Times New Roman"/>
                  <w:sz w:val="16"/>
                  <w:szCs w:val="16"/>
                  <w:color w:val="0000FF"/>
                  <w:w w:val="98"/>
                </w:rPr>
                <w:t>Bylaws of Pathfinder Bancorp, Inc. (Incorporated herein by reference to Exhibit 3.2 to Pathfinder Bancorp, Inc.’s Registration Statement on Form S-1,</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76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6"/>
              </w:rPr>
            </w:pPr>
            <w:hyperlink r:id="rId138">
              <w:r>
                <w:rPr>
                  <w:rFonts w:ascii="Times New Roman" w:cs="Times New Roman" w:eastAsia="Times New Roman" w:hAnsi="Times New Roman"/>
                  <w:sz w:val="16"/>
                  <w:szCs w:val="16"/>
                  <w:color w:val="0000FF"/>
                  <w:w w:val="96"/>
                </w:rPr>
                <w:t>file no. 333-196676, filed on June 11, 2014)</w:t>
              </w:r>
            </w:hyperlink>
          </w:p>
        </w:tc>
        <w:tc>
          <w:tcPr>
            <w:tcW w:w="6640" w:type="dxa"/>
            <w:vAlign w:val="bottom"/>
            <w:tcBorders>
              <w:top w:val="single" w:sz="8" w:color="0000EE"/>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3.3</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Articles Supplementary to the Articles of Incorporation of Pathfinder Bancorp, Inc. designating the Company’s Series B Convertible Perpetual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tcPr>
          <w:p>
            <w:pPr>
              <w:spacing w:after="0"/>
              <w:rPr>
                <w:sz w:val="13"/>
                <w:szCs w:val="13"/>
                <w:color w:val="auto"/>
              </w:rPr>
            </w:pPr>
          </w:p>
        </w:tc>
        <w:tc>
          <w:tcPr>
            <w:tcW w:w="9480" w:type="dxa"/>
            <w:vAlign w:val="bottom"/>
            <w:gridSpan w:val="26"/>
          </w:tcPr>
          <w:p>
            <w:pPr>
              <w:spacing w:after="0" w:line="160" w:lineRule="exact"/>
              <w:rPr>
                <w:rFonts w:ascii="Times New Roman" w:cs="Times New Roman" w:eastAsia="Times New Roman" w:hAnsi="Times New Roman"/>
                <w:sz w:val="16"/>
                <w:szCs w:val="16"/>
                <w:color w:val="0000FF"/>
                <w:w w:val="98"/>
              </w:rPr>
            </w:pPr>
            <w:hyperlink r:id="rId139">
              <w:r>
                <w:rPr>
                  <w:rFonts w:ascii="Times New Roman" w:cs="Times New Roman" w:eastAsia="Times New Roman" w:hAnsi="Times New Roman"/>
                  <w:sz w:val="16"/>
                  <w:szCs w:val="16"/>
                  <w:color w:val="0000FF"/>
                  <w:w w:val="98"/>
                </w:rPr>
                <w:t>Preferred Stock, par value $0.01 per share (Incorporated herein by reference to Exhibit 3.1 to Pathfinder Bancorp, Inc.’s Current Report on Form 8-K,</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6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139">
              <w:r>
                <w:rPr>
                  <w:rFonts w:ascii="Times New Roman" w:cs="Times New Roman" w:eastAsia="Times New Roman" w:hAnsi="Times New Roman"/>
                  <w:sz w:val="16"/>
                  <w:szCs w:val="16"/>
                  <w:color w:val="0000FF"/>
                  <w:w w:val="96"/>
                </w:rPr>
                <w:t>file no. 001-36695, filed on May 9, 2019)</w:t>
              </w:r>
            </w:hyperlink>
          </w:p>
        </w:tc>
        <w:tc>
          <w:tcPr>
            <w:tcW w:w="6780" w:type="dxa"/>
            <w:vAlign w:val="bottom"/>
            <w:tcBorders>
              <w:top w:val="single" w:sz="8" w:color="0000EE"/>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3.4</w:t>
            </w:r>
          </w:p>
        </w:tc>
        <w:tc>
          <w:tcPr>
            <w:tcW w:w="9360" w:type="dxa"/>
            <w:vAlign w:val="bottom"/>
            <w:tcBorders>
              <w:bottom w:val="single" w:sz="8" w:color="0000EE"/>
            </w:tcBorders>
            <w:gridSpan w:val="22"/>
          </w:tcPr>
          <w:p>
            <w:pPr>
              <w:spacing w:after="0"/>
              <w:rPr>
                <w:rFonts w:ascii="Times New Roman" w:cs="Times New Roman" w:eastAsia="Times New Roman" w:hAnsi="Times New Roman"/>
                <w:sz w:val="16"/>
                <w:szCs w:val="16"/>
                <w:color w:val="0000FF"/>
                <w:w w:val="97"/>
              </w:rPr>
            </w:pPr>
            <w:hyperlink r:id="rId140">
              <w:r>
                <w:rPr>
                  <w:rFonts w:ascii="Times New Roman" w:cs="Times New Roman" w:eastAsia="Times New Roman" w:hAnsi="Times New Roman"/>
                  <w:sz w:val="16"/>
                  <w:szCs w:val="16"/>
                  <w:color w:val="0000FF"/>
                  <w:w w:val="97"/>
                </w:rPr>
                <w:t>Amendment to the Articles Supplementary to the Articles of Incorporation of Pathfinder Bancorp, Inc. designating the Series B Convertible Perpetual</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480" w:type="dxa"/>
            <w:vAlign w:val="bottom"/>
            <w:gridSpan w:val="26"/>
          </w:tcPr>
          <w:p>
            <w:pPr>
              <w:spacing w:after="0" w:line="160" w:lineRule="exact"/>
              <w:rPr>
                <w:rFonts w:ascii="Times New Roman" w:cs="Times New Roman" w:eastAsia="Times New Roman" w:hAnsi="Times New Roman"/>
                <w:sz w:val="16"/>
                <w:szCs w:val="16"/>
                <w:color w:val="0000FF"/>
                <w:w w:val="97"/>
              </w:rPr>
            </w:pPr>
            <w:hyperlink r:id="rId140">
              <w:r>
                <w:rPr>
                  <w:rFonts w:ascii="Times New Roman" w:cs="Times New Roman" w:eastAsia="Times New Roman" w:hAnsi="Times New Roman"/>
                  <w:sz w:val="16"/>
                  <w:szCs w:val="16"/>
                  <w:color w:val="0000FF"/>
                  <w:w w:val="97"/>
                </w:rPr>
                <w:t>Preferred Stock, $0.01 par value per share (Incorporated by reference to Exhibit 3.1 to Pathfinder Bancorp, Inc.’s Current Report on Form 8-K, file no.</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42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001-36695, filed on November 17, 2020)</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3.5</w:t>
            </w:r>
          </w:p>
        </w:tc>
        <w:tc>
          <w:tcPr>
            <w:tcW w:w="9480" w:type="dxa"/>
            <w:vAlign w:val="bottom"/>
            <w:gridSpan w:val="26"/>
          </w:tcPr>
          <w:p>
            <w:pPr>
              <w:spacing w:after="0"/>
              <w:rPr>
                <w:rFonts w:ascii="Times New Roman" w:cs="Times New Roman" w:eastAsia="Times New Roman" w:hAnsi="Times New Roman"/>
                <w:sz w:val="16"/>
                <w:szCs w:val="16"/>
                <w:color w:val="0000FF"/>
                <w:w w:val="98"/>
              </w:rPr>
            </w:pPr>
            <w:hyperlink r:id="rId141">
              <w:r>
                <w:rPr>
                  <w:rFonts w:ascii="Times New Roman" w:cs="Times New Roman" w:eastAsia="Times New Roman" w:hAnsi="Times New Roman"/>
                  <w:sz w:val="16"/>
                  <w:szCs w:val="16"/>
                  <w:color w:val="0000FF"/>
                  <w:w w:val="98"/>
                </w:rPr>
                <w:t>Articles Supplementary to the Articles of Incorporation of Pathfinder Bancorp, Inc. creating Class A Non-Voting Common Stock, par value $0.01 per</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3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w w:val="97"/>
              </w:rPr>
            </w:pPr>
            <w:hyperlink r:id="rId141">
              <w:r>
                <w:rPr>
                  <w:rFonts w:ascii="Times New Roman" w:cs="Times New Roman" w:eastAsia="Times New Roman" w:hAnsi="Times New Roman"/>
                  <w:sz w:val="16"/>
                  <w:szCs w:val="16"/>
                  <w:color w:val="0000FF"/>
                  <w:w w:val="97"/>
                </w:rPr>
                <w:t>share (Incorporated by reference to Exhibit 3.1 to Pathfinder Bancorp Inc.’s Current Report on Form 8-K, file no. 001-36695, filed on June 10, 2021)</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4.1</w:t>
            </w:r>
          </w:p>
        </w:tc>
        <w:tc>
          <w:tcPr>
            <w:tcW w:w="9300" w:type="dxa"/>
            <w:vAlign w:val="bottom"/>
            <w:tcBorders>
              <w:top w:val="single" w:sz="8" w:color="0000EE"/>
            </w:tcBorders>
            <w:gridSpan w:val="20"/>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Form of Stock Certificate of Pathfinder Bancorp, Inc. (Incorporated herein by reference to Exhibit 4 to Pathfinder Bancorp, Inc.’s Registration</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42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6"/>
              </w:rPr>
            </w:pPr>
            <w:hyperlink r:id="rId142">
              <w:r>
                <w:rPr>
                  <w:rFonts w:ascii="Times New Roman" w:cs="Times New Roman" w:eastAsia="Times New Roman" w:hAnsi="Times New Roman"/>
                  <w:sz w:val="16"/>
                  <w:szCs w:val="16"/>
                  <w:color w:val="0000FF"/>
                  <w:w w:val="96"/>
                </w:rPr>
                <w:t>Statement on Form S-1, file no. 333-196676, filed on June 11, 2014)</w:t>
              </w:r>
            </w:hyperlink>
          </w:p>
        </w:tc>
        <w:tc>
          <w:tcPr>
            <w:tcW w:w="4640" w:type="dxa"/>
            <w:vAlign w:val="bottom"/>
            <w:tcBorders>
              <w:top w:val="single" w:sz="8" w:color="0000EE"/>
            </w:tcBorders>
            <w:gridSpan w:val="9"/>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4.2</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Indenture between Pathfinder Bancorp, Inc., a federal corporation, and Wilmington Trust Company, as trustee, dated March 22, 2007 (Incorporated</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22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herein by reference to Exhibit 4.1 to Pathfinder Bancorp, Inc.’s Current Report on Form 8-K, file no. 001-36695, filed on October 22, 2014)</w:t>
              </w:r>
            </w:hyperlink>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4.3</w:t>
            </w:r>
          </w:p>
        </w:tc>
        <w:tc>
          <w:tcPr>
            <w:tcW w:w="9480" w:type="dxa"/>
            <w:vAlign w:val="bottom"/>
            <w:gridSpan w:val="26"/>
          </w:tcPr>
          <w:p>
            <w:pPr>
              <w:spacing w:after="0"/>
              <w:rPr>
                <w:rFonts w:ascii="Times New Roman" w:cs="Times New Roman" w:eastAsia="Times New Roman" w:hAnsi="Times New Roman"/>
                <w:sz w:val="16"/>
                <w:szCs w:val="16"/>
                <w:color w:val="0000FF"/>
                <w:w w:val="97"/>
              </w:rPr>
            </w:pPr>
            <w:hyperlink r:id="rId144">
              <w:r>
                <w:rPr>
                  <w:rFonts w:ascii="Times New Roman" w:cs="Times New Roman" w:eastAsia="Times New Roman" w:hAnsi="Times New Roman"/>
                  <w:sz w:val="16"/>
                  <w:szCs w:val="16"/>
                  <w:color w:val="0000FF"/>
                  <w:w w:val="97"/>
                </w:rPr>
                <w:t>Supplemental Indenture between Pathfinder Bancorp, Inc. and Wilmington Trust Company, as trustee, dated October 16, 2014 (Incorporated herein by</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12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7"/>
              </w:rPr>
            </w:pPr>
            <w:hyperlink r:id="rId144">
              <w:r>
                <w:rPr>
                  <w:rFonts w:ascii="Times New Roman" w:cs="Times New Roman" w:eastAsia="Times New Roman" w:hAnsi="Times New Roman"/>
                  <w:sz w:val="16"/>
                  <w:szCs w:val="16"/>
                  <w:color w:val="0000FF"/>
                  <w:w w:val="97"/>
                </w:rPr>
                <w:t>reference to Exhibit 4.2 to Pathfinder Bancorp, Inc.’s Current Report on Form 8-K, file no. 001-36695, filed on October 22, 2014)</w:t>
              </w:r>
            </w:hyperlink>
          </w:p>
        </w:tc>
        <w:tc>
          <w:tcPr>
            <w:tcW w:w="1280" w:type="dxa"/>
            <w:vAlign w:val="bottom"/>
            <w:tcBorders>
              <w:top w:val="single" w:sz="8" w:color="0000EE"/>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4.4</w:t>
            </w:r>
          </w:p>
        </w:tc>
        <w:tc>
          <w:tcPr>
            <w:tcW w:w="9480" w:type="dxa"/>
            <w:vAlign w:val="bottom"/>
            <w:gridSpan w:val="26"/>
          </w:tcPr>
          <w:p>
            <w:pPr>
              <w:spacing w:after="0"/>
              <w:rPr>
                <w:rFonts w:ascii="Times New Roman" w:cs="Times New Roman" w:eastAsia="Times New Roman" w:hAnsi="Times New Roman"/>
                <w:sz w:val="16"/>
                <w:szCs w:val="16"/>
                <w:color w:val="0000FF"/>
                <w:w w:val="98"/>
              </w:rPr>
            </w:pPr>
            <w:hyperlink r:id="rId145">
              <w:r>
                <w:rPr>
                  <w:rFonts w:ascii="Times New Roman" w:cs="Times New Roman" w:eastAsia="Times New Roman" w:hAnsi="Times New Roman"/>
                  <w:sz w:val="16"/>
                  <w:szCs w:val="16"/>
                  <w:color w:val="0000FF"/>
                  <w:w w:val="98"/>
                </w:rPr>
                <w:t>Warrant Agreement, by and between Pathfinder Bancorp, Inc. and Castle Creek Capital Partners VII, L.P., dated May 8, 2019 (Incorporated herein by</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38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reference to Exhibit 4.1 to Pathfinder Bancorp, Inc.’s Current Report on Form 8-K, file no. 001-36695, filed on May 9, 2019)</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jc w:val="right"/>
              <w:ind w:right="742"/>
              <w:spacing w:after="0"/>
              <w:rPr>
                <w:sz w:val="20"/>
                <w:szCs w:val="20"/>
                <w:color w:val="auto"/>
              </w:rPr>
            </w:pPr>
            <w:r>
              <w:rPr>
                <w:rFonts w:ascii="Times New Roman" w:cs="Times New Roman" w:eastAsia="Times New Roman" w:hAnsi="Times New Roman"/>
                <w:sz w:val="16"/>
                <w:szCs w:val="16"/>
                <w:color w:val="auto"/>
              </w:rPr>
              <w:t>4.5</w:t>
            </w:r>
          </w:p>
        </w:tc>
        <w:tc>
          <w:tcPr>
            <w:tcW w:w="40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080" w:type="dxa"/>
            <w:vAlign w:val="bottom"/>
            <w:vMerge w:val="continue"/>
          </w:tcPr>
          <w:p>
            <w:pPr>
              <w:spacing w:after="0"/>
              <w:rPr>
                <w:sz w:val="24"/>
                <w:szCs w:val="24"/>
                <w:color w:val="auto"/>
              </w:rPr>
            </w:pPr>
          </w:p>
        </w:tc>
        <w:tc>
          <w:tcPr>
            <w:tcW w:w="9480" w:type="dxa"/>
            <w:vAlign w:val="bottom"/>
            <w:gridSpan w:val="26"/>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Description of Common Stock (Incorporated herein by reference to Exhibit 4.5 to the Company’s Annual Report on Form 10-K for the year ended</w:t>
              </w:r>
            </w:hyperlink>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4020" w:type="dxa"/>
            <w:vAlign w:val="bottom"/>
            <w:tcBorders>
              <w:top w:val="single" w:sz="8" w:color="0000EE"/>
              <w:bottom w:val="single" w:sz="8" w:color="0000EE"/>
            </w:tcBorders>
            <w:gridSpan w:val="4"/>
          </w:tcPr>
          <w:p>
            <w:pPr>
              <w:spacing w:after="0" w:line="172" w:lineRule="exact"/>
              <w:rPr>
                <w:rFonts w:ascii="Times New Roman" w:cs="Times New Roman" w:eastAsia="Times New Roman" w:hAnsi="Times New Roman"/>
                <w:sz w:val="16"/>
                <w:szCs w:val="16"/>
                <w:color w:val="0000FF"/>
                <w:w w:val="96"/>
              </w:rPr>
            </w:pPr>
            <w:hyperlink r:id="rId146">
              <w:r>
                <w:rPr>
                  <w:rFonts w:ascii="Times New Roman" w:cs="Times New Roman" w:eastAsia="Times New Roman" w:hAnsi="Times New Roman"/>
                  <w:sz w:val="16"/>
                  <w:szCs w:val="16"/>
                  <w:color w:val="0000FF"/>
                  <w:w w:val="96"/>
                </w:rPr>
                <w:t>December 31, 2019 file no 000-36695, filed on March 23, 2020)</w:t>
              </w:r>
            </w:hyperlink>
          </w:p>
        </w:tc>
        <w:tc>
          <w:tcPr>
            <w:tcW w:w="5120" w:type="dxa"/>
            <w:vAlign w:val="bottom"/>
            <w:tcBorders>
              <w:top w:val="single" w:sz="8" w:color="0000EE"/>
            </w:tcBorders>
            <w:gridSpan w:val="14"/>
          </w:tcPr>
          <w:p>
            <w:pPr>
              <w:spacing w:after="0"/>
              <w:rPr>
                <w:sz w:val="14"/>
                <w:szCs w:val="14"/>
                <w:color w:val="auto"/>
              </w:rPr>
            </w:pPr>
          </w:p>
        </w:tc>
        <w:tc>
          <w:tcPr>
            <w:tcW w:w="3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4.6</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Indenture, dated as of October 14, 2020, by and between Pathfinder Bancorp, Inc. and UMB Bank, National Association, as trustee (Incorporated</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06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herein by reference to Exhibit 4.1 to Pathfinder Bancorp, Inc.’s Current Report on Form 8-K, file no. 001-36695, filed on October 15, 2020)</w:t>
              </w:r>
            </w:hyperlink>
          </w:p>
        </w:tc>
        <w:tc>
          <w:tcPr>
            <w:tcW w:w="4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4.7</w:t>
            </w:r>
          </w:p>
        </w:tc>
        <w:tc>
          <w:tcPr>
            <w:tcW w:w="8740" w:type="dxa"/>
            <w:vAlign w:val="bottom"/>
            <w:tcBorders>
              <w:top w:val="single" w:sz="8" w:color="0000EE"/>
            </w:tcBorders>
            <w:gridSpan w:val="12"/>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of 5.50% Fixed-to-Floating Rate Subordinated Note due 2030 of Pathfinder Bancorp, Inc. (included in Exhibit 4.6)</w:t>
              </w:r>
            </w:hyperlink>
          </w:p>
        </w:tc>
        <w:tc>
          <w:tcPr>
            <w:tcW w:w="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9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10.1</w:t>
            </w:r>
          </w:p>
        </w:tc>
        <w:tc>
          <w:tcPr>
            <w:tcW w:w="9480" w:type="dxa"/>
            <w:vAlign w:val="bottom"/>
            <w:gridSpan w:val="26"/>
          </w:tcPr>
          <w:p>
            <w:pPr>
              <w:spacing w:after="0"/>
              <w:rPr>
                <w:rFonts w:ascii="Times New Roman" w:cs="Times New Roman" w:eastAsia="Times New Roman" w:hAnsi="Times New Roman"/>
                <w:sz w:val="16"/>
                <w:szCs w:val="16"/>
                <w:color w:val="0000FF"/>
                <w:w w:val="97"/>
              </w:rPr>
            </w:pPr>
            <w:hyperlink r:id="rId148">
              <w:r>
                <w:rPr>
                  <w:rFonts w:ascii="Times New Roman" w:cs="Times New Roman" w:eastAsia="Times New Roman" w:hAnsi="Times New Roman"/>
                  <w:sz w:val="16"/>
                  <w:szCs w:val="16"/>
                  <w:color w:val="0000FF"/>
                  <w:w w:val="97"/>
                </w:rPr>
                <w:t>2003 Executive Deferred Compensation Plan (Incorporated herein by reference to Exhibit 10.3 to the Company’s Annual Report on Form 10-K for the</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42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year ended December 31, 2008 file no. 000-23601, filed on March 27, 2009)</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080" w:type="dxa"/>
            <w:vAlign w:val="bottom"/>
          </w:tcPr>
          <w:p>
            <w:pPr>
              <w:spacing w:after="0"/>
              <w:rPr>
                <w:sz w:val="24"/>
                <w:szCs w:val="24"/>
                <w:color w:val="auto"/>
              </w:rPr>
            </w:pPr>
          </w:p>
        </w:tc>
        <w:tc>
          <w:tcPr>
            <w:tcW w:w="4780" w:type="dxa"/>
            <w:vAlign w:val="bottom"/>
            <w:tcBorders>
              <w:top w:val="single" w:sz="8" w:color="0000EE"/>
            </w:tcBorders>
            <w:gridSpan w:val="6"/>
          </w:tcPr>
          <w:p>
            <w:pPr>
              <w:ind w:left="4240"/>
              <w:spacing w:after="0"/>
              <w:rPr>
                <w:sz w:val="20"/>
                <w:szCs w:val="20"/>
                <w:color w:val="auto"/>
              </w:rPr>
            </w:pPr>
            <w:r>
              <w:rPr>
                <w:rFonts w:ascii="Times New Roman" w:cs="Times New Roman" w:eastAsia="Times New Roman" w:hAnsi="Times New Roman"/>
                <w:sz w:val="18"/>
                <w:szCs w:val="18"/>
                <w:color w:val="auto"/>
              </w:rPr>
              <w:t>- 121 -</w:t>
            </w: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10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121" w:name="page122"/>
    <w:bookmarkEnd w:id="121"/>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9500" w:type="dxa"/>
            <w:vAlign w:val="bottom"/>
            <w:gridSpan w:val="29"/>
          </w:tcPr>
          <w:p>
            <w:pPr>
              <w:spacing w:after="0"/>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2003 Trustee Deferred Fee Plan (Incorporated herein by reference to Exhibit 10.4 to the Company’s Annual Report on Form 10-K for the year ended</w:t>
              </w:r>
            </w:hyperlink>
          </w:p>
        </w:tc>
      </w:tr>
      <w:tr>
        <w:trPr>
          <w:trHeight w:val="160"/>
        </w:trPr>
        <w:tc>
          <w:tcPr>
            <w:tcW w:w="1080" w:type="dxa"/>
            <w:vAlign w:val="bottom"/>
          </w:tcPr>
          <w:p>
            <w:pPr>
              <w:spacing w:after="0"/>
              <w:rPr>
                <w:sz w:val="13"/>
                <w:szCs w:val="13"/>
                <w:color w:val="auto"/>
              </w:rPr>
            </w:pPr>
          </w:p>
        </w:tc>
        <w:tc>
          <w:tcPr>
            <w:tcW w:w="406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6"/>
              </w:rPr>
            </w:pPr>
            <w:hyperlink r:id="rId150">
              <w:r>
                <w:rPr>
                  <w:rFonts w:ascii="Times New Roman" w:cs="Times New Roman" w:eastAsia="Times New Roman" w:hAnsi="Times New Roman"/>
                  <w:sz w:val="16"/>
                  <w:szCs w:val="16"/>
                  <w:color w:val="0000FF"/>
                  <w:w w:val="96"/>
                </w:rPr>
                <w:t>December 31, 2008 file no. 000-23601, filed on March 27, 2009)</w:t>
              </w:r>
            </w:hyperlink>
          </w:p>
        </w:tc>
        <w:tc>
          <w:tcPr>
            <w:tcW w:w="5240" w:type="dxa"/>
            <w:vAlign w:val="bottom"/>
            <w:tcBorders>
              <w:top w:val="single" w:sz="8" w:color="0000EE"/>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9500" w:type="dxa"/>
            <w:vAlign w:val="bottom"/>
            <w:gridSpan w:val="29"/>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Executive Supplemental Retirement Plan Agreement between Pathfinder Bank and James A. Dowd effective February 24, 2014 (Incorporated by</w:t>
              </w:r>
            </w:hyperlink>
          </w:p>
        </w:tc>
      </w:tr>
      <w:tr>
        <w:trPr>
          <w:trHeight w:val="160"/>
        </w:trPr>
        <w:tc>
          <w:tcPr>
            <w:tcW w:w="1080" w:type="dxa"/>
            <w:vAlign w:val="bottom"/>
          </w:tcPr>
          <w:p>
            <w:pPr>
              <w:spacing w:after="0"/>
              <w:rPr>
                <w:sz w:val="13"/>
                <w:szCs w:val="13"/>
                <w:color w:val="auto"/>
              </w:rPr>
            </w:pPr>
          </w:p>
        </w:tc>
        <w:tc>
          <w:tcPr>
            <w:tcW w:w="814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151">
              <w:r>
                <w:rPr>
                  <w:rFonts w:ascii="Times New Roman" w:cs="Times New Roman" w:eastAsia="Times New Roman" w:hAnsi="Times New Roman"/>
                  <w:sz w:val="16"/>
                  <w:szCs w:val="16"/>
                  <w:color w:val="0000FF"/>
                  <w:w w:val="97"/>
                </w:rPr>
                <w:t>reference to Exhibit 10.15 to Pathfinder Bancorp, Inc.’s Current Report Form 8-K, file no. 000-23601, filed on February 25, 2014)</w:t>
              </w:r>
            </w:hyperlink>
          </w:p>
        </w:tc>
        <w:tc>
          <w:tcPr>
            <w:tcW w:w="920" w:type="dxa"/>
            <w:vAlign w:val="bottom"/>
            <w:tcBorders>
              <w:top w:val="single" w:sz="8" w:color="0000EE"/>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6"/>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8980" w:type="dxa"/>
            <w:vAlign w:val="bottom"/>
            <w:tcBorders>
              <w:bottom w:val="single" w:sz="8" w:color="0000EE"/>
            </w:tcBorders>
            <w:gridSpan w:val="14"/>
          </w:tcPr>
          <w:p>
            <w:pPr>
              <w:spacing w:after="0"/>
              <w:rPr>
                <w:rFonts w:ascii="Times New Roman" w:cs="Times New Roman" w:eastAsia="Times New Roman" w:hAnsi="Times New Roman"/>
                <w:sz w:val="16"/>
                <w:szCs w:val="16"/>
                <w:color w:val="0000FF"/>
                <w:w w:val="97"/>
              </w:rPr>
            </w:pPr>
            <w:hyperlink r:id="rId152">
              <w:r>
                <w:rPr>
                  <w:rFonts w:ascii="Times New Roman" w:cs="Times New Roman" w:eastAsia="Times New Roman" w:hAnsi="Times New Roman"/>
                  <w:sz w:val="16"/>
                  <w:szCs w:val="16"/>
                  <w:color w:val="0000FF"/>
                  <w:w w:val="97"/>
                </w:rPr>
                <w:t>Amended and Restated Declaration of Trust among Pathfinder Bancorp, Inc., a federal corporation, as Sponsor, Wilmington Trust Company, as</w:t>
              </w:r>
            </w:hyperlink>
          </w:p>
        </w:tc>
        <w:tc>
          <w:tcPr>
            <w:tcW w:w="520" w:type="dxa"/>
            <w:vAlign w:val="bottom"/>
            <w:gridSpan w:val="15"/>
          </w:tcPr>
          <w:p>
            <w:pPr>
              <w:spacing w:after="0"/>
              <w:rPr>
                <w:sz w:val="24"/>
                <w:szCs w:val="24"/>
                <w:color w:val="auto"/>
              </w:rPr>
            </w:pPr>
          </w:p>
        </w:tc>
      </w:tr>
      <w:tr>
        <w:trPr>
          <w:trHeight w:val="160"/>
        </w:trPr>
        <w:tc>
          <w:tcPr>
            <w:tcW w:w="1080" w:type="dxa"/>
            <w:vAlign w:val="bottom"/>
          </w:tcPr>
          <w:p>
            <w:pPr>
              <w:spacing w:after="0"/>
              <w:rPr>
                <w:sz w:val="13"/>
                <w:szCs w:val="13"/>
                <w:color w:val="auto"/>
              </w:rPr>
            </w:pPr>
          </w:p>
        </w:tc>
        <w:tc>
          <w:tcPr>
            <w:tcW w:w="9500" w:type="dxa"/>
            <w:vAlign w:val="bottom"/>
            <w:gridSpan w:val="29"/>
          </w:tcPr>
          <w:p>
            <w:pPr>
              <w:spacing w:after="0" w:line="160" w:lineRule="exact"/>
              <w:rPr>
                <w:rFonts w:ascii="Times New Roman" w:cs="Times New Roman" w:eastAsia="Times New Roman" w:hAnsi="Times New Roman"/>
                <w:sz w:val="16"/>
                <w:szCs w:val="16"/>
                <w:color w:val="0000FF"/>
                <w:w w:val="97"/>
              </w:rPr>
            </w:pPr>
            <w:hyperlink r:id="rId152">
              <w:r>
                <w:rPr>
                  <w:rFonts w:ascii="Times New Roman" w:cs="Times New Roman" w:eastAsia="Times New Roman" w:hAnsi="Times New Roman"/>
                  <w:sz w:val="16"/>
                  <w:szCs w:val="16"/>
                  <w:color w:val="0000FF"/>
                  <w:w w:val="97"/>
                </w:rPr>
                <w:t>Delaware and Institutional Trustee, and the administrative trustees of the Pathfinder Statutory Trust II (Incorporated herein by reference to Exhibit 10.1</w:t>
              </w:r>
            </w:hyperlink>
          </w:p>
        </w:tc>
      </w:tr>
      <w:tr>
        <w:trPr>
          <w:trHeight w:val="160"/>
        </w:trPr>
        <w:tc>
          <w:tcPr>
            <w:tcW w:w="1080" w:type="dxa"/>
            <w:vAlign w:val="bottom"/>
          </w:tcPr>
          <w:p>
            <w:pPr>
              <w:spacing w:after="0"/>
              <w:rPr>
                <w:sz w:val="13"/>
                <w:szCs w:val="13"/>
                <w:color w:val="auto"/>
              </w:rPr>
            </w:pPr>
          </w:p>
        </w:tc>
        <w:tc>
          <w:tcPr>
            <w:tcW w:w="944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to Pathfinder Bancorp, Inc.’s Current Report on Form 8-K, file no. 001-36695, filed on October 22, 2014)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9500" w:type="dxa"/>
            <w:vAlign w:val="bottom"/>
            <w:gridSpan w:val="29"/>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Amendment two to the Trustee Deferral Fee Plan (Incorporated by reference to Exhibit 10.17 to Pathfinder Bancorp, Inc.’s Annual Report on Form</w:t>
              </w:r>
            </w:hyperlink>
          </w:p>
        </w:tc>
      </w:tr>
      <w:tr>
        <w:trPr>
          <w:trHeight w:val="160"/>
        </w:trPr>
        <w:tc>
          <w:tcPr>
            <w:tcW w:w="1080" w:type="dxa"/>
            <w:vAlign w:val="bottom"/>
          </w:tcPr>
          <w:p>
            <w:pPr>
              <w:spacing w:after="0"/>
              <w:rPr>
                <w:sz w:val="13"/>
                <w:szCs w:val="13"/>
                <w:color w:val="auto"/>
              </w:rPr>
            </w:pPr>
          </w:p>
        </w:tc>
        <w:tc>
          <w:tcPr>
            <w:tcW w:w="320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6"/>
              </w:rPr>
            </w:pPr>
            <w:hyperlink r:id="rId153">
              <w:r>
                <w:rPr>
                  <w:rFonts w:ascii="Times New Roman" w:cs="Times New Roman" w:eastAsia="Times New Roman" w:hAnsi="Times New Roman"/>
                  <w:sz w:val="16"/>
                  <w:szCs w:val="16"/>
                  <w:color w:val="0000FF"/>
                  <w:w w:val="96"/>
                </w:rPr>
                <w:t>10-K, file no. 001-36695, filed on March 18, 2015)</w:t>
              </w:r>
            </w:hyperlink>
          </w:p>
        </w:tc>
        <w:tc>
          <w:tcPr>
            <w:tcW w:w="6040" w:type="dxa"/>
            <w:vAlign w:val="bottom"/>
            <w:tcBorders>
              <w:top w:val="single" w:sz="8" w:color="0000EE"/>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9500" w:type="dxa"/>
            <w:vAlign w:val="bottom"/>
            <w:gridSpan w:val="29"/>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Amendment one to the Executive Deferral Compensation Plan (Incorporated by reference to Exhibit 10.18 to Pathfinder Bancorp, Inc.’s Annual</w:t>
              </w:r>
            </w:hyperlink>
          </w:p>
        </w:tc>
      </w:tr>
      <w:tr>
        <w:trPr>
          <w:trHeight w:val="160"/>
        </w:trPr>
        <w:tc>
          <w:tcPr>
            <w:tcW w:w="1080" w:type="dxa"/>
            <w:vAlign w:val="bottom"/>
          </w:tcPr>
          <w:p>
            <w:pPr>
              <w:spacing w:after="0"/>
              <w:rPr>
                <w:sz w:val="13"/>
                <w:szCs w:val="13"/>
                <w:color w:val="auto"/>
              </w:rPr>
            </w:pPr>
          </w:p>
        </w:tc>
        <w:tc>
          <w:tcPr>
            <w:tcW w:w="42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153">
              <w:r>
                <w:rPr>
                  <w:rFonts w:ascii="Times New Roman" w:cs="Times New Roman" w:eastAsia="Times New Roman" w:hAnsi="Times New Roman"/>
                  <w:sz w:val="16"/>
                  <w:szCs w:val="16"/>
                  <w:color w:val="0000FF"/>
                  <w:w w:val="97"/>
                </w:rPr>
                <w:t>Report on Form 10-K, file no. 001-36695, filed on March 18, 2015)</w:t>
              </w:r>
            </w:hyperlink>
          </w:p>
        </w:tc>
        <w:tc>
          <w:tcPr>
            <w:tcW w:w="4800" w:type="dxa"/>
            <w:vAlign w:val="bottom"/>
            <w:tcBorders>
              <w:top w:val="single" w:sz="8" w:color="0000EE"/>
            </w:tcBorders>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9500" w:type="dxa"/>
            <w:vAlign w:val="bottom"/>
            <w:gridSpan w:val="29"/>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Amendment one to the Supplemental Executive Retirement Plan (Incorporated by reference to Exhibit 10.19 to Pathfinder Bancorp, Inc.’s Annual</w:t>
              </w:r>
            </w:hyperlink>
          </w:p>
        </w:tc>
      </w:tr>
      <w:tr>
        <w:trPr>
          <w:trHeight w:val="160"/>
        </w:trPr>
        <w:tc>
          <w:tcPr>
            <w:tcW w:w="1080" w:type="dxa"/>
            <w:vAlign w:val="bottom"/>
          </w:tcPr>
          <w:p>
            <w:pPr>
              <w:spacing w:after="0"/>
              <w:rPr>
                <w:sz w:val="13"/>
                <w:szCs w:val="13"/>
                <w:color w:val="auto"/>
              </w:rPr>
            </w:pPr>
          </w:p>
        </w:tc>
        <w:tc>
          <w:tcPr>
            <w:tcW w:w="42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r:id="rId153">
              <w:r>
                <w:rPr>
                  <w:rFonts w:ascii="Times New Roman" w:cs="Times New Roman" w:eastAsia="Times New Roman" w:hAnsi="Times New Roman"/>
                  <w:sz w:val="16"/>
                  <w:szCs w:val="16"/>
                  <w:color w:val="0000FF"/>
                  <w:w w:val="97"/>
                </w:rPr>
                <w:t>Report on Form 10-K, file no. 001-36695, filed on March 18, 2015)</w:t>
              </w:r>
            </w:hyperlink>
          </w:p>
        </w:tc>
        <w:tc>
          <w:tcPr>
            <w:tcW w:w="4920" w:type="dxa"/>
            <w:vAlign w:val="bottom"/>
            <w:tcBorders>
              <w:top w:val="single" w:sz="8" w:color="0000EE"/>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9500" w:type="dxa"/>
            <w:vAlign w:val="bottom"/>
            <w:gridSpan w:val="29"/>
          </w:tcPr>
          <w:p>
            <w:pPr>
              <w:spacing w:after="0"/>
              <w:rPr>
                <w:rFonts w:ascii="Times New Roman" w:cs="Times New Roman" w:eastAsia="Times New Roman" w:hAnsi="Times New Roman"/>
                <w:sz w:val="16"/>
                <w:szCs w:val="16"/>
                <w:color w:val="0000FF"/>
                <w:w w:val="99"/>
              </w:rPr>
            </w:pPr>
            <w:hyperlink r:id="rId154">
              <w:r>
                <w:rPr>
                  <w:rFonts w:ascii="Times New Roman" w:cs="Times New Roman" w:eastAsia="Times New Roman" w:hAnsi="Times New Roman"/>
                  <w:sz w:val="16"/>
                  <w:szCs w:val="16"/>
                  <w:color w:val="0000FF"/>
                  <w:w w:val="99"/>
                </w:rPr>
                <w:t>Subordinated Loan Agreement (Incorporated herein by reference to Pathfinder Bancorp, Inc.’s Current Report on Form 8-K, file no. 001-36695, filed</w:t>
              </w:r>
            </w:hyperlink>
          </w:p>
        </w:tc>
      </w:tr>
      <w:tr>
        <w:trPr>
          <w:trHeight w:val="160"/>
        </w:trPr>
        <w:tc>
          <w:tcPr>
            <w:tcW w:w="1080" w:type="dxa"/>
            <w:vAlign w:val="bottom"/>
          </w:tcPr>
          <w:p>
            <w:pPr>
              <w:spacing w:after="0"/>
              <w:rPr>
                <w:sz w:val="13"/>
                <w:szCs w:val="13"/>
                <w:color w:val="auto"/>
              </w:rPr>
            </w:pPr>
          </w:p>
        </w:tc>
        <w:tc>
          <w:tcPr>
            <w:tcW w:w="93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on October 19,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9500" w:type="dxa"/>
            <w:vAlign w:val="bottom"/>
            <w:gridSpan w:val="29"/>
          </w:tcPr>
          <w:p>
            <w:pPr>
              <w:spacing w:after="0"/>
              <w:rPr>
                <w:rFonts w:ascii="Times New Roman" w:cs="Times New Roman" w:eastAsia="Times New Roman" w:hAnsi="Times New Roman"/>
                <w:sz w:val="16"/>
                <w:szCs w:val="16"/>
                <w:color w:val="0000FF"/>
                <w:w w:val="98"/>
              </w:rPr>
            </w:pPr>
            <w:hyperlink r:id="rId155">
              <w:r>
                <w:rPr>
                  <w:rFonts w:ascii="Times New Roman" w:cs="Times New Roman" w:eastAsia="Times New Roman" w:hAnsi="Times New Roman"/>
                  <w:sz w:val="16"/>
                  <w:szCs w:val="16"/>
                  <w:color w:val="0000FF"/>
                  <w:w w:val="98"/>
                </w:rPr>
                <w:t>2016 Pathfinder Bancorp, Inc. Equity Incentive Plan (Incorporated by reference to Appendix A to Pathfinder Bancorp, Inc.’s Proxy Statement, file no.</w:t>
              </w:r>
            </w:hyperlink>
          </w:p>
        </w:tc>
      </w:tr>
      <w:tr>
        <w:trPr>
          <w:trHeight w:val="160"/>
        </w:trPr>
        <w:tc>
          <w:tcPr>
            <w:tcW w:w="1080" w:type="dxa"/>
            <w:vAlign w:val="bottom"/>
          </w:tcPr>
          <w:p>
            <w:pPr>
              <w:spacing w:after="0"/>
              <w:rPr>
                <w:sz w:val="13"/>
                <w:szCs w:val="13"/>
                <w:color w:val="auto"/>
              </w:rPr>
            </w:pPr>
          </w:p>
        </w:tc>
        <w:tc>
          <w:tcPr>
            <w:tcW w:w="230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6"/>
              </w:rPr>
            </w:pPr>
            <w:hyperlink r:id="rId155">
              <w:r>
                <w:rPr>
                  <w:rFonts w:ascii="Times New Roman" w:cs="Times New Roman" w:eastAsia="Times New Roman" w:hAnsi="Times New Roman"/>
                  <w:sz w:val="16"/>
                  <w:szCs w:val="16"/>
                  <w:color w:val="0000FF"/>
                  <w:w w:val="96"/>
                </w:rPr>
                <w:t>001-36695, filed on March 29, 2016.</w:t>
              </w:r>
            </w:hyperlink>
          </w:p>
        </w:tc>
        <w:tc>
          <w:tcPr>
            <w:tcW w:w="7080" w:type="dxa"/>
            <w:vAlign w:val="bottom"/>
            <w:tcBorders>
              <w:top w:val="single" w:sz="8" w:color="0000EE"/>
            </w:tcBorders>
            <w:gridSpan w:val="2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6"/>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9500" w:type="dxa"/>
            <w:vAlign w:val="bottom"/>
            <w:gridSpan w:val="29"/>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Executive Supplemental Retirement Plan Agreement between Pathfinder Bank and Ronald Tascarella effective February 24, 2014 (Incorporated by</w:t>
              </w:r>
            </w:hyperlink>
          </w:p>
        </w:tc>
      </w:tr>
      <w:tr>
        <w:trPr>
          <w:trHeight w:val="160"/>
        </w:trPr>
        <w:tc>
          <w:tcPr>
            <w:tcW w:w="1080" w:type="dxa"/>
            <w:vAlign w:val="bottom"/>
          </w:tcPr>
          <w:p>
            <w:pPr>
              <w:spacing w:after="0"/>
              <w:rPr>
                <w:sz w:val="13"/>
                <w:szCs w:val="13"/>
                <w:color w:val="auto"/>
              </w:rPr>
            </w:pPr>
          </w:p>
        </w:tc>
        <w:tc>
          <w:tcPr>
            <w:tcW w:w="832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7"/>
              </w:rPr>
            </w:pPr>
            <w:hyperlink r:id="rId156">
              <w:r>
                <w:rPr>
                  <w:rFonts w:ascii="Times New Roman" w:cs="Times New Roman" w:eastAsia="Times New Roman" w:hAnsi="Times New Roman"/>
                  <w:sz w:val="16"/>
                  <w:szCs w:val="16"/>
                  <w:color w:val="0000FF"/>
                  <w:w w:val="97"/>
                </w:rPr>
                <w:t>reference to Exhibit 10.14 to Pathfinder Bancorp, Inc.’s Annual Report on Form 10-K, file no. 001-36695, filed on March 30, 2018).</w:t>
              </w:r>
            </w:hyperlink>
          </w:p>
        </w:tc>
        <w:tc>
          <w:tcPr>
            <w:tcW w:w="880" w:type="dxa"/>
            <w:vAlign w:val="bottom"/>
            <w:tcBorders>
              <w:top w:val="single" w:sz="8" w:color="0000EE"/>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9500" w:type="dxa"/>
            <w:vAlign w:val="bottom"/>
            <w:tcBorders>
              <w:bottom w:val="single" w:sz="8" w:color="0000EE"/>
            </w:tcBorders>
            <w:gridSpan w:val="29"/>
          </w:tcPr>
          <w:p>
            <w:pPr>
              <w:spacing w:after="0"/>
              <w:rPr>
                <w:rFonts w:ascii="Times New Roman" w:cs="Times New Roman" w:eastAsia="Times New Roman" w:hAnsi="Times New Roman"/>
                <w:sz w:val="16"/>
                <w:szCs w:val="16"/>
                <w:color w:val="0000FF"/>
                <w:w w:val="97"/>
              </w:rPr>
            </w:pPr>
            <w:hyperlink r:id="rId157">
              <w:r>
                <w:rPr>
                  <w:rFonts w:ascii="Times New Roman" w:cs="Times New Roman" w:eastAsia="Times New Roman" w:hAnsi="Times New Roman"/>
                  <w:sz w:val="16"/>
                  <w:szCs w:val="16"/>
                  <w:color w:val="0000FF"/>
                  <w:w w:val="97"/>
                </w:rPr>
                <w:t>Senior Executive Split Dollar Life Insurance Plan (Incorporated by reference to Exhibit 10.1 to Pathfinder Bancorp, Inc.’s Current Report on Form 8-K,</w:t>
              </w:r>
            </w:hyperlink>
          </w:p>
        </w:tc>
      </w:tr>
      <w:tr>
        <w:trPr>
          <w:trHeight w:val="160"/>
        </w:trPr>
        <w:tc>
          <w:tcPr>
            <w:tcW w:w="1080" w:type="dxa"/>
            <w:vAlign w:val="bottom"/>
          </w:tcPr>
          <w:p>
            <w:pPr>
              <w:spacing w:after="0"/>
              <w:rPr>
                <w:sz w:val="13"/>
                <w:szCs w:val="13"/>
                <w:color w:val="auto"/>
              </w:rPr>
            </w:pPr>
          </w:p>
        </w:tc>
        <w:tc>
          <w:tcPr>
            <w:tcW w:w="2860" w:type="dxa"/>
            <w:vAlign w:val="bottom"/>
            <w:tcBorders>
              <w:bottom w:val="single" w:sz="8" w:color="0000EE"/>
            </w:tcBorders>
            <w:gridSpan w:val="4"/>
          </w:tcPr>
          <w:p>
            <w:pPr>
              <w:spacing w:after="0" w:line="160" w:lineRule="exact"/>
              <w:rPr>
                <w:rFonts w:ascii="Times New Roman" w:cs="Times New Roman" w:eastAsia="Times New Roman" w:hAnsi="Times New Roman"/>
                <w:sz w:val="16"/>
                <w:szCs w:val="16"/>
                <w:color w:val="0000FF"/>
                <w:w w:val="96"/>
              </w:rPr>
            </w:pPr>
            <w:hyperlink r:id="rId157">
              <w:r>
                <w:rPr>
                  <w:rFonts w:ascii="Times New Roman" w:cs="Times New Roman" w:eastAsia="Times New Roman" w:hAnsi="Times New Roman"/>
                  <w:sz w:val="16"/>
                  <w:szCs w:val="16"/>
                  <w:color w:val="0000FF"/>
                  <w:w w:val="96"/>
                </w:rPr>
                <w:t>filed no. 001-36695, filed on January 7, 2019.</w:t>
              </w:r>
            </w:hyperlink>
          </w:p>
        </w:tc>
        <w:tc>
          <w:tcPr>
            <w:tcW w:w="6640" w:type="dxa"/>
            <w:vAlign w:val="bottom"/>
            <w:gridSpan w:val="25"/>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9500" w:type="dxa"/>
            <w:vAlign w:val="bottom"/>
            <w:gridSpan w:val="29"/>
          </w:tcPr>
          <w:p>
            <w:pPr>
              <w:spacing w:after="0"/>
              <w:rPr>
                <w:rFonts w:ascii="Times New Roman" w:cs="Times New Roman" w:eastAsia="Times New Roman" w:hAnsi="Times New Roman"/>
                <w:sz w:val="16"/>
                <w:szCs w:val="16"/>
                <w:color w:val="0000FF"/>
                <w:w w:val="97"/>
              </w:rPr>
            </w:pPr>
            <w:hyperlink r:id="rId158">
              <w:r>
                <w:rPr>
                  <w:rFonts w:ascii="Times New Roman" w:cs="Times New Roman" w:eastAsia="Times New Roman" w:hAnsi="Times New Roman"/>
                  <w:sz w:val="16"/>
                  <w:szCs w:val="16"/>
                  <w:color w:val="0000FF"/>
                  <w:w w:val="97"/>
                </w:rPr>
                <w:t>Employment Agreement between Pathfinder Bank and James A. Dowd (Incorporated by reference to Exhibit 10.1 to Pathfinder Bancorp, Inc.’s Current</w:t>
              </w:r>
            </w:hyperlink>
          </w:p>
        </w:tc>
      </w:tr>
      <w:tr>
        <w:trPr>
          <w:trHeight w:val="160"/>
        </w:trPr>
        <w:tc>
          <w:tcPr>
            <w:tcW w:w="1080" w:type="dxa"/>
            <w:vAlign w:val="bottom"/>
          </w:tcPr>
          <w:p>
            <w:pPr>
              <w:spacing w:after="0"/>
              <w:rPr>
                <w:sz w:val="13"/>
                <w:szCs w:val="13"/>
                <w:color w:val="auto"/>
              </w:rPr>
            </w:pPr>
          </w:p>
        </w:tc>
        <w:tc>
          <w:tcPr>
            <w:tcW w:w="440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6"/>
              </w:rPr>
            </w:pPr>
            <w:hyperlink r:id="rId158">
              <w:r>
                <w:rPr>
                  <w:rFonts w:ascii="Times New Roman" w:cs="Times New Roman" w:eastAsia="Times New Roman" w:hAnsi="Times New Roman"/>
                  <w:sz w:val="16"/>
                  <w:szCs w:val="16"/>
                  <w:color w:val="0000FF"/>
                  <w:w w:val="96"/>
                </w:rPr>
                <w:t>Report on Form 8-K, filed no. 001-36695, filed on September 9, 2024.</w:t>
              </w:r>
            </w:hyperlink>
          </w:p>
        </w:tc>
        <w:tc>
          <w:tcPr>
            <w:tcW w:w="508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9500" w:type="dxa"/>
            <w:vAlign w:val="bottom"/>
            <w:gridSpan w:val="29"/>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Change in Control Agreement between Pathfinder Bank, Pathfinder Bancorp, Inc. and Justin Bigham (Incorporated by reference to Exhibit 10.2 to</w:t>
              </w:r>
            </w:hyperlink>
          </w:p>
        </w:tc>
      </w:tr>
      <w:tr>
        <w:trPr>
          <w:trHeight w:val="160"/>
        </w:trPr>
        <w:tc>
          <w:tcPr>
            <w:tcW w:w="1080" w:type="dxa"/>
            <w:vAlign w:val="bottom"/>
          </w:tcPr>
          <w:p>
            <w:pPr>
              <w:spacing w:after="0"/>
              <w:rPr>
                <w:sz w:val="13"/>
                <w:szCs w:val="13"/>
                <w:color w:val="auto"/>
              </w:rPr>
            </w:pPr>
          </w:p>
        </w:tc>
        <w:tc>
          <w:tcPr>
            <w:tcW w:w="664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FF"/>
                <w:w w:val="97"/>
              </w:rPr>
            </w:pPr>
            <w:hyperlink r:id="rId159">
              <w:r>
                <w:rPr>
                  <w:rFonts w:ascii="Times New Roman" w:cs="Times New Roman" w:eastAsia="Times New Roman" w:hAnsi="Times New Roman"/>
                  <w:sz w:val="16"/>
                  <w:szCs w:val="16"/>
                  <w:color w:val="0000FF"/>
                  <w:w w:val="97"/>
                </w:rPr>
                <w:t>Pathfinder Bancorp, Inc.’s Current Report on Form 8-K, filed no. 001-36695, filed on September 9, 2024.</w:t>
              </w:r>
            </w:hyperlink>
          </w:p>
        </w:tc>
        <w:tc>
          <w:tcPr>
            <w:tcW w:w="2500" w:type="dxa"/>
            <w:vAlign w:val="bottom"/>
            <w:tcBorders>
              <w:top w:val="single" w:sz="8" w:color="0000EE"/>
            </w:tcBorders>
            <w:gridSpan w:val="8"/>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9320" w:type="dxa"/>
            <w:vAlign w:val="bottom"/>
            <w:tcBorders>
              <w:bottom w:val="single" w:sz="8" w:color="0000EE"/>
            </w:tcBorders>
            <w:gridSpan w:val="23"/>
          </w:tcPr>
          <w:p>
            <w:pPr>
              <w:spacing w:after="0"/>
              <w:rPr>
                <w:rFonts w:ascii="Times New Roman" w:cs="Times New Roman" w:eastAsia="Times New Roman" w:hAnsi="Times New Roman"/>
                <w:sz w:val="16"/>
                <w:szCs w:val="16"/>
                <w:color w:val="0000FF"/>
                <w:w w:val="97"/>
              </w:rPr>
            </w:pPr>
            <w:hyperlink r:id="rId160">
              <w:r>
                <w:rPr>
                  <w:rFonts w:ascii="Times New Roman" w:cs="Times New Roman" w:eastAsia="Times New Roman" w:hAnsi="Times New Roman"/>
                  <w:sz w:val="16"/>
                  <w:szCs w:val="16"/>
                  <w:color w:val="0000FF"/>
                  <w:w w:val="97"/>
                </w:rPr>
                <w:t>Securities Purchase Agreement, by and between Pathfinder Bancorp, Inc. and the Purchasers Identified on the Signature Pages Thereto, dated May 8,</w:t>
              </w:r>
            </w:hyperlink>
          </w:p>
        </w:tc>
        <w:tc>
          <w:tcPr>
            <w:tcW w:w="180" w:type="dxa"/>
            <w:vAlign w:val="bottom"/>
            <w:gridSpan w:val="6"/>
          </w:tcPr>
          <w:p>
            <w:pPr>
              <w:spacing w:after="0"/>
              <w:rPr>
                <w:sz w:val="24"/>
                <w:szCs w:val="24"/>
                <w:color w:val="auto"/>
              </w:rPr>
            </w:pPr>
          </w:p>
        </w:tc>
      </w:tr>
      <w:tr>
        <w:trPr>
          <w:trHeight w:val="160"/>
        </w:trPr>
        <w:tc>
          <w:tcPr>
            <w:tcW w:w="1080" w:type="dxa"/>
            <w:vAlign w:val="bottom"/>
          </w:tcPr>
          <w:p>
            <w:pPr>
              <w:spacing w:after="0"/>
              <w:rPr>
                <w:sz w:val="13"/>
                <w:szCs w:val="13"/>
                <w:color w:val="auto"/>
              </w:rPr>
            </w:pPr>
          </w:p>
        </w:tc>
        <w:tc>
          <w:tcPr>
            <w:tcW w:w="9500" w:type="dxa"/>
            <w:vAlign w:val="bottom"/>
            <w:gridSpan w:val="29"/>
          </w:tcPr>
          <w:p>
            <w:pPr>
              <w:spacing w:after="0" w:line="160" w:lineRule="exact"/>
              <w:rPr>
                <w:rFonts w:ascii="Times New Roman" w:cs="Times New Roman" w:eastAsia="Times New Roman" w:hAnsi="Times New Roman"/>
                <w:sz w:val="16"/>
                <w:szCs w:val="16"/>
                <w:color w:val="0000FF"/>
                <w:w w:val="98"/>
              </w:rPr>
            </w:pPr>
            <w:hyperlink r:id="rId160">
              <w:r>
                <w:rPr>
                  <w:rFonts w:ascii="Times New Roman" w:cs="Times New Roman" w:eastAsia="Times New Roman" w:hAnsi="Times New Roman"/>
                  <w:sz w:val="16"/>
                  <w:szCs w:val="16"/>
                  <w:color w:val="0000FF"/>
                  <w:w w:val="98"/>
                </w:rPr>
                <w:t>2019 (Incorporated herein by reference to Exhibit 10.1 to Pathfinder Bancorp, Inc.’s Current Report on Form 8-K, file no. 001-36695, filed on May 9,</w:t>
              </w:r>
            </w:hyperlink>
          </w:p>
        </w:tc>
      </w:tr>
      <w:tr>
        <w:trPr>
          <w:trHeight w:val="160"/>
        </w:trPr>
        <w:tc>
          <w:tcPr>
            <w:tcW w:w="108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0"/>
              </w:rPr>
            </w:pPr>
            <w:hyperlink r:id="rId160">
              <w:r>
                <w:rPr>
                  <w:rFonts w:ascii="Times New Roman" w:cs="Times New Roman" w:eastAsia="Times New Roman" w:hAnsi="Times New Roman"/>
                  <w:sz w:val="16"/>
                  <w:szCs w:val="16"/>
                  <w:color w:val="0000FF"/>
                  <w:w w:val="90"/>
                </w:rPr>
                <w:t>2019)</w:t>
              </w:r>
            </w:hyperlink>
          </w:p>
        </w:tc>
        <w:tc>
          <w:tcPr>
            <w:tcW w:w="960" w:type="dxa"/>
            <w:vAlign w:val="bottom"/>
            <w:tcBorders>
              <w:top w:val="single" w:sz="8" w:color="0000EE"/>
            </w:tcBorders>
          </w:tcPr>
          <w:p>
            <w:pPr>
              <w:spacing w:after="0"/>
              <w:rPr>
                <w:sz w:val="13"/>
                <w:szCs w:val="13"/>
                <w:color w:val="auto"/>
              </w:rPr>
            </w:pPr>
          </w:p>
        </w:tc>
        <w:tc>
          <w:tcPr>
            <w:tcW w:w="9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240" w:type="dxa"/>
            <w:vAlign w:val="bottom"/>
            <w:tcBorders>
              <w:top w:val="single" w:sz="8" w:color="0000EE"/>
            </w:tcBorders>
          </w:tcPr>
          <w:p>
            <w:pPr>
              <w:spacing w:after="0"/>
              <w:rPr>
                <w:sz w:val="13"/>
                <w:szCs w:val="13"/>
                <w:color w:val="auto"/>
              </w:rPr>
            </w:pPr>
          </w:p>
        </w:tc>
        <w:tc>
          <w:tcPr>
            <w:tcW w:w="15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9500" w:type="dxa"/>
            <w:vAlign w:val="bottom"/>
            <w:gridSpan w:val="29"/>
          </w:tcPr>
          <w:p>
            <w:pPr>
              <w:spacing w:after="0"/>
              <w:rPr>
                <w:rFonts w:ascii="Times New Roman" w:cs="Times New Roman" w:eastAsia="Times New Roman" w:hAnsi="Times New Roman"/>
                <w:sz w:val="16"/>
                <w:szCs w:val="16"/>
                <w:color w:val="0000FF"/>
                <w:w w:val="97"/>
              </w:rPr>
            </w:pPr>
            <w:hyperlink r:id="rId161">
              <w:r>
                <w:rPr>
                  <w:rFonts w:ascii="Times New Roman" w:cs="Times New Roman" w:eastAsia="Times New Roman" w:hAnsi="Times New Roman"/>
                  <w:sz w:val="16"/>
                  <w:szCs w:val="16"/>
                  <w:color w:val="0000FF"/>
                  <w:w w:val="97"/>
                </w:rPr>
                <w:t>Registration Rights Agreement, by and between Pathfinder Bancorp, Inc. and Castle Creek Capital Partners VII, L.P., dated May 8, 2019 (Incorporated</w:t>
              </w:r>
            </w:hyperlink>
          </w:p>
        </w:tc>
      </w:tr>
      <w:tr>
        <w:trPr>
          <w:trHeight w:val="160"/>
        </w:trPr>
        <w:tc>
          <w:tcPr>
            <w:tcW w:w="1080" w:type="dxa"/>
            <w:vAlign w:val="bottom"/>
          </w:tcPr>
          <w:p>
            <w:pPr>
              <w:spacing w:after="0"/>
              <w:rPr>
                <w:sz w:val="13"/>
                <w:szCs w:val="13"/>
                <w:color w:val="auto"/>
              </w:rPr>
            </w:pPr>
          </w:p>
        </w:tc>
        <w:tc>
          <w:tcPr>
            <w:tcW w:w="944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herein by reference to Exhibit 10.2 to Pathfinder Bancorp, Inc.’s Current Report on Form 8-K, file no. 001-36695, filed on May 9, 2019)</w:t>
              </w:r>
            </w:hyperlink>
          </w:p>
        </w:tc>
        <w:tc>
          <w:tcPr>
            <w:tcW w:w="6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520" w:type="dxa"/>
            <w:vAlign w:val="bottom"/>
            <w:gridSpan w:val="1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9500" w:type="dxa"/>
            <w:vAlign w:val="bottom"/>
            <w:gridSpan w:val="29"/>
          </w:tcPr>
          <w:p>
            <w:pPr>
              <w:spacing w:after="0"/>
              <w:rPr>
                <w:rFonts w:ascii="Times New Roman" w:cs="Times New Roman" w:eastAsia="Times New Roman" w:hAnsi="Times New Roman"/>
                <w:sz w:val="16"/>
                <w:szCs w:val="16"/>
                <w:color w:val="0000FF"/>
                <w:w w:val="99"/>
              </w:rPr>
            </w:pPr>
            <w:hyperlink r:id="rId162">
              <w:r>
                <w:rPr>
                  <w:rFonts w:ascii="Times New Roman" w:cs="Times New Roman" w:eastAsia="Times New Roman" w:hAnsi="Times New Roman"/>
                  <w:sz w:val="16"/>
                  <w:szCs w:val="16"/>
                  <w:color w:val="0000FF"/>
                  <w:w w:val="99"/>
                </w:rPr>
                <w:t>Form of Subordinated Note Purchase Agreement, dated as of October 14, 2020, by and between Pathfinder Bancorp, Inc. and the Several Purchasers</w:t>
              </w:r>
            </w:hyperlink>
          </w:p>
        </w:tc>
      </w:tr>
      <w:tr>
        <w:trPr>
          <w:trHeight w:val="160"/>
        </w:trPr>
        <w:tc>
          <w:tcPr>
            <w:tcW w:w="1080" w:type="dxa"/>
            <w:vAlign w:val="bottom"/>
          </w:tcPr>
          <w:p>
            <w:pPr>
              <w:spacing w:after="0"/>
              <w:rPr>
                <w:sz w:val="13"/>
                <w:szCs w:val="13"/>
                <w:color w:val="auto"/>
              </w:rPr>
            </w:pPr>
          </w:p>
        </w:tc>
        <w:tc>
          <w:tcPr>
            <w:tcW w:w="9280" w:type="dxa"/>
            <w:vAlign w:val="bottom"/>
            <w:tcBorders>
              <w:top w:val="single" w:sz="8" w:color="0000EE"/>
              <w:bottom w:val="single" w:sz="8" w:color="0000EE"/>
            </w:tcBorders>
            <w:gridSpan w:val="21"/>
          </w:tcPr>
          <w:p>
            <w:pPr>
              <w:spacing w:after="0" w:line="160" w:lineRule="exact"/>
              <w:rPr>
                <w:rFonts w:ascii="Times New Roman" w:cs="Times New Roman" w:eastAsia="Times New Roman" w:hAnsi="Times New Roman"/>
                <w:sz w:val="16"/>
                <w:szCs w:val="16"/>
                <w:color w:val="0000FF"/>
                <w:w w:val="97"/>
              </w:rPr>
            </w:pPr>
            <w:hyperlink r:id="rId162">
              <w:r>
                <w:rPr>
                  <w:rFonts w:ascii="Times New Roman" w:cs="Times New Roman" w:eastAsia="Times New Roman" w:hAnsi="Times New Roman"/>
                  <w:sz w:val="16"/>
                  <w:szCs w:val="16"/>
                  <w:color w:val="0000FF"/>
                  <w:w w:val="97"/>
                </w:rPr>
                <w:t>(Incorporated by reference to Exhibit 10.1 to Pathfinder Bancorp, Inc.’s Current Report on Form 8-K, file no. 001-36695, filed on October 15, 2020)</w:t>
              </w:r>
            </w:hyperlink>
          </w:p>
        </w:tc>
        <w:tc>
          <w:tcPr>
            <w:tcW w:w="220" w:type="dxa"/>
            <w:vAlign w:val="bottom"/>
            <w:gridSpan w:val="8"/>
          </w:tcPr>
          <w:p>
            <w:pPr>
              <w:spacing w:after="0"/>
              <w:rPr>
                <w:sz w:val="13"/>
                <w:szCs w:val="13"/>
                <w:color w:val="auto"/>
              </w:rPr>
            </w:pPr>
          </w:p>
        </w:tc>
      </w:tr>
      <w:tr>
        <w:trPr>
          <w:trHeight w:val="340"/>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9500" w:type="dxa"/>
            <w:vAlign w:val="bottom"/>
            <w:gridSpan w:val="29"/>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Form of Registration Rights Agreement, dated as of October 14, 2020, by and between Pathfinder Bancorp, Inc. and the Several Purchasers</w:t>
              </w:r>
            </w:hyperlink>
          </w:p>
        </w:tc>
      </w:tr>
      <w:tr>
        <w:trPr>
          <w:trHeight w:val="160"/>
        </w:trPr>
        <w:tc>
          <w:tcPr>
            <w:tcW w:w="1080" w:type="dxa"/>
            <w:vAlign w:val="bottom"/>
          </w:tcPr>
          <w:p>
            <w:pPr>
              <w:spacing w:after="0"/>
              <w:rPr>
                <w:sz w:val="13"/>
                <w:szCs w:val="13"/>
                <w:color w:val="auto"/>
              </w:rPr>
            </w:pPr>
          </w:p>
        </w:tc>
        <w:tc>
          <w:tcPr>
            <w:tcW w:w="87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w w:val="97"/>
              </w:rPr>
            </w:pPr>
            <w:hyperlink r:id="rId163">
              <w:r>
                <w:rPr>
                  <w:rFonts w:ascii="Times New Roman" w:cs="Times New Roman" w:eastAsia="Times New Roman" w:hAnsi="Times New Roman"/>
                  <w:sz w:val="16"/>
                  <w:szCs w:val="16"/>
                  <w:color w:val="0000FF"/>
                  <w:w w:val="97"/>
                </w:rPr>
                <w:t>(Incorporated by reference to Exhibit 10.2 to Pathfinder Bancorp, Inc.’s Current Report on Form 8-K, file no. 001-36695, filed on October</w:t>
              </w:r>
            </w:hyperlink>
          </w:p>
        </w:tc>
        <w:tc>
          <w:tcPr>
            <w:tcW w:w="800" w:type="dxa"/>
            <w:vAlign w:val="bottom"/>
            <w:gridSpan w:val="16"/>
          </w:tcPr>
          <w:p>
            <w:pPr>
              <w:jc w:val="right"/>
              <w:ind w:right="220"/>
              <w:spacing w:after="0" w:line="160" w:lineRule="exact"/>
              <w:rPr>
                <w:rFonts w:ascii="Times New Roman" w:cs="Times New Roman" w:eastAsia="Times New Roman" w:hAnsi="Times New Roman"/>
                <w:sz w:val="16"/>
                <w:szCs w:val="16"/>
                <w:color w:val="0000FF"/>
                <w:w w:val="91"/>
              </w:rPr>
            </w:pPr>
            <w:hyperlink r:id="rId163">
              <w:r>
                <w:rPr>
                  <w:rFonts w:ascii="Times New Roman" w:cs="Times New Roman" w:eastAsia="Times New Roman" w:hAnsi="Times New Roman"/>
                  <w:sz w:val="16"/>
                  <w:szCs w:val="16"/>
                  <w:color w:val="0000FF"/>
                  <w:w w:val="91"/>
                </w:rPr>
                <w:t>15, 2020)</w:t>
              </w:r>
            </w:hyperlink>
          </w:p>
        </w:tc>
      </w:tr>
      <w:tr>
        <w:trPr>
          <w:trHeight w:val="502"/>
        </w:trPr>
        <w:tc>
          <w:tcPr>
            <w:tcW w:w="1080" w:type="dxa"/>
            <w:vAlign w:val="bottom"/>
          </w:tcPr>
          <w:p>
            <w:pPr>
              <w:spacing w:after="0"/>
              <w:rPr>
                <w:sz w:val="24"/>
                <w:szCs w:val="24"/>
                <w:color w:val="auto"/>
              </w:rPr>
            </w:pPr>
          </w:p>
        </w:tc>
        <w:tc>
          <w:tcPr>
            <w:tcW w:w="6640" w:type="dxa"/>
            <w:vAlign w:val="bottom"/>
            <w:tcBorders>
              <w:top w:val="single" w:sz="8" w:color="0000EE"/>
            </w:tcBorders>
            <w:gridSpan w:val="9"/>
          </w:tcPr>
          <w:p>
            <w:pPr>
              <w:ind w:left="4240"/>
              <w:spacing w:after="0"/>
              <w:rPr>
                <w:sz w:val="20"/>
                <w:szCs w:val="20"/>
                <w:color w:val="auto"/>
              </w:rPr>
            </w:pPr>
            <w:r>
              <w:rPr>
                <w:rFonts w:ascii="Times New Roman" w:cs="Times New Roman" w:eastAsia="Times New Roman" w:hAnsi="Times New Roman"/>
                <w:sz w:val="18"/>
                <w:szCs w:val="18"/>
                <w:color w:val="auto"/>
              </w:rPr>
              <w:t>- 122 -</w:t>
            </w:r>
          </w:p>
        </w:tc>
        <w:tc>
          <w:tcPr>
            <w:tcW w:w="1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8"/>
        </w:trPr>
        <w:tc>
          <w:tcPr>
            <w:tcW w:w="10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24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2" w:name="page123"/>
    <w:bookmarkEnd w:id="122"/>
    <w:tbl>
      <w:tblPr>
        <w:tblLayout w:type="fixed"/>
        <w:tblInd w:w="20" w:type="dxa"/>
        <w:tblCellMar>
          <w:top w:w="0" w:type="dxa"/>
          <w:left w:w="0" w:type="dxa"/>
          <w:bottom w:w="0" w:type="dxa"/>
          <w:right w:w="0" w:type="dxa"/>
        </w:tblCellMar>
      </w:tblPr>
      <w:tr>
        <w:trPr>
          <w:trHeight w:val="184"/>
        </w:trPr>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88"/>
              </w:rPr>
              <w:t>10.20</w:t>
            </w:r>
          </w:p>
        </w:tc>
        <w:tc>
          <w:tcPr>
            <w:tcW w:w="9440" w:type="dxa"/>
            <w:vAlign w:val="bottom"/>
            <w:gridSpan w:val="9"/>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Exchange Agreement, dated as of November 13, 2020, by and between Pathfinder Bancorp, Inc. and Castle Creek Capital Partners VII, LP.</w:t>
              </w:r>
            </w:hyperlink>
          </w:p>
        </w:tc>
      </w:tr>
      <w:tr>
        <w:trPr>
          <w:trHeight w:val="160"/>
        </w:trPr>
        <w:tc>
          <w:tcPr>
            <w:tcW w:w="1060" w:type="dxa"/>
            <w:vAlign w:val="bottom"/>
          </w:tcPr>
          <w:p>
            <w:pPr>
              <w:spacing w:after="0"/>
              <w:rPr>
                <w:sz w:val="13"/>
                <w:szCs w:val="13"/>
                <w:color w:val="auto"/>
              </w:rPr>
            </w:pPr>
          </w:p>
        </w:tc>
        <w:tc>
          <w:tcPr>
            <w:tcW w:w="870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w w:val="96"/>
              </w:rPr>
            </w:pPr>
            <w:hyperlink r:id="rId165">
              <w:r>
                <w:rPr>
                  <w:rFonts w:ascii="Times New Roman" w:cs="Times New Roman" w:eastAsia="Times New Roman" w:hAnsi="Times New Roman"/>
                  <w:sz w:val="16"/>
                  <w:szCs w:val="16"/>
                  <w:color w:val="0000FF"/>
                  <w:w w:val="96"/>
                </w:rPr>
                <w:t>(Incorporated by reference to Exhibit 10.1 to Pathfinder Bancorp, Inc.’s Current Report on Form 8-K, file no. 001-36695, filed on November</w:t>
              </w:r>
            </w:hyperlink>
          </w:p>
        </w:tc>
        <w:tc>
          <w:tcPr>
            <w:tcW w:w="740" w:type="dxa"/>
            <w:vAlign w:val="bottom"/>
            <w:gridSpan w:val="5"/>
          </w:tcPr>
          <w:p>
            <w:pPr>
              <w:jc w:val="right"/>
              <w:spacing w:after="0" w:line="160"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17, 2020)</w:t>
              </w:r>
            </w:hyperlink>
          </w:p>
        </w:tc>
      </w:tr>
      <w:tr>
        <w:trPr>
          <w:trHeight w:val="340"/>
        </w:trPr>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88"/>
              </w:rPr>
              <w:t>10.21</w:t>
            </w:r>
          </w:p>
        </w:tc>
        <w:tc>
          <w:tcPr>
            <w:tcW w:w="9420" w:type="dxa"/>
            <w:vAlign w:val="bottom"/>
            <w:tcBorders>
              <w:top w:val="single" w:sz="8" w:color="0000EE"/>
            </w:tcBorders>
            <w:gridSpan w:val="8"/>
          </w:tcPr>
          <w:p>
            <w:pPr>
              <w:spacing w:after="0"/>
              <w:rPr>
                <w:rFonts w:ascii="Times New Roman" w:cs="Times New Roman" w:eastAsia="Times New Roman" w:hAnsi="Times New Roman"/>
                <w:sz w:val="16"/>
                <w:szCs w:val="16"/>
                <w:color w:val="0000FF"/>
                <w:w w:val="97"/>
              </w:rPr>
            </w:pPr>
            <w:hyperlink r:id="rId166">
              <w:r>
                <w:rPr>
                  <w:rFonts w:ascii="Times New Roman" w:cs="Times New Roman" w:eastAsia="Times New Roman" w:hAnsi="Times New Roman"/>
                  <w:sz w:val="16"/>
                  <w:szCs w:val="16"/>
                  <w:color w:val="0000FF"/>
                  <w:w w:val="97"/>
                </w:rPr>
                <w:t>Amendment to the Registration Rights Agreement (Incorporated by reference to Exhibit 10.1 to Pathfinder Bancorp, Inc.'s Current Report on Form 8</w:t>
              </w:r>
            </w:hyperlink>
            <w:r>
              <w:rPr>
                <w:rFonts w:ascii="Times New Roman" w:cs="Times New Roman" w:eastAsia="Times New Roman" w:hAnsi="Times New Roman"/>
                <w:sz w:val="16"/>
                <w:szCs w:val="16"/>
                <w:color w:val="0000FF"/>
                <w:w w:val="97"/>
              </w:rPr>
              <w:t>-</w:t>
            </w:r>
          </w:p>
        </w:tc>
        <w:tc>
          <w:tcPr>
            <w:tcW w:w="20" w:type="dxa"/>
            <w:vAlign w:val="bottom"/>
          </w:tcPr>
          <w:p>
            <w:pPr>
              <w:spacing w:after="0"/>
              <w:rPr>
                <w:sz w:val="24"/>
                <w:szCs w:val="24"/>
                <w:color w:val="auto"/>
              </w:rPr>
            </w:pPr>
          </w:p>
        </w:tc>
      </w:tr>
      <w:tr>
        <w:trPr>
          <w:trHeight w:val="160"/>
        </w:trPr>
        <w:tc>
          <w:tcPr>
            <w:tcW w:w="1060" w:type="dxa"/>
            <w:vAlign w:val="bottom"/>
          </w:tcPr>
          <w:p>
            <w:pPr>
              <w:spacing w:after="0"/>
              <w:rPr>
                <w:sz w:val="13"/>
                <w:szCs w:val="13"/>
                <w:color w:val="auto"/>
              </w:rPr>
            </w:pPr>
          </w:p>
        </w:tc>
        <w:tc>
          <w:tcPr>
            <w:tcW w:w="93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K, file no. 001-36695, filed on May 8,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88"/>
              </w:rPr>
              <w:t>10.22</w:t>
            </w:r>
          </w:p>
        </w:tc>
        <w:tc>
          <w:tcPr>
            <w:tcW w:w="9440" w:type="dxa"/>
            <w:vAlign w:val="bottom"/>
            <w:gridSpan w:val="9"/>
          </w:tcPr>
          <w:p>
            <w:pPr>
              <w:spacing w:after="0"/>
              <w:rPr>
                <w:rFonts w:ascii="Times New Roman" w:cs="Times New Roman" w:eastAsia="Times New Roman" w:hAnsi="Times New Roman"/>
                <w:sz w:val="16"/>
                <w:szCs w:val="16"/>
                <w:color w:val="0000FF"/>
                <w:w w:val="97"/>
              </w:rPr>
            </w:pPr>
            <w:hyperlink r:id="rId167">
              <w:r>
                <w:rPr>
                  <w:rFonts w:ascii="Times New Roman" w:cs="Times New Roman" w:eastAsia="Times New Roman" w:hAnsi="Times New Roman"/>
                  <w:sz w:val="16"/>
                  <w:szCs w:val="16"/>
                  <w:color w:val="0000FF"/>
                  <w:w w:val="97"/>
                </w:rPr>
                <w:t>2024 Pathfinder Bancorp, Inc. Equity Incentive Plan (Incorporated by reference to Appendix A to Pathfinder Bancorp, Inc.’s Proxy Statement, file no.</w:t>
              </w:r>
            </w:hyperlink>
          </w:p>
        </w:tc>
      </w:tr>
      <w:tr>
        <w:trPr>
          <w:trHeight w:val="160"/>
        </w:trPr>
        <w:tc>
          <w:tcPr>
            <w:tcW w:w="1060" w:type="dxa"/>
            <w:vAlign w:val="bottom"/>
          </w:tcPr>
          <w:p>
            <w:pPr>
              <w:spacing w:after="0"/>
              <w:rPr>
                <w:sz w:val="13"/>
                <w:szCs w:val="13"/>
                <w:color w:val="auto"/>
              </w:rPr>
            </w:pPr>
          </w:p>
        </w:tc>
        <w:tc>
          <w:tcPr>
            <w:tcW w:w="22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6"/>
              </w:rPr>
            </w:pPr>
            <w:hyperlink r:id="rId167">
              <w:r>
                <w:rPr>
                  <w:rFonts w:ascii="Times New Roman" w:cs="Times New Roman" w:eastAsia="Times New Roman" w:hAnsi="Times New Roman"/>
                  <w:sz w:val="16"/>
                  <w:szCs w:val="16"/>
                  <w:color w:val="0000FF"/>
                  <w:w w:val="96"/>
                </w:rPr>
                <w:t>001-36695, filed on April 22, 2024)</w:t>
              </w:r>
            </w:hyperlink>
          </w:p>
        </w:tc>
        <w:tc>
          <w:tcPr>
            <w:tcW w:w="714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88"/>
              </w:rPr>
              <w:t>10.23</w:t>
            </w:r>
          </w:p>
        </w:tc>
        <w:tc>
          <w:tcPr>
            <w:tcW w:w="9440" w:type="dxa"/>
            <w:vAlign w:val="bottom"/>
            <w:gridSpan w:val="9"/>
          </w:tcPr>
          <w:p>
            <w:pPr>
              <w:spacing w:after="0"/>
              <w:rPr>
                <w:rFonts w:ascii="Times New Roman" w:cs="Times New Roman" w:eastAsia="Times New Roman" w:hAnsi="Times New Roman"/>
                <w:sz w:val="16"/>
                <w:szCs w:val="16"/>
                <w:color w:val="0000FF"/>
                <w:w w:val="97"/>
              </w:rPr>
            </w:pPr>
            <w:hyperlink r:id="rId168">
              <w:r>
                <w:rPr>
                  <w:rFonts w:ascii="Times New Roman" w:cs="Times New Roman" w:eastAsia="Times New Roman" w:hAnsi="Times New Roman"/>
                  <w:sz w:val="16"/>
                  <w:szCs w:val="16"/>
                  <w:color w:val="0000FF"/>
                  <w:w w:val="97"/>
                </w:rPr>
                <w:t>Retirement and Consulting Agreement between Pathfinder Bank, Pathfinder Bancorp, Inc. and Walter F. Rusnak (Incorporated by reference to Exhibit</w:t>
              </w:r>
            </w:hyperlink>
          </w:p>
        </w:tc>
      </w:tr>
      <w:tr>
        <w:trPr>
          <w:trHeight w:val="160"/>
        </w:trPr>
        <w:tc>
          <w:tcPr>
            <w:tcW w:w="1060" w:type="dxa"/>
            <w:vAlign w:val="bottom"/>
          </w:tcPr>
          <w:p>
            <w:pPr>
              <w:spacing w:after="0"/>
              <w:rPr>
                <w:sz w:val="13"/>
                <w:szCs w:val="13"/>
                <w:color w:val="auto"/>
              </w:rPr>
            </w:pPr>
          </w:p>
        </w:tc>
        <w:tc>
          <w:tcPr>
            <w:tcW w:w="668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7"/>
              </w:rPr>
            </w:pPr>
            <w:hyperlink r:id="rId168">
              <w:r>
                <w:rPr>
                  <w:rFonts w:ascii="Times New Roman" w:cs="Times New Roman" w:eastAsia="Times New Roman" w:hAnsi="Times New Roman"/>
                  <w:sz w:val="16"/>
                  <w:szCs w:val="16"/>
                  <w:color w:val="0000FF"/>
                  <w:w w:val="97"/>
                </w:rPr>
                <w:t>10.2 to Pathfinder Bancorp, Inc.'s Current Report on Form 8-K, filed no. 001-36695, filed on May 8, 2024)</w:t>
              </w:r>
            </w:hyperlink>
          </w:p>
        </w:tc>
        <w:tc>
          <w:tcPr>
            <w:tcW w:w="2720" w:type="dxa"/>
            <w:vAlign w:val="bottom"/>
            <w:tcBorders>
              <w:top w:val="single" w:sz="8" w:color="0000EE"/>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179" w:lineRule="exact"/>
        <w:rPr>
          <w:sz w:val="20"/>
          <w:szCs w:val="20"/>
          <w:color w:val="auto"/>
        </w:rPr>
      </w:pPr>
    </w:p>
    <w:p>
      <w:pPr>
        <w:ind w:left="1080" w:right="140" w:hanging="1062"/>
        <w:spacing w:after="0" w:line="259" w:lineRule="auto"/>
        <w:tabs>
          <w:tab w:leader="none" w:pos="1080" w:val="left"/>
        </w:tabs>
        <w:numPr>
          <w:ilvl w:val="0"/>
          <w:numId w:val="7"/>
        </w:numPr>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Code of Ethics (Incorporated by reference to Exhibit 14 to Pathfinder Bancorp, Inc.’s Annual Report on Form 10-K for the year ended December 31,</w:t>
        </w:r>
      </w:hyperlink>
      <w:r>
        <w:rPr>
          <w:rFonts w:ascii="Times New Roman" w:cs="Times New Roman" w:eastAsia="Times New Roman" w:hAnsi="Times New Roman"/>
          <w:sz w:val="16"/>
          <w:szCs w:val="16"/>
          <w:color w:val="0000FF"/>
        </w:rPr>
        <w:t xml:space="preserve"> </w:t>
      </w:r>
      <w:hyperlink r:id="rId169">
        <w:r>
          <w:rPr>
            <w:rFonts w:ascii="Times New Roman" w:cs="Times New Roman" w:eastAsia="Times New Roman" w:hAnsi="Times New Roman"/>
            <w:sz w:val="16"/>
            <w:szCs w:val="16"/>
            <w:color w:val="0000FF"/>
          </w:rPr>
          <w:t>2003, file no. 000-23601, filed on March 31, 2004)</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681990</wp:posOffset>
            </wp:positionH>
            <wp:positionV relativeFrom="paragraph">
              <wp:posOffset>-144145</wp:posOffset>
            </wp:positionV>
            <wp:extent cx="590740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5907405"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-29845</wp:posOffset>
            </wp:positionV>
            <wp:extent cx="20275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2027555" cy="7620"/>
                    </a:xfrm>
                    <a:prstGeom prst="rect">
                      <a:avLst/>
                    </a:prstGeom>
                    <a:noFill/>
                  </pic:spPr>
                </pic:pic>
              </a:graphicData>
            </a:graphic>
          </wp:anchor>
        </w:drawing>
      </w:r>
    </w:p>
    <w:p>
      <w:pPr>
        <w:spacing w:after="0" w:line="123" w:lineRule="exact"/>
        <w:rPr>
          <w:rFonts w:ascii="Times New Roman" w:cs="Times New Roman" w:eastAsia="Times New Roman" w:hAnsi="Times New Roman"/>
          <w:sz w:val="16"/>
          <w:szCs w:val="16"/>
          <w:color w:val="auto"/>
        </w:rPr>
      </w:pPr>
    </w:p>
    <w:p>
      <w:pPr>
        <w:ind w:left="1080" w:hanging="1062"/>
        <w:spacing w:after="0"/>
        <w:tabs>
          <w:tab w:leader="none" w:pos="1080" w:val="left"/>
        </w:tabs>
        <w:numPr>
          <w:ilvl w:val="0"/>
          <w:numId w:val="8"/>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Insider Trading Policy</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681990</wp:posOffset>
            </wp:positionH>
            <wp:positionV relativeFrom="paragraph">
              <wp:posOffset>-8890</wp:posOffset>
            </wp:positionV>
            <wp:extent cx="89154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891540" cy="7620"/>
                    </a:xfrm>
                    <a:prstGeom prst="rect">
                      <a:avLst/>
                    </a:prstGeom>
                    <a:noFill/>
                  </pic:spPr>
                </pic:pic>
              </a:graphicData>
            </a:graphic>
          </wp:anchor>
        </w:drawing>
      </w:r>
    </w:p>
    <w:p>
      <w:pPr>
        <w:spacing w:after="0" w:line="312" w:lineRule="exact"/>
        <w:rPr>
          <w:rFonts w:ascii="Times New Roman" w:cs="Times New Roman" w:eastAsia="Times New Roman" w:hAnsi="Times New Roman"/>
          <w:sz w:val="16"/>
          <w:szCs w:val="16"/>
          <w:color w:val="auto"/>
        </w:rPr>
      </w:pPr>
    </w:p>
    <w:p>
      <w:pPr>
        <w:ind w:left="1080" w:hanging="1062"/>
        <w:spacing w:after="0"/>
        <w:tabs>
          <w:tab w:leader="none" w:pos="1080" w:val="left"/>
        </w:tabs>
        <w:numPr>
          <w:ilvl w:val="0"/>
          <w:numId w:val="9"/>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Subsidiaries of Registrant</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681990</wp:posOffset>
            </wp:positionH>
            <wp:positionV relativeFrom="paragraph">
              <wp:posOffset>-8890</wp:posOffset>
            </wp:positionV>
            <wp:extent cx="102108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1021080" cy="7620"/>
                    </a:xfrm>
                    <a:prstGeom prst="rect">
                      <a:avLst/>
                    </a:prstGeom>
                    <a:noFill/>
                  </pic:spPr>
                </pic:pic>
              </a:graphicData>
            </a:graphic>
          </wp:anchor>
        </w:drawing>
      </w:r>
    </w:p>
    <w:p>
      <w:pPr>
        <w:spacing w:after="0" w:line="156" w:lineRule="exact"/>
        <w:rPr>
          <w:rFonts w:ascii="Times New Roman" w:cs="Times New Roman" w:eastAsia="Times New Roman" w:hAnsi="Times New Roman"/>
          <w:sz w:val="16"/>
          <w:szCs w:val="16"/>
          <w:color w:val="auto"/>
        </w:rPr>
      </w:pPr>
    </w:p>
    <w:p>
      <w:pPr>
        <w:ind w:left="1080" w:hanging="1062"/>
        <w:spacing w:after="0"/>
        <w:tabs>
          <w:tab w:leader="none" w:pos="1080" w:val="left"/>
        </w:tabs>
        <w:numPr>
          <w:ilvl w:val="0"/>
          <w:numId w:val="10"/>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Consent of Bonadio &amp; Co., LLP</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681990</wp:posOffset>
            </wp:positionH>
            <wp:positionV relativeFrom="paragraph">
              <wp:posOffset>-8890</wp:posOffset>
            </wp:positionV>
            <wp:extent cx="128841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p>
      <w:pPr>
        <w:spacing w:after="0" w:line="141" w:lineRule="exact"/>
        <w:rPr>
          <w:rFonts w:ascii="Times New Roman" w:cs="Times New Roman" w:eastAsia="Times New Roman" w:hAnsi="Times New Roman"/>
          <w:sz w:val="16"/>
          <w:szCs w:val="16"/>
          <w:color w:val="auto"/>
        </w:rPr>
      </w:pPr>
    </w:p>
    <w:tbl>
      <w:tblPr>
        <w:tblLayout w:type="fixed"/>
        <w:tblInd w:w="20" w:type="dxa"/>
        <w:tblCellMar>
          <w:top w:w="0" w:type="dxa"/>
          <w:left w:w="0" w:type="dxa"/>
          <w:bottom w:w="0" w:type="dxa"/>
          <w:right w:w="0" w:type="dxa"/>
        </w:tblCellMar>
      </w:tblPr>
      <w:tr>
        <w:trPr>
          <w:trHeight w:val="184"/>
        </w:trPr>
        <w:tc>
          <w:tcPr>
            <w:tcW w:w="10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2"/>
              </w:rPr>
              <w:t>31.1</w:t>
            </w:r>
          </w:p>
        </w:tc>
        <w:tc>
          <w:tcPr>
            <w:tcW w:w="622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Section 302 of the Sarbanes-Oxley Act of 2002</w:t>
              </w:r>
            </w:hyperlink>
          </w:p>
        </w:tc>
      </w:tr>
      <w:tr>
        <w:trPr>
          <w:trHeight w:val="340"/>
        </w:trPr>
        <w:tc>
          <w:tcPr>
            <w:tcW w:w="10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2"/>
              </w:rPr>
              <w:t>31.2</w:t>
            </w:r>
          </w:p>
        </w:tc>
        <w:tc>
          <w:tcPr>
            <w:tcW w:w="618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Section 302 of the Sarbanes-Oxley Act of 2002</w:t>
              </w:r>
            </w:hyperlink>
          </w:p>
        </w:tc>
        <w:tc>
          <w:tcPr>
            <w:tcW w:w="40" w:type="dxa"/>
            <w:vAlign w:val="bottom"/>
          </w:tcPr>
          <w:p>
            <w:pPr>
              <w:spacing w:after="0"/>
              <w:rPr>
                <w:sz w:val="24"/>
                <w:szCs w:val="24"/>
                <w:color w:val="auto"/>
              </w:rPr>
            </w:pPr>
          </w:p>
        </w:tc>
      </w:tr>
    </w:tbl>
    <w:p>
      <w:pPr>
        <w:spacing w:after="0" w:line="179" w:lineRule="exact"/>
        <w:rPr>
          <w:sz w:val="20"/>
          <w:szCs w:val="20"/>
          <w:color w:val="auto"/>
        </w:rPr>
      </w:pPr>
    </w:p>
    <w:p>
      <w:pPr>
        <w:ind w:left="1080" w:hanging="1062"/>
        <w:spacing w:after="0"/>
        <w:tabs>
          <w:tab w:leader="none" w:pos="1080" w:val="left"/>
        </w:tabs>
        <w:numPr>
          <w:ilvl w:val="0"/>
          <w:numId w:val="11"/>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and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-8890</wp:posOffset>
            </wp:positionV>
            <wp:extent cx="506857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5068570" cy="7620"/>
                    </a:xfrm>
                    <a:prstGeom prst="rect">
                      <a:avLst/>
                    </a:prstGeom>
                    <a:noFill/>
                  </pic:spPr>
                </pic:pic>
              </a:graphicData>
            </a:graphic>
          </wp:anchor>
        </w:drawing>
      </w:r>
    </w:p>
    <w:p>
      <w:pPr>
        <w:spacing w:after="0" w:line="96" w:lineRule="exact"/>
        <w:rPr>
          <w:sz w:val="20"/>
          <w:szCs w:val="20"/>
          <w:color w:val="auto"/>
        </w:rPr>
      </w:pPr>
    </w:p>
    <w:p>
      <w:pPr>
        <w:ind w:left="1080" w:right="280" w:hanging="1062"/>
        <w:spacing w:after="0" w:line="259" w:lineRule="auto"/>
        <w:tabs>
          <w:tab w:leader="none" w:pos="1080" w:val="left"/>
        </w:tabs>
        <w:numPr>
          <w:ilvl w:val="0"/>
          <w:numId w:val="12"/>
        </w:numPr>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Policy Relating to Recovery of Erroneously Awarded Compensation (Incorporated by reference to Exhibit 97 to Pathfinder Bancorp, Inc.'s Annual</w:t>
        </w:r>
      </w:hyperlink>
      <w:r>
        <w:rPr>
          <w:rFonts w:ascii="Times New Roman" w:cs="Times New Roman" w:eastAsia="Times New Roman" w:hAnsi="Times New Roman"/>
          <w:sz w:val="16"/>
          <w:szCs w:val="16"/>
          <w:color w:val="0000FF"/>
        </w:rPr>
        <w:t xml:space="preserve"> </w:t>
      </w:r>
      <w:hyperlink r:id="rId176">
        <w:r>
          <w:rPr>
            <w:rFonts w:ascii="Times New Roman" w:cs="Times New Roman" w:eastAsia="Times New Roman" w:hAnsi="Times New Roman"/>
            <w:sz w:val="16"/>
            <w:szCs w:val="16"/>
            <w:color w:val="0000FF"/>
          </w:rPr>
          <w:t>Report on Form 8-K, file no. 001-36695, filed on March 22, 2024)</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681990</wp:posOffset>
            </wp:positionH>
            <wp:positionV relativeFrom="paragraph">
              <wp:posOffset>-144145</wp:posOffset>
            </wp:positionV>
            <wp:extent cx="583882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5838825"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-29845</wp:posOffset>
            </wp:positionV>
            <wp:extent cx="26371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63" w:lineRule="exact"/>
        <w:rPr>
          <w:rFonts w:ascii="Times New Roman" w:cs="Times New Roman" w:eastAsia="Times New Roman" w:hAnsi="Times New Roman"/>
          <w:sz w:val="16"/>
          <w:szCs w:val="16"/>
          <w:color w:val="auto"/>
        </w:rPr>
      </w:pPr>
    </w:p>
    <w:p>
      <w:pPr>
        <w:jc w:val="both"/>
        <w:ind w:left="1080" w:right="80" w:hanging="1062"/>
        <w:spacing w:after="0" w:line="281" w:lineRule="auto"/>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files pursuant to Rule 405 of Regulation S-T: (i) the Consolidated Statements of Condition as of December 31, 2024 and 2023, (ii) the Consolidated Statements of Income for the years ended December 31, 2024 and 2023, (iii) the Consolidated Statements of Comprehensive Income for</w:t>
      </w:r>
    </w:p>
    <w:tbl>
      <w:tblPr>
        <w:tblLayout w:type="fixed"/>
        <w:tblInd w:w="20" w:type="dxa"/>
        <w:tblCellMar>
          <w:top w:w="0" w:type="dxa"/>
          <w:left w:w="0" w:type="dxa"/>
          <w:bottom w:w="0" w:type="dxa"/>
          <w:right w:w="0" w:type="dxa"/>
        </w:tblCellMar>
      </w:tblPr>
      <w:tr>
        <w:trPr>
          <w:trHeight w:val="163"/>
        </w:trPr>
        <w:tc>
          <w:tcPr>
            <w:tcW w:w="640" w:type="dxa"/>
            <w:vAlign w:val="bottom"/>
          </w:tcPr>
          <w:p>
            <w:pPr>
              <w:spacing w:after="0"/>
              <w:rPr>
                <w:sz w:val="14"/>
                <w:szCs w:val="14"/>
                <w:color w:val="auto"/>
              </w:rPr>
            </w:pPr>
          </w:p>
        </w:tc>
        <w:tc>
          <w:tcPr>
            <w:tcW w:w="9800" w:type="dxa"/>
            <w:vAlign w:val="bottom"/>
          </w:tcPr>
          <w:p>
            <w:pPr>
              <w:ind w:left="420"/>
              <w:spacing w:after="0" w:line="163" w:lineRule="exact"/>
              <w:rPr>
                <w:sz w:val="20"/>
                <w:szCs w:val="20"/>
                <w:color w:val="auto"/>
              </w:rPr>
            </w:pPr>
            <w:r>
              <w:rPr>
                <w:rFonts w:ascii="Times New Roman" w:cs="Times New Roman" w:eastAsia="Times New Roman" w:hAnsi="Times New Roman"/>
                <w:sz w:val="16"/>
                <w:szCs w:val="16"/>
                <w:color w:val="auto"/>
                <w:w w:val="97"/>
              </w:rPr>
              <w:t>the years ended December 31, 2024 and 2023, (iv) the Consolidated Statements of Changes in Shareholders’ Equity for the years ended December 31,</w:t>
            </w:r>
          </w:p>
        </w:tc>
      </w:tr>
      <w:tr>
        <w:trPr>
          <w:trHeight w:val="180"/>
        </w:trPr>
        <w:tc>
          <w:tcPr>
            <w:tcW w:w="640" w:type="dxa"/>
            <w:vAlign w:val="bottom"/>
          </w:tcPr>
          <w:p>
            <w:pPr>
              <w:spacing w:after="0"/>
              <w:rPr>
                <w:sz w:val="15"/>
                <w:szCs w:val="15"/>
                <w:color w:val="auto"/>
              </w:rPr>
            </w:pPr>
          </w:p>
        </w:tc>
        <w:tc>
          <w:tcPr>
            <w:tcW w:w="980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2024 and 2023, (v) the Consolidated Statements of Cash Flows for the years ended December 31, 2024 and 2023, and (vi) the Notes to the</w:t>
            </w:r>
          </w:p>
        </w:tc>
      </w:tr>
      <w:tr>
        <w:trPr>
          <w:trHeight w:val="180"/>
        </w:trPr>
        <w:tc>
          <w:tcPr>
            <w:tcW w:w="640" w:type="dxa"/>
            <w:vAlign w:val="bottom"/>
          </w:tcPr>
          <w:p>
            <w:pPr>
              <w:spacing w:after="0"/>
              <w:rPr>
                <w:sz w:val="15"/>
                <w:szCs w:val="15"/>
                <w:color w:val="auto"/>
              </w:rPr>
            </w:pPr>
          </w:p>
        </w:tc>
        <w:tc>
          <w:tcPr>
            <w:tcW w:w="980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6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1"/>
              </w:rPr>
              <w:t>104</w:t>
            </w:r>
          </w:p>
        </w:tc>
        <w:tc>
          <w:tcPr>
            <w:tcW w:w="9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335"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73" w:lineRule="exact"/>
        <w:rPr>
          <w:rFonts w:ascii="Times New Roman" w:cs="Times New Roman" w:eastAsia="Times New Roman" w:hAnsi="Times New Roman"/>
          <w:sz w:val="16"/>
          <w:szCs w:val="16"/>
          <w:color w:val="auto"/>
        </w:rPr>
      </w:pPr>
    </w:p>
    <w:p>
      <w:pPr>
        <w:ind w:left="5320"/>
        <w:spacing w:after="0"/>
        <w:rPr>
          <w:sz w:val="20"/>
          <w:szCs w:val="20"/>
          <w:color w:val="auto"/>
        </w:rPr>
      </w:pPr>
      <w:r>
        <w:rPr>
          <w:rFonts w:ascii="Times New Roman" w:cs="Times New Roman" w:eastAsia="Times New Roman" w:hAnsi="Times New Roman"/>
          <w:sz w:val="18"/>
          <w:szCs w:val="18"/>
          <w:color w:val="auto"/>
        </w:rPr>
        <w:t>- 123 -</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58" w:right="72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94" w:lineRule="exact"/>
        <w:rPr>
          <w:sz w:val="20"/>
          <w:szCs w:val="20"/>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of the Securities Exchange Act of 1934, the Company has duly caused this report to be signed on its behalf by the undersigned, thereunto duly authorized.</w:t>
      </w:r>
    </w:p>
    <w:p>
      <w:pPr>
        <w:spacing w:after="0" w:line="16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Pathfinder Bancorp, Inc.</w:t>
      </w:r>
    </w:p>
    <w:p>
      <w:pPr>
        <w:sectPr>
          <w:pgSz w:w="11900" w:h="16840" w:orient="portrait"/>
          <w:cols w:equalWidth="0" w:num="1">
            <w:col w:w="10560"/>
          </w:cols>
          <w:pgMar w:left="660" w:top="1347" w:right="680" w:bottom="1440" w:gutter="0" w:footer="0" w:header="0"/>
        </w:sectPr>
      </w:pP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2025</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James A. Dowd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A. Dowd</w:t>
      </w:r>
    </w:p>
    <w:p>
      <w:pPr>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00" w:lineRule="exact"/>
        <w:rPr>
          <w:sz w:val="20"/>
          <w:szCs w:val="20"/>
          <w:color w:val="auto"/>
        </w:rPr>
      </w:pPr>
    </w:p>
    <w:p>
      <w:pPr>
        <w:sectPr>
          <w:pgSz w:w="11900" w:h="16840" w:orient="portrait"/>
          <w:cols w:equalWidth="0" w:num="4">
            <w:col w:w="360" w:space="420"/>
            <w:col w:w="4240" w:space="720"/>
            <w:col w:w="220" w:space="280"/>
            <w:col w:w="4320"/>
          </w:cols>
          <w:pgMar w:left="660" w:top="1347" w:right="680" w:bottom="1440" w:gutter="0" w:footer="0" w:header="0"/>
          <w:type w:val="continuous"/>
        </w:sectPr>
      </w:pPr>
    </w:p>
    <w:p>
      <w:pPr>
        <w:spacing w:after="0" w:line="5"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of 1934,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James A. Dowd</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Justin K. Bigham</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James A. Dowd, President and</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Justin K. Bigham, Senior Vice President,</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Chief Executive Officer</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(Principal Executive Officer)</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(Principal Financial and Accounting Officer)</w:t>
            </w:r>
          </w:p>
        </w:tc>
        <w:tc>
          <w:tcPr>
            <w:tcW w:w="0" w:type="dxa"/>
            <w:vAlign w:val="bottom"/>
          </w:tcPr>
          <w:p>
            <w:pPr>
              <w:spacing w:after="0"/>
              <w:rPr>
                <w:sz w:val="1"/>
                <w:szCs w:val="1"/>
                <w:color w:val="auto"/>
              </w:rPr>
            </w:pPr>
          </w:p>
        </w:tc>
      </w:t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March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Date: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517"/>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Lloyd Stemple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William A. Barclay</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Lloyd Stemple, Director</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William A. Barclay, Director</w:t>
            </w:r>
          </w:p>
        </w:tc>
        <w:tc>
          <w:tcPr>
            <w:tcW w:w="0" w:type="dxa"/>
            <w:vAlign w:val="bottom"/>
          </w:tcPr>
          <w:p>
            <w:pPr>
              <w:spacing w:after="0"/>
              <w:rPr>
                <w:sz w:val="1"/>
                <w:szCs w:val="1"/>
                <w:color w:val="auto"/>
              </w:rPr>
            </w:pPr>
          </w:p>
        </w:tc>
      </w:t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March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Date: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384"/>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5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 John P. Funiciello</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 Chris R. Burritt</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354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John Funiciello, Director</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Chris R. Burritt, Director</w:t>
            </w:r>
          </w:p>
        </w:tc>
        <w:tc>
          <w:tcPr>
            <w:tcW w:w="0" w:type="dxa"/>
            <w:vAlign w:val="bottom"/>
          </w:tcPr>
          <w:p>
            <w:pPr>
              <w:spacing w:after="0"/>
              <w:rPr>
                <w:sz w:val="1"/>
                <w:szCs w:val="1"/>
                <w:color w:val="auto"/>
              </w:rPr>
            </w:pPr>
          </w:p>
        </w:tc>
      </w:t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March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Date: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517"/>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David A. Ayoub</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John F. Sharkey</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David A. Ayoub, Director</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John F. Sharkey, Director</w:t>
            </w:r>
          </w:p>
        </w:tc>
        <w:tc>
          <w:tcPr>
            <w:tcW w:w="0" w:type="dxa"/>
            <w:vAlign w:val="bottom"/>
          </w:tcPr>
          <w:p>
            <w:pPr>
              <w:spacing w:after="0"/>
              <w:rPr>
                <w:sz w:val="1"/>
                <w:szCs w:val="1"/>
                <w:color w:val="auto"/>
              </w:rPr>
            </w:pPr>
          </w:p>
        </w:tc>
      </w:t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March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Date: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517"/>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Adam C. Gagas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Melanie Littlejohn</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Adam C. Gagas, Director</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Melanie Littlejohn, Director</w:t>
            </w:r>
          </w:p>
        </w:tc>
        <w:tc>
          <w:tcPr>
            <w:tcW w:w="0" w:type="dxa"/>
            <w:vAlign w:val="bottom"/>
          </w:tcPr>
          <w:p>
            <w:pPr>
              <w:spacing w:after="0"/>
              <w:rPr>
                <w:sz w:val="1"/>
                <w:szCs w:val="1"/>
                <w:color w:val="auto"/>
              </w:rPr>
            </w:pPr>
          </w:p>
        </w:tc>
      </w:t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March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Date: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517"/>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Meghan Crawford-Hamlin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Eric Allyn</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Meghan Crawford-Hamlin, Director</w:t>
            </w:r>
          </w:p>
        </w:tc>
        <w:tc>
          <w:tcPr>
            <w:tcW w:w="1840" w:type="dxa"/>
            <w:vAlign w:val="bottom"/>
          </w:tcPr>
          <w:p>
            <w:pPr>
              <w:spacing w:after="0"/>
              <w:rPr>
                <w:sz w:val="15"/>
                <w:szCs w:val="15"/>
                <w:color w:val="auto"/>
              </w:rPr>
            </w:pPr>
          </w:p>
        </w:tc>
        <w:tc>
          <w:tcPr>
            <w:tcW w:w="4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Eric Allyn, Director</w:t>
            </w:r>
          </w:p>
        </w:tc>
        <w:tc>
          <w:tcPr>
            <w:tcW w:w="0" w:type="dxa"/>
            <w:vAlign w:val="bottom"/>
          </w:tcPr>
          <w:p>
            <w:pPr>
              <w:spacing w:after="0"/>
              <w:rPr>
                <w:sz w:val="1"/>
                <w:szCs w:val="1"/>
                <w:color w:val="auto"/>
              </w:rPr>
            </w:pPr>
          </w:p>
        </w:tc>
      </w:t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March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Date: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721"/>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Tony Scavuzzo</w:t>
            </w:r>
          </w:p>
        </w:tc>
        <w:tc>
          <w:tcPr>
            <w:tcW w:w="18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Tony Scavuzzo, Director</w:t>
            </w:r>
          </w:p>
        </w:tc>
        <w:tc>
          <w:tcPr>
            <w:tcW w:w="18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March 31, 2025</w:t>
            </w:r>
          </w:p>
        </w:tc>
        <w:tc>
          <w:tcPr>
            <w:tcW w:w="18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4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- 124 -</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620" w:type="dxa"/>
            <w:vAlign w:val="bottom"/>
            <w:tcBorders>
              <w:bottom w:val="single" w:sz="8" w:color="EEEEEE"/>
            </w:tcBorders>
          </w:tcPr>
          <w:p>
            <w:pPr>
              <w:spacing w:after="0"/>
              <w:rPr>
                <w:sz w:val="24"/>
                <w:szCs w:val="24"/>
                <w:color w:val="auto"/>
              </w:rPr>
            </w:pPr>
          </w:p>
        </w:tc>
        <w:tc>
          <w:tcPr>
            <w:tcW w:w="3540" w:type="dxa"/>
            <w:vAlign w:val="bottom"/>
            <w:tcBorders>
              <w:bottom w:val="single" w:sz="8" w:color="EEEEEE"/>
            </w:tcBorders>
          </w:tcPr>
          <w:p>
            <w:pPr>
              <w:spacing w:after="0"/>
              <w:rPr>
                <w:sz w:val="24"/>
                <w:szCs w:val="24"/>
                <w:color w:val="auto"/>
              </w:rPr>
            </w:pPr>
          </w:p>
        </w:tc>
        <w:tc>
          <w:tcPr>
            <w:tcW w:w="1840" w:type="dxa"/>
            <w:vAlign w:val="bottom"/>
            <w:tcBorders>
              <w:bottom w:val="single" w:sz="8" w:color="EEEEEE"/>
            </w:tcBorders>
          </w:tcPr>
          <w:p>
            <w:pPr>
              <w:spacing w:after="0"/>
              <w:rPr>
                <w:sz w:val="24"/>
                <w:szCs w:val="24"/>
                <w:color w:val="auto"/>
              </w:rPr>
            </w:pPr>
          </w:p>
        </w:tc>
        <w:tc>
          <w:tcPr>
            <w:tcW w:w="45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color w:val="auto"/>
        </w:rPr>
        <w:t>EXHIBIT 19: INSIDER TRADING POLICY</w:t>
      </w:r>
    </w:p>
    <w:p>
      <w:pPr>
        <w:spacing w:after="0" w:line="35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108" w:lineRule="exact"/>
        <w:rPr>
          <w:sz w:val="20"/>
          <w:szCs w:val="20"/>
          <w:color w:val="auto"/>
        </w:rPr>
      </w:pPr>
    </w:p>
    <w:p>
      <w:pPr>
        <w:ind w:right="20" w:firstLine="696"/>
        <w:spacing w:after="0" w:line="261" w:lineRule="auto"/>
        <w:rPr>
          <w:sz w:val="20"/>
          <w:szCs w:val="20"/>
          <w:color w:val="auto"/>
        </w:rPr>
      </w:pPr>
      <w:r>
        <w:rPr>
          <w:rFonts w:ascii="Times New Roman" w:cs="Times New Roman" w:eastAsia="Times New Roman" w:hAnsi="Times New Roman"/>
          <w:sz w:val="18"/>
          <w:szCs w:val="18"/>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Board of Directors and Section 16 Filers are also subject to liability if they fail to take reasonable steps to prevent insider trading by company personnel.</w:t>
      </w:r>
    </w:p>
    <w:p>
      <w:pPr>
        <w:spacing w:after="0" w:line="60" w:lineRule="exact"/>
        <w:rPr>
          <w:sz w:val="20"/>
          <w:szCs w:val="20"/>
          <w:color w:val="auto"/>
        </w:rPr>
      </w:pPr>
    </w:p>
    <w:p>
      <w:pPr>
        <w:ind w:right="240" w:firstLine="696"/>
        <w:spacing w:after="0" w:line="258" w:lineRule="auto"/>
        <w:rPr>
          <w:sz w:val="20"/>
          <w:szCs w:val="20"/>
          <w:color w:val="auto"/>
        </w:rPr>
      </w:pPr>
      <w:r>
        <w:rPr>
          <w:rFonts w:ascii="Times New Roman" w:cs="Times New Roman" w:eastAsia="Times New Roman" w:hAnsi="Times New Roman"/>
          <w:sz w:val="18"/>
          <w:szCs w:val="18"/>
          <w:color w:val="auto"/>
        </w:rPr>
        <w:t>It is important to understand the breadth of activities that constitute illegal insider trading and the consequences, which can be severe. The U.S. Securities and Exchange Commission (“SEC”), FINRA, and NASDAQ investigate and are very effective at detecting insider trading. The SEC, together with the U.S. Attorneys’ Office, pursues insider trading violations vigorously. Cases have been successfully prosecuted against insider trading by employees through foreign accounts and by family members and friends, and for transactions involving only a small number of shares.</w:t>
      </w:r>
    </w:p>
    <w:p>
      <w:pPr>
        <w:spacing w:after="0" w:line="64" w:lineRule="exact"/>
        <w:rPr>
          <w:sz w:val="20"/>
          <w:szCs w:val="20"/>
          <w:color w:val="auto"/>
        </w:rPr>
      </w:pPr>
    </w:p>
    <w:p>
      <w:pPr>
        <w:ind w:right="500" w:firstLine="696"/>
        <w:spacing w:after="0" w:line="282" w:lineRule="auto"/>
        <w:rPr>
          <w:sz w:val="20"/>
          <w:szCs w:val="20"/>
          <w:color w:val="auto"/>
        </w:rPr>
      </w:pPr>
      <w:r>
        <w:rPr>
          <w:rFonts w:ascii="Times New Roman" w:cs="Times New Roman" w:eastAsia="Times New Roman" w:hAnsi="Times New Roman"/>
          <w:sz w:val="18"/>
          <w:szCs w:val="18"/>
          <w:color w:val="auto"/>
        </w:rPr>
        <w:t>This Policy applies to all directors, officers, employees (collectively “Personnel”) of Pathfinder Bancorp, Inc. and its consolidated subsidiaries (collectively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09" w:lineRule="exact"/>
        <w:rPr>
          <w:sz w:val="20"/>
          <w:szCs w:val="20"/>
          <w:color w:val="auto"/>
        </w:rPr>
      </w:pPr>
    </w:p>
    <w:p>
      <w:pPr>
        <w:ind w:firstLine="696"/>
        <w:spacing w:after="0" w:line="266" w:lineRule="auto"/>
        <w:rPr>
          <w:sz w:val="20"/>
          <w:szCs w:val="20"/>
          <w:color w:val="auto"/>
        </w:rPr>
      </w:pPr>
      <w:r>
        <w:rPr>
          <w:rFonts w:ascii="Times New Roman" w:cs="Times New Roman" w:eastAsia="Times New Roman" w:hAnsi="Times New Roman"/>
          <w:sz w:val="18"/>
          <w:szCs w:val="18"/>
          <w:color w:val="auto"/>
        </w:rPr>
        <w:t>Material Information. Information is material if there is a substantial likelihood that a reasonable investor would consider it important in deciding whether to buy, hold or sell a security. Any information that could reasonably be expected to affect the price of the security is material. Common examples of material information are:</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•earnings or losses;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•financial forecasts, especially projections of future earnings or losses;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•news of a pending or proposed merger, acquisition, or tender offer;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•news of a significant purchase or sale of assets;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dividend policy or the declaration of a stock split or the offering of additional securities;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•decisions to repurchase securities;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management;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•significant changes in operations;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•cybersecurity events or data breaches;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•increases or decreases in non-performing assets;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•significant increases or decreases in loan originations;</w:t>
      </w:r>
    </w:p>
    <w:p>
      <w:pPr>
        <w:spacing w:after="0" w:line="105" w:lineRule="exact"/>
        <w:rPr>
          <w:sz w:val="20"/>
          <w:szCs w:val="20"/>
          <w:color w:val="auto"/>
        </w:rPr>
      </w:pPr>
    </w:p>
    <w:p>
      <w:pPr>
        <w:ind w:left="480" w:right="4680"/>
        <w:spacing w:after="0" w:line="423" w:lineRule="auto"/>
        <w:rPr>
          <w:sz w:val="20"/>
          <w:szCs w:val="20"/>
          <w:color w:val="auto"/>
        </w:rPr>
      </w:pPr>
      <w:r>
        <w:rPr>
          <w:rFonts w:ascii="Times New Roman" w:cs="Times New Roman" w:eastAsia="Times New Roman" w:hAnsi="Times New Roman"/>
          <w:sz w:val="18"/>
          <w:szCs w:val="18"/>
          <w:color w:val="auto"/>
        </w:rPr>
        <w:t>•information regarding the ability of a borrower to repay a significant loan; •extraordinary borrowing or investment; •major litigation; and</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•financial liquidity.</w:t>
      </w:r>
    </w:p>
    <w:p>
      <w:pPr>
        <w:spacing w:after="0" w:line="105" w:lineRule="exact"/>
        <w:rPr>
          <w:sz w:val="20"/>
          <w:szCs w:val="20"/>
          <w:color w:val="auto"/>
        </w:rPr>
      </w:pPr>
    </w:p>
    <w:p>
      <w:pPr>
        <w:ind w:right="20" w:firstLine="696"/>
        <w:spacing w:after="0" w:line="282" w:lineRule="auto"/>
        <w:rPr>
          <w:sz w:val="20"/>
          <w:szCs w:val="20"/>
          <w:color w:val="auto"/>
        </w:rPr>
      </w:pPr>
      <w:r>
        <w:rPr>
          <w:rFonts w:ascii="Times New Roman" w:cs="Times New Roman" w:eastAsia="Times New Roman" w:hAnsi="Times New Roman"/>
          <w:sz w:val="18"/>
          <w:szCs w:val="18"/>
          <w:color w:val="auto"/>
        </w:rPr>
        <w:t>Both positive and negative information can be material. Because trading that receives scrutiny will be evaluated after the fact with the benefit of hindsight, questions concerning the materiality of information should be resolved in favor of materiality, and trading should be avoided.</w:t>
      </w:r>
    </w:p>
    <w:p>
      <w:pPr>
        <w:spacing w:after="0" w:line="42" w:lineRule="exact"/>
        <w:rPr>
          <w:sz w:val="20"/>
          <w:szCs w:val="20"/>
          <w:color w:val="auto"/>
        </w:rPr>
      </w:pPr>
    </w:p>
    <w:p>
      <w:pPr>
        <w:ind w:right="100" w:firstLine="696"/>
        <w:spacing w:after="0" w:line="256" w:lineRule="auto"/>
        <w:rPr>
          <w:sz w:val="20"/>
          <w:szCs w:val="20"/>
          <w:color w:val="auto"/>
        </w:rPr>
      </w:pPr>
      <w:r>
        <w:rPr>
          <w:rFonts w:ascii="Times New Roman" w:cs="Times New Roman" w:eastAsia="Times New Roman" w:hAnsi="Times New Roman"/>
          <w:sz w:val="18"/>
          <w:szCs w:val="18"/>
          <w:color w:val="auto"/>
        </w:rPr>
        <w:t xml:space="preserve">Nonpublic Information. Nonpublic information is information that is not generally known or available to the public, or which the investing public has not yet had an opportunity to absorb. One 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an SEC filing or a widely disseminated statement from a senior officer) </w:t>
      </w:r>
      <w:r>
        <w:rPr>
          <w:rFonts w:ascii="Times New Roman" w:cs="Times New Roman" w:eastAsia="Times New Roman" w:hAnsi="Times New Roman"/>
          <w:sz w:val="18"/>
          <w:szCs w:val="18"/>
          <w:i w:val="1"/>
          <w:iCs w:val="1"/>
          <w:color w:val="auto"/>
        </w:rPr>
        <w:t>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investing public has had time to review, absorb and react to the information fully</w:t>
      </w:r>
      <w:r>
        <w:rPr>
          <w:rFonts w:ascii="Times New Roman" w:cs="Times New Roman" w:eastAsia="Times New Roman" w:hAnsi="Times New Roman"/>
          <w:sz w:val="18"/>
          <w:szCs w:val="18"/>
          <w:color w:val="auto"/>
        </w:rPr>
        <w:t>. As a general rule, information is considered nonpublic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full trading day after the information is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464820</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25" w:name="page126"/>
    <w:bookmarkEnd w:id="125"/>
    <w:p>
      <w:pPr>
        <w:ind w:firstLine="696"/>
        <w:spacing w:after="0" w:line="274" w:lineRule="auto"/>
        <w:rPr>
          <w:sz w:val="20"/>
          <w:szCs w:val="20"/>
          <w:color w:val="auto"/>
        </w:rPr>
      </w:pPr>
      <w:r>
        <w:rPr>
          <w:rFonts w:ascii="Times New Roman" w:cs="Times New Roman" w:eastAsia="Times New Roman" w:hAnsi="Times New Roman"/>
          <w:sz w:val="17"/>
          <w:szCs w:val="17"/>
          <w:color w:val="auto"/>
        </w:rPr>
        <w:t>Persons Covered. The same restrictions that apply to Personnel also apply to family members who reside in the household of any Personnel, anyone else who lives in the household of any Personnel, and any family members who do not live in the household but whose transactions in Company securities are directed by Personnel or are subject to Personnel’s influence or control. This policy also applies to any entities that Personnel influence or control, including any corporations, limited liability companies, partnerships or trusts, and transactions by these entities should be treated for purposes of this policy and applicable securities laws as if they were for Personnel’s own account. Personnel are responsible for making sure that the purchase or sale of any security covered by this policy by any such person or entity complies with this policy.</w:t>
      </w:r>
    </w:p>
    <w:p>
      <w:pPr>
        <w:spacing w:after="0" w:line="53" w:lineRule="exact"/>
        <w:rPr>
          <w:sz w:val="20"/>
          <w:szCs w:val="20"/>
          <w:color w:val="auto"/>
        </w:rPr>
      </w:pPr>
    </w:p>
    <w:p>
      <w:pPr>
        <w:ind w:right="300" w:firstLine="696"/>
        <w:spacing w:after="0" w:line="266" w:lineRule="auto"/>
        <w:rPr>
          <w:sz w:val="20"/>
          <w:szCs w:val="20"/>
          <w:color w:val="auto"/>
        </w:rPr>
      </w:pPr>
      <w:r>
        <w:rPr>
          <w:rFonts w:ascii="Times New Roman" w:cs="Times New Roman" w:eastAsia="Times New Roman" w:hAnsi="Times New Roman"/>
          <w:sz w:val="18"/>
          <w:szCs w:val="18"/>
          <w:color w:val="auto"/>
        </w:rPr>
        <w:t>Transactions Covered. Trading includes gifts, purchases and sales of common and preferred stock, derivative securities such as exchange traded put and call options and convertible debentures or preferred stock, and debt securities (debentures, bonds and notes). Trading also includes certain transactions under Company plans as follows:</w:t>
      </w:r>
    </w:p>
    <w:p>
      <w:pPr>
        <w:spacing w:after="0" w:line="150" w:lineRule="exact"/>
        <w:rPr>
          <w:sz w:val="20"/>
          <w:szCs w:val="20"/>
          <w:color w:val="auto"/>
        </w:rPr>
      </w:pPr>
    </w:p>
    <w:p>
      <w:pPr>
        <w:ind w:left="480"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Option Exercises and Grants</w:t>
      </w:r>
      <w:r>
        <w:rPr>
          <w:rFonts w:ascii="Times New Roman" w:cs="Times New Roman" w:eastAsia="Times New Roman" w:hAnsi="Times New Roman"/>
          <w:sz w:val="18"/>
          <w:szCs w:val="18"/>
          <w:color w:val="auto"/>
        </w:rPr>
        <w:t>. This policy’s trading restrictions generally do not apply to the exercise of a stock option. The trading restrictions do apply, however, to any sale of the underlying stock or to a cashless exercise of the option through a broker, as this entails selling a portion of the underlying stock to cover the costs of exercise. The Company should not generally make option awards to Named Executive Officers (as defined in SEC Regulation S-K) in the four business days before the filing of a periodic report on Forms 10-Q and 10-K as applicable or the filing or furnishing of a Current Report on Form 8-K that discloses material non-public information (including earnings information but excluding a Form 8-K that discloses only the grant of a material new option award) and ending one business day after such triggering event.</w:t>
      </w:r>
    </w:p>
    <w:p>
      <w:pPr>
        <w:spacing w:after="0" w:line="63" w:lineRule="exact"/>
        <w:rPr>
          <w:sz w:val="20"/>
          <w:szCs w:val="20"/>
          <w:color w:val="auto"/>
        </w:rPr>
      </w:pPr>
    </w:p>
    <w:p>
      <w:pPr>
        <w:ind w:left="480"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Awards and Restricted Stock Units</w:t>
      </w:r>
      <w:r>
        <w:rPr>
          <w:rFonts w:ascii="Times New Roman" w:cs="Times New Roman" w:eastAsia="Times New Roman" w:hAnsi="Times New Roman"/>
          <w:sz w:val="18"/>
          <w:szCs w:val="18"/>
          <w:color w:val="auto"/>
        </w:rPr>
        <w:t>. This policy does not apply to the vesting of restricted stock or restricted stock units, or the exercise of a tax withholding right pursuant to which Personnel elect to have the Company withhold shares of stock to satisfy tax withholding requirements upon the vesting of any restricted stock or restricted stock units. The policy does apply, however, to any market sale of the stock once vested.</w:t>
      </w:r>
    </w:p>
    <w:p>
      <w:pPr>
        <w:spacing w:after="0" w:line="60" w:lineRule="exact"/>
        <w:rPr>
          <w:sz w:val="20"/>
          <w:szCs w:val="20"/>
          <w:color w:val="auto"/>
        </w:rPr>
      </w:pPr>
    </w:p>
    <w:p>
      <w:pPr>
        <w:ind w:left="480" w:right="40"/>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This policy’s trading restrictions do not apply to purchases of Company stock in the 401(k) Plan resulting from Personnel’s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periodic contribution of money to the plan pursuant to a payroll deduction election. The trading restrictions do apply, however, to elections Personnel may make under the 401(k) Plan to (a) increase or decrease the percentage of periodic contributions that will be allocated to the Company stock fund, (b) make an intra-plan transfer of an existing account balance into or out of the Company stock fund, (c) borrow money against the 401(k) Plan account if the loan will result in a liquidation of some or all of the Company stock fund balance, and (d) pre-pay a plan loan if the pre-payment will result in allocation of loan proceeds to the Company stock fund.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w:t>
      </w:r>
    </w:p>
    <w:p>
      <w:pPr>
        <w:spacing w:after="0" w:line="109" w:lineRule="exact"/>
        <w:rPr>
          <w:sz w:val="20"/>
          <w:szCs w:val="20"/>
          <w:color w:val="auto"/>
        </w:rPr>
      </w:pPr>
    </w:p>
    <w:p>
      <w:pPr>
        <w:jc w:val="both"/>
        <w:ind w:firstLine="696"/>
        <w:spacing w:after="0" w:line="266" w:lineRule="auto"/>
        <w:rPr>
          <w:sz w:val="20"/>
          <w:szCs w:val="20"/>
          <w:color w:val="auto"/>
        </w:rPr>
      </w:pPr>
      <w:r>
        <w:rPr>
          <w:rFonts w:ascii="Times New Roman" w:cs="Times New Roman" w:eastAsia="Times New Roman" w:hAnsi="Times New Roman"/>
          <w:sz w:val="18"/>
          <w:szCs w:val="18"/>
          <w:color w:val="auto"/>
        </w:rPr>
        <w:t>Below are the statements and standards that collectively comprise this policy. Management will periodically review this policy (at least annually) to ensure that the policy statements and established standards meet the expectations of Management, the Board and regulators, as well as provide adequate controls for mitigating the risks associated with insider activities.</w:t>
      </w:r>
    </w:p>
    <w:p>
      <w:pPr>
        <w:spacing w:after="0" w:line="272"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8"/>
          <w:szCs w:val="18"/>
          <w:color w:val="auto"/>
        </w:rPr>
        <w:t>1.Individual Responsibility. Persons subject to this policy have ethical and legal obligations to maintain the confidentiality of information about the Company and to not engage in transactions in the Company’s securities or the securities of other companies while in possession of material nonpublic information. Each person is responsible for making sure that he or she complies with this policy and applicable insider trading laws, and that any family member, household member or entity whose transactions are subject to this policy also comply with this policy. In all cases, the responsibility for determining whether a person is in possession of material non-public information rests with that person, and any action on the part of the Company, the Insider Trading Compliance Officer (the “Compliance Officer”), or any other employee or director pursuant to this policy (or otherwise) does not in any way constitute legal advice or insulate a person from liability under applicable securities laws.</w:t>
      </w:r>
    </w:p>
    <w:p>
      <w:pPr>
        <w:spacing w:after="0" w:line="277" w:lineRule="exact"/>
        <w:rPr>
          <w:sz w:val="20"/>
          <w:szCs w:val="20"/>
          <w:color w:val="auto"/>
        </w:rPr>
      </w:pPr>
    </w:p>
    <w:p>
      <w:pPr>
        <w:ind w:left="480" w:right="460"/>
        <w:spacing w:after="0" w:line="286" w:lineRule="auto"/>
        <w:rPr>
          <w:sz w:val="20"/>
          <w:szCs w:val="20"/>
          <w:color w:val="auto"/>
        </w:rPr>
      </w:pPr>
      <w:r>
        <w:rPr>
          <w:rFonts w:ascii="Times New Roman" w:cs="Times New Roman" w:eastAsia="Times New Roman" w:hAnsi="Times New Roman"/>
          <w:sz w:val="18"/>
          <w:szCs w:val="18"/>
          <w:color w:val="auto"/>
        </w:rPr>
        <w:t xml:space="preserve">2.Administration of the Policy. The employee holding the title of </w:t>
      </w:r>
      <w:r>
        <w:rPr>
          <w:rFonts w:ascii="Times New Roman" w:cs="Times New Roman" w:eastAsia="Times New Roman" w:hAnsi="Times New Roman"/>
          <w:sz w:val="18"/>
          <w:szCs w:val="18"/>
          <w:b w:val="1"/>
          <w:bCs w:val="1"/>
          <w:color w:val="auto"/>
        </w:rPr>
        <w:t>[Chief Financial Officer or Chief Risk Officer]</w:t>
      </w:r>
      <w:r>
        <w:rPr>
          <w:rFonts w:ascii="Times New Roman" w:cs="Times New Roman" w:eastAsia="Times New Roman" w:hAnsi="Times New Roman"/>
          <w:sz w:val="18"/>
          <w:szCs w:val="18"/>
          <w:color w:val="auto"/>
        </w:rPr>
        <w:t xml:space="preserve"> shall serve as the Compliance Officer for purposes of this policy, and the Compliance Officer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385445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3" w:right="660" w:bottom="1440" w:gutter="0" w:footer="0" w:header="0"/>
        </w:sectPr>
      </w:pPr>
    </w:p>
    <w:bookmarkStart w:id="126" w:name="page127"/>
    <w:bookmarkEnd w:id="126"/>
    <w:p>
      <w:pPr>
        <w:ind w:right="40"/>
        <w:spacing w:after="0" w:line="282" w:lineRule="auto"/>
        <w:rPr>
          <w:sz w:val="20"/>
          <w:szCs w:val="20"/>
          <w:color w:val="auto"/>
        </w:rPr>
      </w:pPr>
      <w:r>
        <w:rPr>
          <w:rFonts w:ascii="Times New Roman" w:cs="Times New Roman" w:eastAsia="Times New Roman" w:hAnsi="Times New Roman"/>
          <w:sz w:val="18"/>
          <w:szCs w:val="18"/>
          <w:color w:val="auto"/>
        </w:rPr>
        <w:t>responsible for administering this policy. In the Compliance Officer’s absence, another employee designated by the Chief Financial Officer shall be responsible for administration of this policy.</w:t>
      </w:r>
    </w:p>
    <w:p>
      <w:pPr>
        <w:spacing w:after="0" w:line="254"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color w:val="auto"/>
        </w:rPr>
        <w:t>3.No Trading on Inside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Personnel may not trade in the securities of the Company, directly or through family members or other persons or entities, if in the possession of material nonpublic information relating to the Company. In addition, Personnel may not assist anyone to engage in insider trading.</w:t>
      </w:r>
    </w:p>
    <w:p>
      <w:pPr>
        <w:spacing w:after="0" w:line="26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4.No Tipping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Personnel may not pass material nonpublic information about the Company, or material nonpublic information about another company that was obtained in the course of employment with the Company, on to others or recommend to anyone the purchase or sale of any securities when aware of such information. This practice, known as “tipping”, also violates the securities laws and can result in the same civil and criminal penalties that apply to insider trading, even though Personnel did not trade and did not gain any benefit from another’s trading. In addition, Personnel may not assist anyone engaged in tipping.</w:t>
      </w:r>
    </w:p>
    <w:p>
      <w:pPr>
        <w:spacing w:after="0" w:line="2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5.No Exception for Hardship. The existence of a personal financial emergency does not excuse Personnel from compliance with this Policy.</w:t>
      </w:r>
    </w:p>
    <w:p>
      <w:pPr>
        <w:spacing w:after="0" w:line="25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6.Blackout and Pre-Clearance Policy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help prevent inadvertent violations of the federal securities laws and to avoid even the appearance of trading on the basis of inside information, the Company’s Board of Directors has adopted this Blackout and Pre-Clearance policy that applies to directors and certain officers subject to Section 16 of the Securities Exchange Act of 1934 (the “Exchange Act”) (the “Section 16 Filers”), and certain designated employees of the Company (collectively “Covered Persons”) who have access to material nonpublic information about the Company. The Compliance Officer will notify Personnel who are subject to this policy. The policy generally prohibits persons covered by it from trading in the Company’s securities during quarterly blackout periods beginning on the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last month of each fiscal quarter and ending after the second full trading day following the release of the Company’s earnings for that quarter and certain event-specific blackouts. In addition to quarterly blackout periods, the Company may also institute event-specific blackout periods in the event of a material corporate development. The Compliance Officer will notify Covered Persons of any event-specific blackout periods. The Company’s Section 16 Filers are subject to the following pre-clearance standards. Section 16 Filers, together with their family members and other members of their household, may not engage in any transaction involving the Company’s securities (including a stock plan transaction such as an option exercise, or a gift, contribution to a trust or any other transfer) without first obtaining pre-clearance of the transaction from the Company’s Compliance Officer. A request for pre-clearance generally should be submitted to the Compliance Officer at least two business days in advance of the proposed transaction. The Compliance Officer is under no obligation to approve a trade submitted for pre-clearance and may determine not to permit the trade. In the event the Compliance Officer is a Section 16 Filer, he/she may not trade in Company securities unless the Chief Financial Officer has approved the trade(s) in accordance with the procedures set forth in this policy.</w:t>
      </w:r>
    </w:p>
    <w:p>
      <w:pPr>
        <w:spacing w:after="0" w:line="2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7.Exception for Approved 10b5-1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Trades by Covered Persons in the Company’s securities and Company stock repurchases that are executed pursuant to an approved 10b5-1 plan are not subject to the prohibition on trading on the basis of material nonpublic information contained in this policy or to the restrictions set forth above relating to permitted trading periods. Rule 10b5-1 provides an affirmative defense from insider trading liability under the federal securities laws for trading plans that meet certain requirements. In general, a 10b5-1 plan may only be entered into or altered when no quarterly or temporary blackout period is in effect and when Personnel are not in possession of material nonpublic information. Once the plan is adopted, Personnel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 Additionally, transactions under a 10b5-1plan (other than for the Company) may only begin after a “cooling-off” period. For directors and executive officers, this cooling-off period is the later of (i) 90 days after the adoption or modification of the 10b5-1 plan or (ii) two business days following the filing of a Form 10-Q or Form 10-K, as applicable, for the Company’s financial results for the fiscal quarter in which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10b5-1 plan was adopted or modified (but in no case can disclosure exceed 120 days following plan adoption or modification). For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415925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1140" w:top="1229" w:right="640" w:bottom="1440" w:gutter="0" w:footer="0" w:header="0"/>
        </w:sectPr>
      </w:pPr>
    </w:p>
    <w:bookmarkStart w:id="127" w:name="page128"/>
    <w:bookmarkEnd w:id="127"/>
    <w:p>
      <w:pPr>
        <w:ind w:left="480" w:right="660"/>
        <w:spacing w:after="0" w:line="282" w:lineRule="auto"/>
        <w:rPr>
          <w:sz w:val="20"/>
          <w:szCs w:val="20"/>
          <w:color w:val="auto"/>
        </w:rPr>
      </w:pPr>
      <w:r>
        <w:rPr>
          <w:rFonts w:ascii="Times New Roman" w:cs="Times New Roman" w:eastAsia="Times New Roman" w:hAnsi="Times New Roman"/>
          <w:sz w:val="18"/>
          <w:szCs w:val="18"/>
          <w:color w:val="auto"/>
        </w:rPr>
        <w:t>who are not directors or executive officers, this cooling-off period is 30 days after adoption or modification of the10b5-1 plan. The Company requires that all 10b5-1 plans be approved in writing by the Compliance Officer before the 10b5-1 plan is adopted.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Blackout Procedures.</w:t>
      </w:r>
    </w:p>
    <w:p>
      <w:pPr>
        <w:spacing w:after="0" w:line="205" w:lineRule="exact"/>
        <w:rPr>
          <w:sz w:val="20"/>
          <w:szCs w:val="20"/>
          <w:color w:val="auto"/>
        </w:rPr>
      </w:pPr>
    </w:p>
    <w:p>
      <w:pPr>
        <w:ind w:firstLine="696"/>
        <w:spacing w:after="0" w:line="238" w:lineRule="auto"/>
        <w:rPr>
          <w:sz w:val="20"/>
          <w:szCs w:val="20"/>
          <w:color w:val="auto"/>
        </w:rPr>
      </w:pPr>
      <w:r>
        <w:rPr>
          <w:rFonts w:ascii="Times New Roman" w:cs="Times New Roman" w:eastAsia="Times New Roman" w:hAnsi="Times New Roman"/>
          <w:sz w:val="18"/>
          <w:szCs w:val="18"/>
          <w:color w:val="auto"/>
        </w:rPr>
        <w:t>Covered Persons and Company stock repurchases are subject to the following blackout standards. The Company’s announcement of its quarterly financial results almost always has the potential to have a material effect on the market for the Company’s securities. Therefore, to avoid even the appearance of trading on the basis of material nonpublic information, Covered Persons may not trade in the Company’s securities and the Company cannot conduct stock repurchases during the period beginning on the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last month of each fiscal quarter and ending after the second full trading day following the release of the Company’s earnings for that 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Event-Specific Blackouts.</w:t>
      </w:r>
    </w:p>
    <w:p>
      <w:pPr>
        <w:spacing w:after="0" w:line="205"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issue an event specific blackout notice when an event may occur that is material to the Company and is known by only a few directors, executive officers, and other Personnel. So long as the event remains material and nonpublic, the Company cannot conduct stock repurchases and the persons who are aware of the event, as well as other Covered Persons may not trade in the Company’s securities, as follows. The existence of an event-specific blackout will not be announced, other than to those who are aware of the event giving rise to the blackout. Additionally, as part of the Company’s Pre-clearance standards, during an event-specific blackout, the Compliance Officer will inform any Section 16 filer of the existence of a blackout period, without disclosing the reason for the blackout. Anyone who receives an event-specific blackout notice may not trade on stock as set forth in that notice. Any person made aware of the existence of an event-specific blackout should not disclose the existence of the blackout to any other. The failure of the Compliance Officer to designate a person as being subject to an event-specific blackout will not relieve that person of the obligation not to trade while aware of material nonpublic information. Even if a blackout period is not in effect, at no time may Personnel trade in Company securities if aware of material nonpublic information about the Company.</w:t>
      </w:r>
    </w:p>
    <w:p>
      <w:pPr>
        <w:spacing w:after="0" w:line="73" w:lineRule="exact"/>
        <w:rPr>
          <w:sz w:val="20"/>
          <w:szCs w:val="20"/>
          <w:color w:val="auto"/>
        </w:rPr>
      </w:pPr>
    </w:p>
    <w:p>
      <w:pPr>
        <w:jc w:val="both"/>
        <w:ind w:right="20" w:firstLine="696"/>
        <w:spacing w:after="0" w:line="282" w:lineRule="auto"/>
        <w:rPr>
          <w:sz w:val="20"/>
          <w:szCs w:val="20"/>
          <w:color w:val="auto"/>
        </w:rPr>
      </w:pPr>
      <w:r>
        <w:rPr>
          <w:rFonts w:ascii="Times New Roman" w:cs="Times New Roman" w:eastAsia="Times New Roman" w:hAnsi="Times New Roman"/>
          <w:sz w:val="18"/>
          <w:szCs w:val="18"/>
          <w:color w:val="auto"/>
        </w:rPr>
        <w:t>Covered Persons are discouraged from purchasing or selling Company shares within four business days before or after an announcement of a share repurchase plan, or an announcement of any increase in a share repurchase plan by the Company.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trading situations.</w:t>
      </w:r>
    </w:p>
    <w:p>
      <w:pPr>
        <w:spacing w:after="0" w:line="109" w:lineRule="exact"/>
        <w:rPr>
          <w:sz w:val="20"/>
          <w:szCs w:val="20"/>
          <w:color w:val="auto"/>
        </w:rPr>
      </w:pPr>
    </w:p>
    <w:p>
      <w:pPr>
        <w:jc w:val="both"/>
        <w:ind w:right="20" w:firstLine="696"/>
        <w:spacing w:after="0" w:line="266" w:lineRule="auto"/>
        <w:rPr>
          <w:sz w:val="20"/>
          <w:szCs w:val="20"/>
          <w:color w:val="auto"/>
        </w:rPr>
      </w:pPr>
      <w:r>
        <w:rPr>
          <w:rFonts w:ascii="Times New Roman" w:cs="Times New Roman" w:eastAsia="Times New Roman" w:hAnsi="Times New Roman"/>
          <w:sz w:val="18"/>
          <w:szCs w:val="18"/>
          <w:color w:val="auto"/>
        </w:rPr>
        <w:t>The Company considers it improper and inappropriate for those employed by or associated with the Company to engage in short-term or speculative transactions in the Company’s securities or in other transactions in the Company’s securities that may lead to inadvertent violations of the insider trading laws. Accordingly, Personnel trading in Company securities is subject to the following additional guidance.</w:t>
      </w:r>
    </w:p>
    <w:p>
      <w:pPr>
        <w:spacing w:after="0" w:line="54" w:lineRule="exact"/>
        <w:rPr>
          <w:sz w:val="20"/>
          <w:szCs w:val="20"/>
          <w:color w:val="auto"/>
        </w:rPr>
      </w:pPr>
    </w:p>
    <w:p>
      <w:pPr>
        <w:ind w:right="20" w:firstLine="696"/>
        <w:spacing w:after="0" w:line="256" w:lineRule="auto"/>
        <w:rPr>
          <w:sz w:val="20"/>
          <w:szCs w:val="20"/>
          <w:color w:val="auto"/>
        </w:rPr>
      </w:pPr>
      <w:r>
        <w:rPr>
          <w:rFonts w:ascii="Times New Roman" w:cs="Times New Roman" w:eastAsia="Times New Roman" w:hAnsi="Times New Roman"/>
          <w:sz w:val="18"/>
          <w:szCs w:val="18"/>
          <w:color w:val="auto"/>
        </w:rPr>
        <w:t>Short-term Trading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Short-term trading of the Company’s securities may be distracting to the person and may unduly focus the person on the Company’s short-term stock market performance instead of the Company’s long-term business objectives. For these reasons, any director or Section 16 Filer who purchases the Company’s securities in the open market may not sell any of the Company’s securities of the same class during the six months following the purchase (or vice versa). In addition, Section 16(b) of the Exchange Act requires disgorgement of any “short-swing” profits (resulting from the sale and purchase, purchase and sale, of Company securities within a six-month period) to the Company. The calculations of short-swing profits under the SEC rules can be complex, and it is possible to recognize a short-swing profit under SEC rules even if a stockholder actually experiences an economic loss.</w:t>
      </w:r>
    </w:p>
    <w:p>
      <w:pPr>
        <w:spacing w:after="0" w:line="65"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8"/>
          <w:szCs w:val="18"/>
          <w:color w:val="auto"/>
        </w:rPr>
        <w:t>Short Sales. Short sales of the Company’s securities may evidence an expectation on the part of the seller that the securities will decline in value, and therefore have the potential to signal to the market that the seller lacks confidence in the Company’s prospects. In addition, short sales may reduce a seller’s incentive to see to improve the Company’s performance. For these reasons, Personnel may not engage in short sales of the Company’s securities (sales of securities that are not then owned), including a “sale against the box” (a sale with delayed delivery). In addition, Section 16(c) of the Exchange Act prohibits officers and directors from engaging in short sales.</w:t>
      </w:r>
    </w:p>
    <w:p>
      <w:pPr>
        <w:spacing w:after="0" w:line="64" w:lineRule="exact"/>
        <w:rPr>
          <w:sz w:val="20"/>
          <w:szCs w:val="20"/>
          <w:color w:val="auto"/>
        </w:rPr>
      </w:pPr>
    </w:p>
    <w:p>
      <w:pPr>
        <w:ind w:right="120" w:firstLine="696"/>
        <w:spacing w:after="0" w:line="261" w:lineRule="auto"/>
        <w:rPr>
          <w:sz w:val="20"/>
          <w:szCs w:val="20"/>
          <w:color w:val="auto"/>
        </w:rPr>
      </w:pPr>
      <w:r>
        <w:rPr>
          <w:rFonts w:ascii="Times New Roman" w:cs="Times New Roman" w:eastAsia="Times New Roman" w:hAnsi="Times New Roman"/>
          <w:sz w:val="18"/>
          <w:szCs w:val="18"/>
          <w:color w:val="auto"/>
        </w:rPr>
        <w:t>Publicly Traded Options. Given the relatively short term of publicly 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any director, officer or other employee may not engage in transactions in publicly traded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459740</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of the Company’s securities, such as puts, calls and other derivative securities, on an exchange or in any other organized market.</w:t>
      </w:r>
    </w:p>
    <w:p>
      <w:pPr>
        <w:spacing w:after="0" w:line="105" w:lineRule="exact"/>
        <w:rPr>
          <w:sz w:val="20"/>
          <w:szCs w:val="20"/>
          <w:color w:val="auto"/>
        </w:rPr>
      </w:pPr>
    </w:p>
    <w:p>
      <w:pPr>
        <w:ind w:right="80" w:firstLine="696"/>
        <w:spacing w:after="0" w:line="258" w:lineRule="auto"/>
        <w:rPr>
          <w:sz w:val="20"/>
          <w:szCs w:val="20"/>
          <w:color w:val="auto"/>
        </w:rPr>
      </w:pPr>
      <w:r>
        <w:rPr>
          <w:rFonts w:ascii="Times New Roman" w:cs="Times New Roman" w:eastAsia="Times New Roman" w:hAnsi="Times New Roman"/>
          <w:sz w:val="18"/>
          <w:szCs w:val="18"/>
          <w:color w:val="auto"/>
        </w:rPr>
        <w:t>Hedging Transactions.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the Company’s securities obtained through the Company’s plans or otherwise, but without the full risks and rewards of ownership. When that occurs, the director, officer or employee may no longer have the same objectives as the Company’s other shareholders. Therefore, directors, officers and other employees are prohibited from engaging in any such transaction.</w:t>
      </w:r>
    </w:p>
    <w:p>
      <w:pPr>
        <w:spacing w:after="0" w:line="64" w:lineRule="exact"/>
        <w:rPr>
          <w:sz w:val="20"/>
          <w:szCs w:val="20"/>
          <w:color w:val="auto"/>
        </w:rPr>
      </w:pPr>
    </w:p>
    <w:p>
      <w:pPr>
        <w:ind w:firstLine="696"/>
        <w:spacing w:after="0" w:line="266" w:lineRule="auto"/>
        <w:rPr>
          <w:sz w:val="20"/>
          <w:szCs w:val="20"/>
          <w:color w:val="auto"/>
        </w:rPr>
      </w:pPr>
      <w:r>
        <w:rPr>
          <w:rFonts w:ascii="Times New Roman" w:cs="Times New Roman" w:eastAsia="Times New Roman" w:hAnsi="Times New Roman"/>
          <w:sz w:val="18"/>
          <w:szCs w:val="18"/>
          <w:color w:val="auto"/>
        </w:rPr>
        <w:t>Standing and Limit Orders. Standing and limit orders should be used only for a very brief period of time. A standing order placed with a broker to sell or purchase stock at a specified price leaves Personnel with no control over the timing of the transaction. A standing order transaction executed by the broker when Personnel are aware of material nonpublic information may result in unlawful insider trading.</w:t>
      </w:r>
    </w:p>
    <w:p>
      <w:pPr>
        <w:spacing w:after="0" w:line="56" w:lineRule="exact"/>
        <w:rPr>
          <w:sz w:val="20"/>
          <w:szCs w:val="20"/>
          <w:color w:val="auto"/>
        </w:rPr>
      </w:pPr>
    </w:p>
    <w:p>
      <w:pPr>
        <w:ind w:right="120" w:firstLine="696"/>
        <w:spacing w:after="0" w:line="258" w:lineRule="auto"/>
        <w:rPr>
          <w:sz w:val="20"/>
          <w:szCs w:val="20"/>
          <w:color w:val="auto"/>
        </w:rPr>
      </w:pPr>
      <w:r>
        <w:rPr>
          <w:rFonts w:ascii="Times New Roman" w:cs="Times New Roman" w:eastAsia="Times New Roman" w:hAnsi="Times New Roman"/>
          <w:sz w:val="18"/>
          <w:szCs w:val="18"/>
          <w:color w:val="auto"/>
        </w:rPr>
        <w:t>Margin Accounts and Pledges. Securities held in a margin account or pledged as collateral for a loan may be sold without Personnel consent by the broker if Personnel fail to meet a margin call or by the lender in foreclosure if Personnel default on the loan. A margin or foreclosure sale that occurs when Personnel are aware of material nonpublic information may, under some circumstances, result in unlawful insider trading. Because of this danger, directors, officers, and other employees are prohibited from holding the Company’s securities in a margin account or otherwise pledging the Company’s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3" w:right="6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21: SUBSIDIARIES OF THE REGISTRANT</w:t>
            </w:r>
          </w:p>
        </w:tc>
        <w:tc>
          <w:tcPr>
            <w:tcW w:w="5840" w:type="dxa"/>
            <w:vAlign w:val="bottom"/>
          </w:tcPr>
          <w:p>
            <w:pPr>
              <w:spacing w:after="0"/>
              <w:rPr>
                <w:sz w:val="17"/>
                <w:szCs w:val="17"/>
                <w:color w:val="auto"/>
              </w:rPr>
            </w:pPr>
          </w:p>
        </w:tc>
      </w:tr>
      <w:tr>
        <w:trPr>
          <w:trHeight w:val="384"/>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58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State of Incorporation</w:t>
            </w:r>
          </w:p>
        </w:tc>
      </w:tr>
      <w:tr>
        <w:trPr>
          <w:trHeight w:val="36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Pathfinder Bank</w:t>
            </w:r>
          </w:p>
        </w:tc>
        <w:tc>
          <w:tcPr>
            <w:tcW w:w="58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New York (direct)</w:t>
            </w:r>
          </w:p>
        </w:tc>
      </w:tr>
      <w:tr>
        <w:trPr>
          <w:trHeight w:val="36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Pathfinder Statutory Trust II</w:t>
            </w:r>
          </w:p>
        </w:tc>
        <w:tc>
          <w:tcPr>
            <w:tcW w:w="58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 (direct)</w:t>
            </w:r>
          </w:p>
        </w:tc>
      </w:tr>
      <w:tr>
        <w:trPr>
          <w:trHeight w:val="36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Whispering Oaks Development Corp.</w:t>
            </w:r>
          </w:p>
        </w:tc>
        <w:tc>
          <w:tcPr>
            <w:tcW w:w="58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New York (indirect)</w:t>
            </w:r>
          </w:p>
        </w:tc>
      </w:tr>
      <w:tr>
        <w:trPr>
          <w:trHeight w:val="36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Pathfinder Risk Management Company Inc.</w:t>
            </w:r>
          </w:p>
        </w:tc>
        <w:tc>
          <w:tcPr>
            <w:tcW w:w="58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New York (indirect)</w:t>
            </w:r>
          </w:p>
        </w:tc>
      </w:tr>
      <w:tr>
        <w:trPr>
          <w:trHeight w:val="2043"/>
        </w:trPr>
        <w:tc>
          <w:tcPr>
            <w:tcW w:w="4720" w:type="dxa"/>
            <w:vAlign w:val="bottom"/>
            <w:tcBorders>
              <w:bottom w:val="single" w:sz="8" w:color="EEEEEE"/>
            </w:tcBorders>
          </w:tcPr>
          <w:p>
            <w:pPr>
              <w:spacing w:after="0"/>
              <w:rPr>
                <w:sz w:val="24"/>
                <w:szCs w:val="24"/>
                <w:color w:val="auto"/>
              </w:rPr>
            </w:pPr>
          </w:p>
        </w:tc>
        <w:tc>
          <w:tcPr>
            <w:tcW w:w="5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color w:val="auto"/>
        </w:rPr>
        <w:t>EXHIBIT 23: CONSENT OF BONADIO &amp; CO., LLP</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Pathfinder Bancorp,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Oswego, New York</w:t>
      </w:r>
    </w:p>
    <w:p>
      <w:pPr>
        <w:spacing w:after="0" w:line="1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on Forms S-8 (No. 333-202081, 333-224388 and 333-280216) of our report dated March 31, 2025 of Pathfinder Bancorp, Inc. relating to the consolidated financial statements, which report appears in this Annual Report on Form 10-K as of December 31, 2024 and 2023 and for the years then ended.</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Bonadio &amp; Co., LLP</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Bonadio &amp; Co., LLP</w:t>
      </w:r>
    </w:p>
    <w:p>
      <w:pPr>
        <w:ind w:left="20"/>
        <w:spacing w:after="0" w:line="234" w:lineRule="auto"/>
        <w:rPr>
          <w:sz w:val="20"/>
          <w:szCs w:val="20"/>
          <w:color w:val="auto"/>
        </w:rPr>
      </w:pPr>
      <w:r>
        <w:rPr>
          <w:rFonts w:ascii="Times New Roman" w:cs="Times New Roman" w:eastAsia="Times New Roman" w:hAnsi="Times New Roman"/>
          <w:sz w:val="16"/>
          <w:szCs w:val="16"/>
          <w:color w:val="auto"/>
        </w:rPr>
        <w:t>Syracuse, New York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796925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59" w:right="760" w:bottom="1440" w:gutter="0" w:footer="0" w:header="0"/>
        </w:sectPr>
      </w:pPr>
    </w:p>
    <w:bookmarkStart w:id="131" w:name="page132"/>
    <w:bookmarkEnd w:id="131"/>
    <w:p>
      <w:pPr>
        <w:ind w:right="484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EXHIBIT 31.1: Rule 13a-14(a) / 15d-14(a) Certification of the Chief Executive Officer </w:t>
      </w:r>
      <w:r>
        <w:rPr>
          <w:rFonts w:ascii="Times New Roman" w:cs="Times New Roman" w:eastAsia="Times New Roman" w:hAnsi="Times New Roman"/>
          <w:sz w:val="16"/>
          <w:szCs w:val="16"/>
          <w:color w:val="auto"/>
        </w:rPr>
        <w:t>Certification of Chief Executive Officer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James A. Dowd, President and Chief Executive Officer, certify that: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Annual report on Form 10-K of Pathfinder Bancorp, Inc.;</w:t>
      </w:r>
    </w:p>
    <w:p>
      <w:pPr>
        <w:spacing w:after="0" w:line="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3.Based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74"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480" w:right="3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68"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480" w:right="22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59"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79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 James A. Dowd</w:t>
            </w:r>
          </w:p>
        </w:tc>
      </w:tr>
      <w:tr>
        <w:trPr>
          <w:trHeight w:val="180"/>
        </w:trPr>
        <w:tc>
          <w:tcPr>
            <w:tcW w:w="2620" w:type="dxa"/>
            <w:vAlign w:val="bottom"/>
          </w:tcPr>
          <w:p>
            <w:pPr>
              <w:spacing w:after="0"/>
              <w:rPr>
                <w:sz w:val="15"/>
                <w:szCs w:val="15"/>
                <w:color w:val="auto"/>
              </w:rPr>
            </w:pPr>
          </w:p>
        </w:tc>
        <w:tc>
          <w:tcPr>
            <w:tcW w:w="7940" w:type="dxa"/>
            <w:vAlign w:val="bottom"/>
          </w:tcPr>
          <w:p>
            <w:pPr>
              <w:ind w:left="1620"/>
              <w:spacing w:after="0" w:line="180" w:lineRule="exact"/>
              <w:rPr>
                <w:sz w:val="20"/>
                <w:szCs w:val="20"/>
                <w:color w:val="auto"/>
              </w:rPr>
            </w:pPr>
            <w:r>
              <w:rPr>
                <w:rFonts w:ascii="Times New Roman" w:cs="Times New Roman" w:eastAsia="Times New Roman" w:hAnsi="Times New Roman"/>
                <w:sz w:val="16"/>
                <w:szCs w:val="16"/>
                <w:color w:val="auto"/>
              </w:rPr>
              <w:t>James A. Dowd</w:t>
            </w:r>
          </w:p>
        </w:tc>
      </w:tr>
      <w:tr>
        <w:trPr>
          <w:trHeight w:val="203"/>
        </w:trPr>
        <w:tc>
          <w:tcPr>
            <w:tcW w:w="2620" w:type="dxa"/>
            <w:vAlign w:val="bottom"/>
          </w:tcPr>
          <w:p>
            <w:pPr>
              <w:spacing w:after="0"/>
              <w:rPr>
                <w:sz w:val="17"/>
                <w:szCs w:val="17"/>
                <w:color w:val="auto"/>
              </w:rPr>
            </w:pPr>
          </w:p>
        </w:tc>
        <w:tc>
          <w:tcPr>
            <w:tcW w:w="79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70"/>
        </w:trPr>
        <w:tc>
          <w:tcPr>
            <w:tcW w:w="2620" w:type="dxa"/>
            <w:vAlign w:val="bottom"/>
            <w:tcBorders>
              <w:bottom w:val="single" w:sz="8" w:color="EEEEEE"/>
            </w:tcBorders>
          </w:tcPr>
          <w:p>
            <w:pPr>
              <w:spacing w:after="0"/>
              <w:rPr>
                <w:sz w:val="24"/>
                <w:szCs w:val="24"/>
                <w:color w:val="auto"/>
              </w:rPr>
            </w:pPr>
          </w:p>
        </w:tc>
        <w:tc>
          <w:tcPr>
            <w:tcW w:w="79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132" w:name="page133"/>
    <w:bookmarkEnd w:id="132"/>
    <w:p>
      <w:pPr>
        <w:ind w:right="486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EXHIBIT 31.2: Rule 13a-14(a) / 15d-14(a) Certification of the Chief Financial Officer </w:t>
      </w:r>
      <w:r>
        <w:rPr>
          <w:rFonts w:ascii="Times New Roman" w:cs="Times New Roman" w:eastAsia="Times New Roman" w:hAnsi="Times New Roman"/>
          <w:sz w:val="16"/>
          <w:szCs w:val="16"/>
          <w:color w:val="auto"/>
        </w:rPr>
        <w:t>Certification of Chief Financial Officer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Justin K. Bigham, Senior Vice President, Chief Financial Officer, certify that: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Annual report on Form 10-K of Pathfinder Bancorp, Inc.;</w:t>
      </w:r>
    </w:p>
    <w:p>
      <w:pPr>
        <w:spacing w:after="0" w:line="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3.Based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74"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480" w:right="3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68"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480" w:right="22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59"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79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 Justin K. Bigham</w:t>
            </w:r>
          </w:p>
        </w:tc>
      </w:tr>
      <w:tr>
        <w:trPr>
          <w:trHeight w:val="180"/>
        </w:trPr>
        <w:tc>
          <w:tcPr>
            <w:tcW w:w="2620" w:type="dxa"/>
            <w:vAlign w:val="bottom"/>
          </w:tcPr>
          <w:p>
            <w:pPr>
              <w:spacing w:after="0"/>
              <w:rPr>
                <w:sz w:val="15"/>
                <w:szCs w:val="15"/>
                <w:color w:val="auto"/>
              </w:rPr>
            </w:pPr>
          </w:p>
        </w:tc>
        <w:tc>
          <w:tcPr>
            <w:tcW w:w="7940" w:type="dxa"/>
            <w:vAlign w:val="bottom"/>
          </w:tcPr>
          <w:p>
            <w:pPr>
              <w:ind w:left="1620"/>
              <w:spacing w:after="0" w:line="180" w:lineRule="exact"/>
              <w:rPr>
                <w:sz w:val="20"/>
                <w:szCs w:val="20"/>
                <w:color w:val="auto"/>
              </w:rPr>
            </w:pPr>
            <w:r>
              <w:rPr>
                <w:rFonts w:ascii="Times New Roman" w:cs="Times New Roman" w:eastAsia="Times New Roman" w:hAnsi="Times New Roman"/>
                <w:sz w:val="16"/>
                <w:szCs w:val="16"/>
                <w:color w:val="auto"/>
              </w:rPr>
              <w:t>Justin K. Bigham</w:t>
            </w:r>
          </w:p>
        </w:tc>
      </w:tr>
      <w:tr>
        <w:trPr>
          <w:trHeight w:val="203"/>
        </w:trPr>
        <w:tc>
          <w:tcPr>
            <w:tcW w:w="2620" w:type="dxa"/>
            <w:vAlign w:val="bottom"/>
          </w:tcPr>
          <w:p>
            <w:pPr>
              <w:spacing w:after="0"/>
              <w:rPr>
                <w:sz w:val="17"/>
                <w:szCs w:val="17"/>
                <w:color w:val="auto"/>
              </w:rPr>
            </w:pPr>
          </w:p>
        </w:tc>
        <w:tc>
          <w:tcPr>
            <w:tcW w:w="79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1466"/>
        </w:trPr>
        <w:tc>
          <w:tcPr>
            <w:tcW w:w="2620" w:type="dxa"/>
            <w:vAlign w:val="bottom"/>
            <w:tcBorders>
              <w:bottom w:val="single" w:sz="8" w:color="EEEEEE"/>
            </w:tcBorders>
          </w:tcPr>
          <w:p>
            <w:pPr>
              <w:spacing w:after="0"/>
              <w:rPr>
                <w:sz w:val="24"/>
                <w:szCs w:val="24"/>
                <w:color w:val="auto"/>
              </w:rPr>
            </w:pPr>
          </w:p>
        </w:tc>
        <w:tc>
          <w:tcPr>
            <w:tcW w:w="79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color w:val="auto"/>
        </w:rPr>
        <w:t>EXHIBIT 32 Section 1350 Certification of the Chief Executive and Chief Financial Officers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906 of the Sarbanes-Oxley Act of 2002</w:t>
      </w:r>
    </w:p>
    <w:p>
      <w:pPr>
        <w:spacing w:after="0" w:line="188" w:lineRule="exact"/>
        <w:rPr>
          <w:sz w:val="20"/>
          <w:szCs w:val="20"/>
          <w:color w:val="auto"/>
        </w:rPr>
      </w:pPr>
    </w:p>
    <w:p>
      <w:pPr>
        <w:ind w:right="520"/>
        <w:spacing w:after="0" w:line="247" w:lineRule="auto"/>
        <w:rPr>
          <w:sz w:val="20"/>
          <w:szCs w:val="20"/>
          <w:color w:val="auto"/>
        </w:rPr>
      </w:pPr>
      <w:r>
        <w:rPr>
          <w:rFonts w:ascii="Times New Roman" w:cs="Times New Roman" w:eastAsia="Times New Roman" w:hAnsi="Times New Roman"/>
          <w:sz w:val="16"/>
          <w:szCs w:val="16"/>
          <w:color w:val="auto"/>
        </w:rPr>
        <w:t>James A. Dowd, President and Chief Executive Officer, and Justin K. Bigham, Senior Vice President, Chief Financial Officer of Pathfinder Bancorp, Inc. (the "Company"), each certify in his capacity as an officer of the Company that he has reviewed the Annual Report of the Company on Form 10-K for the year ended December 31, 2024 and that to the best of his knowledge: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Sections 13(a) of the Securities Exchange Act of 1934; 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consolidated financial condition and results of operations of the Company.</w:t>
      </w:r>
    </w:p>
    <w:p>
      <w:pPr>
        <w:spacing w:after="0" w:line="18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purpose of this statement is solely to comply with Title 18, Chapter 63, Section 1350 of the United States Code, as amended by Section 906 of the Sarbanes-Oxley Act of 2002.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73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 James A. Dowd</w:t>
            </w:r>
          </w:p>
        </w:tc>
      </w:tr>
      <w:tr>
        <w:trPr>
          <w:trHeight w:val="180"/>
        </w:trPr>
        <w:tc>
          <w:tcPr>
            <w:tcW w:w="3200" w:type="dxa"/>
            <w:vAlign w:val="bottom"/>
          </w:tcPr>
          <w:p>
            <w:pPr>
              <w:spacing w:after="0"/>
              <w:rPr>
                <w:sz w:val="15"/>
                <w:szCs w:val="15"/>
                <w:color w:val="auto"/>
              </w:rPr>
            </w:pPr>
          </w:p>
        </w:tc>
        <w:tc>
          <w:tcPr>
            <w:tcW w:w="7360" w:type="dxa"/>
            <w:vAlign w:val="bottom"/>
          </w:tcPr>
          <w:p>
            <w:pPr>
              <w:ind w:left="2200"/>
              <w:spacing w:after="0" w:line="180" w:lineRule="exact"/>
              <w:rPr>
                <w:sz w:val="20"/>
                <w:szCs w:val="20"/>
                <w:color w:val="auto"/>
              </w:rPr>
            </w:pPr>
            <w:r>
              <w:rPr>
                <w:rFonts w:ascii="Times New Roman" w:cs="Times New Roman" w:eastAsia="Times New Roman" w:hAnsi="Times New Roman"/>
                <w:sz w:val="16"/>
                <w:szCs w:val="16"/>
                <w:color w:val="auto"/>
              </w:rPr>
              <w:t>James A. Dowd</w:t>
            </w:r>
          </w:p>
        </w:tc>
      </w:tr>
      <w:tr>
        <w:trPr>
          <w:trHeight w:val="203"/>
        </w:trPr>
        <w:tc>
          <w:tcPr>
            <w:tcW w:w="3200" w:type="dxa"/>
            <w:vAlign w:val="bottom"/>
          </w:tcPr>
          <w:p>
            <w:pPr>
              <w:spacing w:after="0"/>
              <w:rPr>
                <w:sz w:val="17"/>
                <w:szCs w:val="17"/>
                <w:color w:val="auto"/>
              </w:rPr>
            </w:pPr>
          </w:p>
        </w:tc>
        <w:tc>
          <w:tcPr>
            <w:tcW w:w="73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33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73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 Justin K. Bigham</w:t>
            </w:r>
          </w:p>
        </w:tc>
      </w:tr>
      <w:tr>
        <w:trPr>
          <w:trHeight w:val="180"/>
        </w:trPr>
        <w:tc>
          <w:tcPr>
            <w:tcW w:w="3200" w:type="dxa"/>
            <w:vAlign w:val="bottom"/>
          </w:tcPr>
          <w:p>
            <w:pPr>
              <w:spacing w:after="0"/>
              <w:rPr>
                <w:sz w:val="15"/>
                <w:szCs w:val="15"/>
                <w:color w:val="auto"/>
              </w:rPr>
            </w:pPr>
          </w:p>
        </w:tc>
        <w:tc>
          <w:tcPr>
            <w:tcW w:w="7360" w:type="dxa"/>
            <w:vAlign w:val="bottom"/>
          </w:tcPr>
          <w:p>
            <w:pPr>
              <w:ind w:left="2200"/>
              <w:spacing w:after="0" w:line="180" w:lineRule="exact"/>
              <w:rPr>
                <w:sz w:val="20"/>
                <w:szCs w:val="20"/>
                <w:color w:val="auto"/>
              </w:rPr>
            </w:pPr>
            <w:r>
              <w:rPr>
                <w:rFonts w:ascii="Times New Roman" w:cs="Times New Roman" w:eastAsia="Times New Roman" w:hAnsi="Times New Roman"/>
                <w:sz w:val="16"/>
                <w:szCs w:val="16"/>
                <w:color w:val="auto"/>
              </w:rPr>
              <w:t>Justin K. Bigham</w:t>
            </w:r>
          </w:p>
        </w:tc>
      </w:tr>
      <w:tr>
        <w:trPr>
          <w:trHeight w:val="203"/>
        </w:trPr>
        <w:tc>
          <w:tcPr>
            <w:tcW w:w="3200" w:type="dxa"/>
            <w:vAlign w:val="bottom"/>
          </w:tcPr>
          <w:p>
            <w:pPr>
              <w:spacing w:after="0"/>
              <w:rPr>
                <w:sz w:val="17"/>
                <w:szCs w:val="17"/>
                <w:color w:val="auto"/>
              </w:rPr>
            </w:pPr>
          </w:p>
        </w:tc>
        <w:tc>
          <w:tcPr>
            <w:tcW w:w="73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1250"/>
        </w:trPr>
        <w:tc>
          <w:tcPr>
            <w:tcW w:w="3200" w:type="dxa"/>
            <w:vAlign w:val="bottom"/>
            <w:tcBorders>
              <w:bottom w:val="single" w:sz="8" w:color="EEEEEE"/>
            </w:tcBorders>
          </w:tcPr>
          <w:p>
            <w:pPr>
              <w:spacing w:after="0"/>
              <w:rPr>
                <w:sz w:val="24"/>
                <w:szCs w:val="24"/>
                <w:color w:val="auto"/>
              </w:rPr>
            </w:pPr>
          </w:p>
        </w:tc>
        <w:tc>
          <w:tcPr>
            <w:tcW w:w="73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134" w:name="page135"/>
    <w:bookmarkEnd w:id="13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decimal"/>
      <w:start w:val="14"/>
    </w:lvl>
  </w:abstractNum>
  <w:abstractNum w:abstractNumId="7">
    <w:nsid w:val="216231B"/>
    <w:multiLevelType w:val="hybridMultilevel"/>
    <w:lvl w:ilvl="0">
      <w:lvlJc w:val="left"/>
      <w:lvlText w:val="%1"/>
      <w:numFmt w:val="decimal"/>
      <w:start w:val="19"/>
    </w:lvl>
  </w:abstractNum>
  <w:abstractNum w:abstractNumId="8">
    <w:nsid w:val="1F16E9E8"/>
    <w:multiLevelType w:val="hybridMultilevel"/>
    <w:lvl w:ilvl="0">
      <w:lvlJc w:val="left"/>
      <w:lvlText w:val="%1"/>
      <w:numFmt w:val="decimal"/>
      <w:start w:val="21"/>
    </w:lvl>
  </w:abstractNum>
  <w:abstractNum w:abstractNumId="9">
    <w:nsid w:val="1190CDE7"/>
    <w:multiLevelType w:val="hybridMultilevel"/>
    <w:lvl w:ilvl="0">
      <w:lvlJc w:val="left"/>
      <w:lvlText w:val="%1"/>
      <w:numFmt w:val="decimal"/>
      <w:start w:val="23"/>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97"/>
    </w:lvl>
  </w:abstractNum>
  <w:abstractNum w:abstractNumId="12">
    <w:nsid w:val="3352255A"/>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9" Type="http://schemas.openxmlformats.org/officeDocument/2006/relationships/image" Target="media/image129.png"/><Relationship Id="rId164"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36" Type="http://schemas.openxmlformats.org/officeDocument/2006/relationships/hyperlink" Target="https://www.sec.gov/ix?doc=/Archives/edgar/data/0001609065/000095017024024940/pbhc-20240304.htm" TargetMode="External"/><Relationship Id="rId137" Type="http://schemas.openxmlformats.org/officeDocument/2006/relationships/hyperlink" Target="https://www.sec.gov/Archives/edgar/data/1609065/000157104914002349/t1400715_ex3-1.htm" TargetMode="External"/><Relationship Id="rId138" Type="http://schemas.openxmlformats.org/officeDocument/2006/relationships/hyperlink" Target="https://www.sec.gov/Archives/edgar/data/1609065/000157104914002349/t1400715_ex3-2.htm" TargetMode="External"/><Relationship Id="rId139" Type="http://schemas.openxmlformats.org/officeDocument/2006/relationships/hyperlink" Target="https://www.sec.gov/Archives/edgar/data/1609065/000119312519142340/d944933dex31.htm" TargetMode="External"/><Relationship Id="rId140" Type="http://schemas.openxmlformats.org/officeDocument/2006/relationships/hyperlink" Target="https://www.sec.gov/Archives/edgar/data/1609065/000156459020054267/pbhc-ex31_6.htm" TargetMode="External"/><Relationship Id="rId141" Type="http://schemas.openxmlformats.org/officeDocument/2006/relationships/hyperlink" Target="https://www.sec.gov/Archives/edgar/data/0001609065/000156459021032363/pbhc-8k_20210610.htm" TargetMode="External"/><Relationship Id="rId142" Type="http://schemas.openxmlformats.org/officeDocument/2006/relationships/hyperlink" Target="https://www.sec.gov/Archives/edgar/data/1609065/000157104914002349/t1400715_ex4.htm" TargetMode="External"/><Relationship Id="rId143" Type="http://schemas.openxmlformats.org/officeDocument/2006/relationships/hyperlink" Target="https://www.sec.gov/Archives/edgar/data/1609065/000157104914005335/t1402000_ex4-1.htm" TargetMode="External"/><Relationship Id="rId144" Type="http://schemas.openxmlformats.org/officeDocument/2006/relationships/hyperlink" Target="https://www.sec.gov/Archives/edgar/data/1609065/000157104914005335/t1402000_ex4-2.htm" TargetMode="External"/><Relationship Id="rId145" Type="http://schemas.openxmlformats.org/officeDocument/2006/relationships/hyperlink" Target="https://www.sec.gov/Archives/edgar/data/1609065/000119312519142340/d944933dex41.htm" TargetMode="External"/><Relationship Id="rId146" Type="http://schemas.openxmlformats.org/officeDocument/2006/relationships/hyperlink" Target="https://www.sec.gov/Archives/edgar/data/1609065/000156459020012167/pbhc-ex45_170.htm" TargetMode="External"/><Relationship Id="rId147" Type="http://schemas.openxmlformats.org/officeDocument/2006/relationships/hyperlink" Target="https://www.sec.gov/Archives/edgar/data/1609065/000156459020046491/pbhc-ex41_9.htm" TargetMode="External"/><Relationship Id="rId148" Type="http://schemas.openxmlformats.org/officeDocument/2006/relationships/hyperlink" Target="https://www.sec.gov/Archives/edgar/data/1046188/000104618809000007/exh10-3.htm" TargetMode="External"/><Relationship Id="rId150" Type="http://schemas.openxmlformats.org/officeDocument/2006/relationships/hyperlink" Target="https://www.sec.gov/Archives/edgar/data/1046188/000104618809000007/exh10-4.htm" TargetMode="External"/><Relationship Id="rId151" Type="http://schemas.openxmlformats.org/officeDocument/2006/relationships/hyperlink" Target="https://www.sec.gov/Archives/edgar/data/1046188/000104618814000010/ex-10_15.htm" TargetMode="External"/><Relationship Id="rId152" Type="http://schemas.openxmlformats.org/officeDocument/2006/relationships/hyperlink" Target="https://www.sec.gov/Archives/edgar/data/1609065/000157104914005335/t1402000_ex10-1.htm" TargetMode="External"/><Relationship Id="rId153" Type="http://schemas.openxmlformats.org/officeDocument/2006/relationships/hyperlink" Target="https://www.sec.gov/Archives/edgar/data/1609065/000160906515000006/form10-k.htm" TargetMode="External"/><Relationship Id="rId154" Type="http://schemas.openxmlformats.org/officeDocument/2006/relationships/hyperlink" Target="https://www.sec.gov/Archives/edgar/data/1609065/000094337415000543/form8k_101515.htm" TargetMode="External"/><Relationship Id="rId155" Type="http://schemas.openxmlformats.org/officeDocument/2006/relationships/hyperlink" Target="https://www.sec.gov/Archives/edgar/data/1609065/000160906516000056/def14a.htm" TargetMode="External"/><Relationship Id="rId156" Type="http://schemas.openxmlformats.org/officeDocument/2006/relationships/hyperlink" Target="https://www.sec.gov/Archives/edgar/data/1609065/000156459018007279/pbhc-ex1014_331.htm" TargetMode="External"/><Relationship Id="rId157" Type="http://schemas.openxmlformats.org/officeDocument/2006/relationships/hyperlink" Target="https://www.sec.gov/Archives/edgar/data/1609065/000156459019000310/pbhc-ex101_6.htm" TargetMode="External"/><Relationship Id="rId158" Type="http://schemas.openxmlformats.org/officeDocument/2006/relationships/hyperlink" Target="https://www.sec.gov/Archives/edgar/data/0001609065/000094337424000372/ex10-1_8k090424.htm" TargetMode="External"/><Relationship Id="rId159" Type="http://schemas.openxmlformats.org/officeDocument/2006/relationships/hyperlink" Target="https://www.sec.gov/Archives/edgar/data/0001609065/000094337424000372/ex10-2_8k090424.htm" TargetMode="External"/><Relationship Id="rId160" Type="http://schemas.openxmlformats.org/officeDocument/2006/relationships/hyperlink" Target="https://www.sec.gov/Archives/edgar/data/1609065/000119312519142340/d944933dex101.htm" TargetMode="External"/><Relationship Id="rId161" Type="http://schemas.openxmlformats.org/officeDocument/2006/relationships/hyperlink" Target="https://www.sec.gov/Archives/edgar/data/1609065/000119312519142340/d944933dex102.htm" TargetMode="External"/><Relationship Id="rId162" Type="http://schemas.openxmlformats.org/officeDocument/2006/relationships/hyperlink" Target="https://www.sec.gov/Archives/edgar/data/1609065/000156459020046491/pbhc-ex101_8.htm" TargetMode="External"/><Relationship Id="rId163" Type="http://schemas.openxmlformats.org/officeDocument/2006/relationships/hyperlink" Target="https://www.sec.gov/Archives/edgar/data/1609065/000156459020046491/pbhc-ex102_7.htm" TargetMode="External"/><Relationship Id="rId165" Type="http://schemas.openxmlformats.org/officeDocument/2006/relationships/hyperlink" Target="https://www.sec.gov/Archives/edgar/data/1609065/000156459020054267/pbhc-ex101_7.htm" TargetMode="External"/><Relationship Id="rId166" Type="http://schemas.openxmlformats.org/officeDocument/2006/relationships/hyperlink" Target="https://www.sec.gov/ix?doc=/Archives/edgar/data/0001609065/000094337423000188/form8k_050823.htm" TargetMode="External"/><Relationship Id="rId167" Type="http://schemas.openxmlformats.org/officeDocument/2006/relationships/hyperlink" Target="https://www.sec.gov/Archives/edgar/data/1609065/000095017024046248/pbhc-2024-def_14a.htm#appendix" TargetMode="External"/><Relationship Id="rId168" Type="http://schemas.openxmlformats.org/officeDocument/2006/relationships/hyperlink" Target="https://www.sec.gov/Archives/edgar/data/0001609065/000094337424000173/ex10-2_8k050224.htm" TargetMode="External"/><Relationship Id="rId169" Type="http://schemas.openxmlformats.org/officeDocument/2006/relationships/hyperlink" Target="https://www.sec.gov/Archives/edgar/data/1046188/000104618804000013/doc1.txt" TargetMode="External"/><Relationship Id="rId176" Type="http://schemas.openxmlformats.org/officeDocument/2006/relationships/hyperlink" Target="https://www.sec.gov/Archives/edgar/data/0001609065/000095017024035248/pbhc-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2025-03-31T18:33:21Z</dcterms:created>
  <dcterms:modified xsi:type="dcterms:W3CDTF">2025-03-31T18:33:21Z</dcterms:modified>
</cp:coreProperties>
</file>