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90170</wp:posOffset>
            </wp:positionV>
            <wp:extent cx="3566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79" w:lineRule="exact"/>
        <w:rPr>
          <w:sz w:val="24"/>
          <w:szCs w:val="24"/>
          <w:color w:val="auto"/>
        </w:rPr>
      </w:pPr>
    </w:p>
    <w:p>
      <w:pPr>
        <w:ind w:left="2580" w:hanging="766"/>
        <w:spacing w:after="0"/>
        <w:tabs>
          <w:tab w:leader="none" w:pos="2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QUARTERLY REPORT PURSUANT TO SECTION 13 OR 15(d) OF THE SECURITIES</w:t>
      </w:r>
    </w:p>
    <w:p>
      <w:pPr>
        <w:spacing w:after="0" w:line="25" w:lineRule="exact"/>
        <w:rPr>
          <w:rFonts w:ascii="MS PGothic" w:cs="MS PGothic" w:eastAsia="MS PGothic" w:hAnsi="MS PGothic"/>
          <w:sz w:val="18"/>
          <w:szCs w:val="18"/>
          <w:color w:val="auto"/>
          <w:highlight w:val="black"/>
        </w:rPr>
      </w:pPr>
    </w:p>
    <w:p>
      <w:pPr>
        <w:ind w:left="48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March 31, 2023</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50" w:lineRule="exact"/>
        <w:rPr>
          <w:sz w:val="24"/>
          <w:szCs w:val="24"/>
          <w:color w:val="auto"/>
        </w:rPr>
      </w:pPr>
    </w:p>
    <w:p>
      <w:pPr>
        <w:ind w:left="2580" w:hanging="766"/>
        <w:spacing w:after="0"/>
        <w:tabs>
          <w:tab w:leader="none" w:pos="2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w:t>
      </w:r>
    </w:p>
    <w:p>
      <w:pPr>
        <w:spacing w:after="0" w:line="25" w:lineRule="exact"/>
        <w:rPr>
          <w:rFonts w:ascii="MS PGothic" w:cs="MS PGothic" w:eastAsia="MS PGothic" w:hAnsi="MS PGothic"/>
          <w:sz w:val="18"/>
          <w:szCs w:val="18"/>
          <w:color w:val="auto"/>
        </w:rPr>
      </w:pPr>
    </w:p>
    <w:p>
      <w:pPr>
        <w:ind w:left="4800"/>
        <w:spacing w:after="0"/>
        <w:rPr>
          <w:rFonts w:ascii="MS PGothic" w:cs="MS PGothic" w:eastAsia="MS PGothic" w:hAnsi="MS PGothic"/>
          <w:sz w:val="18"/>
          <w:szCs w:val="18"/>
          <w:color w:val="auto"/>
        </w:rPr>
      </w:pPr>
      <w:r>
        <w:rPr>
          <w:rFonts w:ascii="Arial" w:cs="Arial" w:eastAsia="Arial" w:hAnsi="Arial"/>
          <w:sz w:val="18"/>
          <w:szCs w:val="18"/>
          <w:color w:val="auto"/>
        </w:rPr>
        <w:t>EXCHANGE ACT OF 1934</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For the transition period from _______ to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14605</wp:posOffset>
            </wp:positionV>
            <wp:extent cx="1825625"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56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40" w:type="dxa"/>
            <w:vAlign w:val="bottom"/>
            <w:gridSpan w:val="12"/>
          </w:tcPr>
          <w:p>
            <w:pPr>
              <w:jc w:val="center"/>
              <w:ind w:right="3600"/>
              <w:spacing w:after="0"/>
              <w:rPr>
                <w:sz w:val="20"/>
                <w:szCs w:val="20"/>
                <w:color w:val="auto"/>
              </w:rPr>
            </w:pPr>
            <w:r>
              <w:rPr>
                <w:rFonts w:ascii="Arial" w:cs="Arial" w:eastAsia="Arial" w:hAnsi="Arial"/>
                <w:sz w:val="18"/>
                <w:szCs w:val="18"/>
                <w:color w:val="auto"/>
                <w:w w:val="90"/>
              </w:rPr>
              <w:t>(Exact Name of Company as Specified in its Charter)</w:t>
            </w:r>
          </w:p>
        </w:tc>
      </w:tr>
      <w:tr>
        <w:trPr>
          <w:trHeight w:val="351"/>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gridSpan w:val="3"/>
          </w:tcPr>
          <w:p>
            <w:pPr>
              <w:jc w:val="center"/>
              <w:ind w:right="1380"/>
              <w:spacing w:after="0"/>
              <w:rPr>
                <w:sz w:val="20"/>
                <w:szCs w:val="20"/>
                <w:color w:val="auto"/>
              </w:rPr>
            </w:pPr>
            <w:r>
              <w:rPr>
                <w:rFonts w:ascii="Arial" w:cs="Arial" w:eastAsia="Arial" w:hAnsi="Arial"/>
                <w:sz w:val="18"/>
                <w:szCs w:val="18"/>
                <w:color w:val="auto"/>
                <w:w w:val="91"/>
              </w:rPr>
              <w:t>Maryland</w:t>
            </w:r>
          </w:p>
        </w:tc>
        <w:tc>
          <w:tcPr>
            <w:tcW w:w="2420" w:type="dxa"/>
            <w:vAlign w:val="bottom"/>
            <w:gridSpan w:val="5"/>
          </w:tcPr>
          <w:p>
            <w:pPr>
              <w:jc w:val="center"/>
              <w:ind w:left="1550"/>
              <w:spacing w:after="0"/>
              <w:rPr>
                <w:sz w:val="20"/>
                <w:szCs w:val="20"/>
                <w:color w:val="auto"/>
              </w:rPr>
            </w:pPr>
            <w:r>
              <w:rPr>
                <w:rFonts w:ascii="Arial" w:cs="Arial" w:eastAsia="Arial" w:hAnsi="Arial"/>
                <w:sz w:val="18"/>
                <w:szCs w:val="18"/>
                <w:color w:val="auto"/>
                <w:w w:val="90"/>
              </w:rPr>
              <w:t>001-36695</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gridSpan w:val="3"/>
          </w:tcPr>
          <w:p>
            <w:pPr>
              <w:jc w:val="right"/>
              <w:spacing w:after="0"/>
              <w:rPr>
                <w:sz w:val="20"/>
                <w:szCs w:val="20"/>
                <w:color w:val="auto"/>
              </w:rPr>
            </w:pPr>
            <w:r>
              <w:rPr>
                <w:rFonts w:ascii="Arial" w:cs="Arial" w:eastAsia="Arial" w:hAnsi="Arial"/>
                <w:sz w:val="18"/>
                <w:szCs w:val="18"/>
                <w:color w:val="auto"/>
              </w:rPr>
              <w:t>38-3941859</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3600" w:type="dxa"/>
            <w:vAlign w:val="bottom"/>
            <w:gridSpan w:val="5"/>
          </w:tcPr>
          <w:p>
            <w:pPr>
              <w:jc w:val="center"/>
              <w:ind w:left="70"/>
              <w:spacing w:after="0"/>
              <w:rPr>
                <w:sz w:val="20"/>
                <w:szCs w:val="20"/>
                <w:color w:val="auto"/>
              </w:rPr>
            </w:pPr>
            <w:r>
              <w:rPr>
                <w:rFonts w:ascii="Arial" w:cs="Arial" w:eastAsia="Arial" w:hAnsi="Arial"/>
                <w:sz w:val="18"/>
                <w:szCs w:val="18"/>
                <w:color w:val="auto"/>
                <w:w w:val="92"/>
              </w:rPr>
              <w:t>(State of Other Jurisdiction of Incorporation)</w:t>
            </w:r>
          </w:p>
        </w:tc>
        <w:tc>
          <w:tcPr>
            <w:tcW w:w="520" w:type="dxa"/>
            <w:vAlign w:val="bottom"/>
          </w:tcPr>
          <w:p>
            <w:pPr>
              <w:spacing w:after="0"/>
              <w:rPr>
                <w:sz w:val="20"/>
                <w:szCs w:val="20"/>
                <w:color w:val="auto"/>
              </w:rPr>
            </w:pPr>
          </w:p>
        </w:tc>
        <w:tc>
          <w:tcPr>
            <w:tcW w:w="2780" w:type="dxa"/>
            <w:vAlign w:val="bottom"/>
            <w:gridSpan w:val="6"/>
          </w:tcPr>
          <w:p>
            <w:pPr>
              <w:jc w:val="center"/>
              <w:ind w:left="150"/>
              <w:spacing w:after="0"/>
              <w:rPr>
                <w:sz w:val="20"/>
                <w:szCs w:val="20"/>
                <w:color w:val="auto"/>
              </w:rPr>
            </w:pPr>
            <w:r>
              <w:rPr>
                <w:rFonts w:ascii="Arial" w:cs="Arial" w:eastAsia="Arial" w:hAnsi="Arial"/>
                <w:sz w:val="18"/>
                <w:szCs w:val="18"/>
                <w:color w:val="auto"/>
                <w:w w:val="93"/>
              </w:rPr>
              <w:t>(Commission File No.)</w:t>
            </w:r>
          </w:p>
        </w:tc>
        <w:tc>
          <w:tcPr>
            <w:tcW w:w="240" w:type="dxa"/>
            <w:vAlign w:val="bottom"/>
          </w:tcPr>
          <w:p>
            <w:pPr>
              <w:spacing w:after="0"/>
              <w:rPr>
                <w:sz w:val="20"/>
                <w:szCs w:val="20"/>
                <w:color w:val="auto"/>
              </w:rPr>
            </w:pPr>
          </w:p>
        </w:tc>
        <w:tc>
          <w:tcPr>
            <w:tcW w:w="4100" w:type="dxa"/>
            <w:vAlign w:val="bottom"/>
            <w:gridSpan w:val="4"/>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236"/>
        </w:trPr>
        <w:tc>
          <w:tcPr>
            <w:tcW w:w="1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310"/>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214 West First Street, Oswego, NY 13126</w:t>
            </w:r>
          </w:p>
        </w:tc>
        <w:tc>
          <w:tcPr>
            <w:tcW w:w="4100" w:type="dxa"/>
            <w:vAlign w:val="bottom"/>
            <w:gridSpan w:val="4"/>
          </w:tcPr>
          <w:p>
            <w:pPr>
              <w:spacing w:after="0"/>
              <w:rPr>
                <w:sz w:val="24"/>
                <w:szCs w:val="24"/>
                <w:color w:val="auto"/>
              </w:rPr>
            </w:pPr>
          </w:p>
        </w:tc>
      </w:tr>
      <w:tr>
        <w:trPr>
          <w:trHeight w:val="358"/>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40" w:type="dxa"/>
            <w:vAlign w:val="bottom"/>
            <w:gridSpan w:val="12"/>
          </w:tcPr>
          <w:p>
            <w:pPr>
              <w:jc w:val="center"/>
              <w:ind w:right="3580"/>
              <w:spacing w:after="0"/>
              <w:rPr>
                <w:sz w:val="20"/>
                <w:szCs w:val="20"/>
                <w:color w:val="auto"/>
              </w:rPr>
            </w:pPr>
            <w:r>
              <w:rPr>
                <w:rFonts w:ascii="Arial" w:cs="Arial" w:eastAsia="Arial" w:hAnsi="Arial"/>
                <w:sz w:val="18"/>
                <w:szCs w:val="18"/>
                <w:color w:val="auto"/>
                <w:w w:val="93"/>
              </w:rPr>
              <w:t>(Address of Principal Executive Office) (Zip Code)</w:t>
            </w:r>
          </w:p>
        </w:tc>
      </w:tr>
      <w:tr>
        <w:trPr>
          <w:trHeight w:val="310"/>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(315) 343-0057</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8"/>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40" w:type="dxa"/>
            <w:vAlign w:val="bottom"/>
            <w:gridSpan w:val="12"/>
          </w:tcPr>
          <w:p>
            <w:pPr>
              <w:jc w:val="center"/>
              <w:ind w:right="3600"/>
              <w:spacing w:after="0"/>
              <w:rPr>
                <w:sz w:val="20"/>
                <w:szCs w:val="20"/>
                <w:color w:val="auto"/>
              </w:rPr>
            </w:pPr>
            <w:r>
              <w:rPr>
                <w:rFonts w:ascii="Arial" w:cs="Arial" w:eastAsia="Arial" w:hAnsi="Arial"/>
                <w:sz w:val="18"/>
                <w:szCs w:val="18"/>
                <w:color w:val="auto"/>
                <w:w w:val="90"/>
              </w:rPr>
              <w:t>(Issuer’s Telephone Number including area code)</w:t>
            </w:r>
          </w:p>
        </w:tc>
      </w:tr>
      <w:tr>
        <w:trPr>
          <w:trHeight w:val="351"/>
        </w:trPr>
        <w:tc>
          <w:tcPr>
            <w:tcW w:w="6900" w:type="dxa"/>
            <w:vAlign w:val="bottom"/>
            <w:gridSpan w:val="1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1240" w:type="dxa"/>
            <w:vAlign w:val="bottom"/>
          </w:tcPr>
          <w:p>
            <w:pPr>
              <w:spacing w:after="0"/>
              <w:rPr>
                <w:sz w:val="24"/>
                <w:szCs w:val="24"/>
                <w:color w:val="auto"/>
              </w:rPr>
            </w:pPr>
          </w:p>
        </w:tc>
        <w:tc>
          <w:tcPr>
            <w:tcW w:w="236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Title of each class</w:t>
            </w:r>
          </w:p>
        </w:tc>
        <w:tc>
          <w:tcPr>
            <w:tcW w:w="520" w:type="dxa"/>
            <w:vAlign w:val="bottom"/>
          </w:tcPr>
          <w:p>
            <w:pPr>
              <w:spacing w:after="0"/>
              <w:rPr>
                <w:sz w:val="24"/>
                <w:szCs w:val="24"/>
                <w:color w:val="auto"/>
              </w:rPr>
            </w:pPr>
          </w:p>
        </w:tc>
        <w:tc>
          <w:tcPr>
            <w:tcW w:w="2780" w:type="dxa"/>
            <w:vAlign w:val="bottom"/>
            <w:gridSpan w:val="6"/>
          </w:tcPr>
          <w:p>
            <w:pPr>
              <w:jc w:val="center"/>
              <w:ind w:right="1480"/>
              <w:spacing w:after="0"/>
              <w:rPr>
                <w:sz w:val="20"/>
                <w:szCs w:val="20"/>
                <w:color w:val="auto"/>
              </w:rPr>
            </w:pPr>
            <w:r>
              <w:rPr>
                <w:rFonts w:ascii="Arial" w:cs="Arial" w:eastAsia="Arial" w:hAnsi="Arial"/>
                <w:sz w:val="18"/>
                <w:szCs w:val="18"/>
                <w:color w:val="auto"/>
                <w:w w:val="88"/>
              </w:rPr>
              <w:t>Trading Symbol(s)</w:t>
            </w:r>
          </w:p>
        </w:tc>
        <w:tc>
          <w:tcPr>
            <w:tcW w:w="4340" w:type="dxa"/>
            <w:vAlign w:val="bottom"/>
            <w:gridSpan w:val="5"/>
          </w:tcPr>
          <w:p>
            <w:pPr>
              <w:jc w:val="center"/>
              <w:ind w:right="116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940" w:type="dxa"/>
            <w:vAlign w:val="bottom"/>
            <w:gridSpan w:val="3"/>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4"/>
        </w:trPr>
        <w:tc>
          <w:tcPr>
            <w:tcW w:w="3600" w:type="dxa"/>
            <w:vAlign w:val="bottom"/>
            <w:gridSpan w:val="5"/>
          </w:tcPr>
          <w:p>
            <w:pPr>
              <w:jc w:val="center"/>
              <w:ind w:left="70"/>
              <w:spacing w:after="0"/>
              <w:rPr>
                <w:sz w:val="20"/>
                <w:szCs w:val="20"/>
                <w:color w:val="auto"/>
              </w:rPr>
            </w:pPr>
            <w:r>
              <w:rPr>
                <w:rFonts w:ascii="Arial" w:cs="Arial" w:eastAsia="Arial" w:hAnsi="Arial"/>
                <w:sz w:val="18"/>
                <w:szCs w:val="18"/>
                <w:color w:val="auto"/>
                <w:w w:val="90"/>
              </w:rPr>
              <w:t>Common Stock, $0.01 par value</w:t>
            </w:r>
          </w:p>
        </w:tc>
        <w:tc>
          <w:tcPr>
            <w:tcW w:w="520" w:type="dxa"/>
            <w:vAlign w:val="bottom"/>
          </w:tcPr>
          <w:p>
            <w:pPr>
              <w:spacing w:after="0"/>
              <w:rPr>
                <w:sz w:val="22"/>
                <w:szCs w:val="22"/>
                <w:color w:val="auto"/>
              </w:rPr>
            </w:pPr>
          </w:p>
        </w:tc>
        <w:tc>
          <w:tcPr>
            <w:tcW w:w="2780" w:type="dxa"/>
            <w:vAlign w:val="bottom"/>
            <w:gridSpan w:val="6"/>
          </w:tcPr>
          <w:p>
            <w:pPr>
              <w:jc w:val="center"/>
              <w:ind w:right="1540"/>
              <w:spacing w:after="0"/>
              <w:rPr>
                <w:sz w:val="20"/>
                <w:szCs w:val="20"/>
                <w:color w:val="auto"/>
              </w:rPr>
            </w:pPr>
            <w:r>
              <w:rPr>
                <w:rFonts w:ascii="Arial" w:cs="Arial" w:eastAsia="Arial" w:hAnsi="Arial"/>
                <w:sz w:val="18"/>
                <w:szCs w:val="18"/>
                <w:color w:val="auto"/>
                <w:w w:val="95"/>
              </w:rPr>
              <w:t>PBHC</w:t>
            </w:r>
          </w:p>
        </w:tc>
        <w:tc>
          <w:tcPr>
            <w:tcW w:w="240" w:type="dxa"/>
            <w:vAlign w:val="bottom"/>
          </w:tcPr>
          <w:p>
            <w:pPr>
              <w:spacing w:after="0"/>
              <w:rPr>
                <w:sz w:val="22"/>
                <w:szCs w:val="22"/>
                <w:color w:val="auto"/>
              </w:rPr>
            </w:pPr>
          </w:p>
        </w:tc>
        <w:tc>
          <w:tcPr>
            <w:tcW w:w="4100" w:type="dxa"/>
            <w:vAlign w:val="bottom"/>
            <w:gridSpan w:val="4"/>
          </w:tcPr>
          <w:p>
            <w:pPr>
              <w:jc w:val="center"/>
              <w:ind w:right="1420"/>
              <w:spacing w:after="0"/>
              <w:rPr>
                <w:sz w:val="20"/>
                <w:szCs w:val="20"/>
                <w:color w:val="auto"/>
              </w:rPr>
            </w:pPr>
            <w:r>
              <w:rPr>
                <w:rFonts w:ascii="Arial" w:cs="Arial" w:eastAsia="Arial" w:hAnsi="Arial"/>
                <w:sz w:val="18"/>
                <w:szCs w:val="18"/>
                <w:color w:val="auto"/>
                <w:w w:val="95"/>
              </w:rPr>
              <w:t>The NASDAQ Stock Market LLC</w:t>
            </w:r>
          </w:p>
        </w:tc>
      </w:tr>
    </w:tbl>
    <w:p>
      <w:pPr>
        <w:spacing w:after="0" w:line="13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8" w:lineRule="exact"/>
        <w:rPr>
          <w:sz w:val="24"/>
          <w:szCs w:val="24"/>
          <w:color w:val="auto"/>
        </w:rPr>
      </w:pPr>
    </w:p>
    <w:p>
      <w:pPr>
        <w:ind w:left="1540"/>
        <w:spacing w:after="0" w:line="207" w:lineRule="exact"/>
        <w:tabs>
          <w:tab w:leader="none" w:pos="24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89"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w:t>
      </w:r>
    </w:p>
    <w:p>
      <w:pPr>
        <w:spacing w:after="0" w:line="38" w:lineRule="exact"/>
        <w:rPr>
          <w:sz w:val="24"/>
          <w:szCs w:val="24"/>
          <w:color w:val="auto"/>
        </w:rPr>
      </w:pPr>
    </w:p>
    <w:p>
      <w:pPr>
        <w:ind w:left="1500"/>
        <w:spacing w:after="0" w:line="207" w:lineRule="exact"/>
        <w:tabs>
          <w:tab w:leader="none" w:pos="23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8" w:lineRule="exact"/>
        <w:rPr>
          <w:sz w:val="24"/>
          <w:szCs w:val="24"/>
          <w:color w:val="auto"/>
        </w:rPr>
      </w:pPr>
    </w:p>
    <w:p>
      <w:pPr>
        <w:ind w:left="20"/>
        <w:spacing w:after="0" w:line="207" w:lineRule="exact"/>
        <w:tabs>
          <w:tab w:leader="none" w:pos="2140" w:val="left"/>
          <w:tab w:leader="none" w:pos="3840" w:val="left"/>
          <w:tab w:leader="none" w:pos="5940" w:val="left"/>
          <w:tab w:leader="none" w:pos="85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2"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8" w:lineRule="exact"/>
        <w:rPr>
          <w:sz w:val="24"/>
          <w:szCs w:val="24"/>
          <w:color w:val="auto"/>
        </w:rPr>
      </w:pPr>
    </w:p>
    <w:p>
      <w:pPr>
        <w:spacing w:after="0" w:line="196" w:lineRule="exact"/>
        <w:tabs>
          <w:tab w:leader="none" w:pos="90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of May 12, 2023, there were 4,673,665 shares outstanding of the registrant’s Voting common stock and 1,380,283 shares outstanding of the registrant’s Series A Non-Voting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PATHFINDER BANCORP, INC.</w:t>
      </w:r>
    </w:p>
    <w:p>
      <w:pPr>
        <w:jc w:val="center"/>
        <w:spacing w:after="0"/>
        <w:rPr>
          <w:sz w:val="20"/>
          <w:szCs w:val="20"/>
          <w:color w:val="auto"/>
        </w:rPr>
      </w:pPr>
      <w:r>
        <w:rPr>
          <w:rFonts w:ascii="Arial" w:cs="Arial" w:eastAsia="Arial" w:hAnsi="Arial"/>
          <w:sz w:val="20"/>
          <w:szCs w:val="20"/>
          <w:b w:val="1"/>
          <w:bCs w:val="1"/>
          <w:color w:val="auto"/>
        </w:rPr>
        <w:t>INDEX</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020" w:type="dxa"/>
            <w:vAlign w:val="bottom"/>
            <w:gridSpan w:val="16"/>
          </w:tcPr>
          <w:p>
            <w:pPr>
              <w:ind w:left="20"/>
              <w:spacing w:after="0"/>
              <w:rPr>
                <w:sz w:val="20"/>
                <w:szCs w:val="20"/>
                <w:color w:val="auto"/>
              </w:rPr>
            </w:pPr>
            <w:r>
              <w:rPr>
                <w:rFonts w:ascii="Arial" w:cs="Arial" w:eastAsia="Arial" w:hAnsi="Arial"/>
                <w:sz w:val="20"/>
                <w:szCs w:val="20"/>
                <w:color w:val="auto"/>
              </w:rPr>
              <w:t>PART I - FINANCIAL INFORMATION</w:t>
            </w:r>
          </w:p>
        </w:tc>
        <w:tc>
          <w:tcPr>
            <w:tcW w:w="2220" w:type="dxa"/>
            <w:vAlign w:val="bottom"/>
          </w:tcPr>
          <w:p>
            <w:pPr>
              <w:jc w:val="right"/>
              <w:ind w:right="21"/>
              <w:spacing w:after="0"/>
              <w:rPr>
                <w:sz w:val="20"/>
                <w:szCs w:val="20"/>
                <w:color w:val="auto"/>
              </w:rPr>
            </w:pPr>
            <w:r>
              <w:rPr>
                <w:rFonts w:ascii="Arial" w:cs="Arial" w:eastAsia="Arial" w:hAnsi="Arial"/>
                <w:sz w:val="20"/>
                <w:szCs w:val="20"/>
                <w:color w:val="auto"/>
              </w:rPr>
              <w:t>PAGE NO.</w:t>
            </w:r>
          </w:p>
        </w:tc>
      </w:tr>
      <w:tr>
        <w:trPr>
          <w:trHeight w:val="765"/>
        </w:trPr>
        <w:tc>
          <w:tcPr>
            <w:tcW w:w="960" w:type="dxa"/>
            <w:vAlign w:val="bottom"/>
            <w:gridSpan w:val="2"/>
          </w:tcPr>
          <w:p>
            <w:pPr>
              <w:ind w:left="20"/>
              <w:spacing w:after="0"/>
              <w:rPr>
                <w:sz w:val="20"/>
                <w:szCs w:val="20"/>
                <w:color w:val="auto"/>
              </w:rPr>
            </w:pPr>
            <w:r>
              <w:rPr>
                <w:rFonts w:ascii="Arial" w:cs="Arial" w:eastAsia="Arial" w:hAnsi="Arial"/>
                <w:sz w:val="20"/>
                <w:szCs w:val="20"/>
                <w:color w:val="auto"/>
              </w:rPr>
              <w:t>Item 1.</w:t>
            </w:r>
          </w:p>
        </w:tc>
        <w:tc>
          <w:tcPr>
            <w:tcW w:w="8060" w:type="dxa"/>
            <w:vAlign w:val="bottom"/>
            <w:gridSpan w:val="14"/>
          </w:tcPr>
          <w:p>
            <w:pPr>
              <w:spacing w:after="0"/>
              <w:rPr>
                <w:sz w:val="20"/>
                <w:szCs w:val="20"/>
                <w:color w:val="auto"/>
              </w:rPr>
            </w:pPr>
            <w:r>
              <w:rPr>
                <w:rFonts w:ascii="Arial" w:cs="Arial" w:eastAsia="Arial" w:hAnsi="Arial"/>
                <w:sz w:val="20"/>
                <w:szCs w:val="20"/>
                <w:color w:val="0000FF"/>
              </w:rPr>
              <w:t>Consolidated Financial Statements (Unaudited)</w:t>
            </w:r>
          </w:p>
        </w:tc>
        <w:tc>
          <w:tcPr>
            <w:tcW w:w="22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60" w:type="dxa"/>
            <w:vAlign w:val="bottom"/>
            <w:gridSpan w:val="14"/>
          </w:tcPr>
          <w:p>
            <w:pPr>
              <w:spacing w:after="0"/>
              <w:rPr>
                <w:sz w:val="20"/>
                <w:szCs w:val="20"/>
                <w:color w:val="auto"/>
              </w:rPr>
            </w:pPr>
            <w:r>
              <w:rPr>
                <w:rFonts w:ascii="Arial" w:cs="Arial" w:eastAsia="Arial" w:hAnsi="Arial"/>
                <w:sz w:val="20"/>
                <w:szCs w:val="20"/>
                <w:color w:val="0000FF"/>
              </w:rPr>
              <w:t>Consolidated Statements of Condition</w:t>
            </w:r>
          </w:p>
        </w:tc>
        <w:tc>
          <w:tcPr>
            <w:tcW w:w="22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60" w:type="dxa"/>
            <w:vAlign w:val="bottom"/>
            <w:gridSpan w:val="14"/>
          </w:tcPr>
          <w:p>
            <w:pPr>
              <w:spacing w:after="0"/>
              <w:rPr>
                <w:sz w:val="20"/>
                <w:szCs w:val="20"/>
                <w:color w:val="auto"/>
              </w:rPr>
            </w:pPr>
            <w:r>
              <w:rPr>
                <w:rFonts w:ascii="Arial" w:cs="Arial" w:eastAsia="Arial" w:hAnsi="Arial"/>
                <w:sz w:val="20"/>
                <w:szCs w:val="20"/>
                <w:color w:val="0000FF"/>
              </w:rPr>
              <w:t>Consolidated Statements of Income</w:t>
            </w:r>
          </w:p>
        </w:tc>
        <w:tc>
          <w:tcPr>
            <w:tcW w:w="222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60" w:type="dxa"/>
            <w:vAlign w:val="bottom"/>
            <w:gridSpan w:val="14"/>
          </w:tcPr>
          <w:p>
            <w:pPr>
              <w:spacing w:after="0"/>
              <w:rPr>
                <w:sz w:val="20"/>
                <w:szCs w:val="20"/>
                <w:color w:val="auto"/>
              </w:rPr>
            </w:pPr>
            <w:r>
              <w:rPr>
                <w:rFonts w:ascii="Arial" w:cs="Arial" w:eastAsia="Arial" w:hAnsi="Arial"/>
                <w:sz w:val="20"/>
                <w:szCs w:val="20"/>
                <w:color w:val="0000FF"/>
              </w:rPr>
              <w:t>Consolidated Statements of Comprehensive Income (Loss)</w:t>
            </w:r>
          </w:p>
        </w:tc>
        <w:tc>
          <w:tcPr>
            <w:tcW w:w="22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60" w:type="dxa"/>
            <w:vAlign w:val="bottom"/>
            <w:gridSpan w:val="14"/>
          </w:tcPr>
          <w:p>
            <w:pPr>
              <w:spacing w:after="0"/>
              <w:rPr>
                <w:sz w:val="20"/>
                <w:szCs w:val="20"/>
                <w:color w:val="auto"/>
              </w:rPr>
            </w:pPr>
            <w:r>
              <w:rPr>
                <w:rFonts w:ascii="Arial" w:cs="Arial" w:eastAsia="Arial" w:hAnsi="Arial"/>
                <w:sz w:val="20"/>
                <w:szCs w:val="20"/>
                <w:color w:val="0000FF"/>
              </w:rPr>
              <w:t>Consolidated Statements of Changes in Shareholders' Equity</w:t>
            </w:r>
          </w:p>
        </w:tc>
        <w:tc>
          <w:tcPr>
            <w:tcW w:w="222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30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60" w:type="dxa"/>
            <w:vAlign w:val="bottom"/>
            <w:gridSpan w:val="14"/>
          </w:tcPr>
          <w:p>
            <w:pPr>
              <w:spacing w:after="0"/>
              <w:rPr>
                <w:sz w:val="20"/>
                <w:szCs w:val="20"/>
                <w:color w:val="auto"/>
              </w:rPr>
            </w:pPr>
            <w:r>
              <w:rPr>
                <w:rFonts w:ascii="Arial" w:cs="Arial" w:eastAsia="Arial" w:hAnsi="Arial"/>
                <w:sz w:val="20"/>
                <w:szCs w:val="20"/>
                <w:color w:val="0000FF"/>
              </w:rPr>
              <w:t>Consolidated Statements of Cash Flows</w:t>
            </w:r>
          </w:p>
        </w:tc>
        <w:tc>
          <w:tcPr>
            <w:tcW w:w="22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60" w:type="dxa"/>
            <w:vAlign w:val="bottom"/>
            <w:gridSpan w:val="14"/>
          </w:tcPr>
          <w:p>
            <w:pPr>
              <w:spacing w:after="0"/>
              <w:rPr>
                <w:sz w:val="20"/>
                <w:szCs w:val="20"/>
                <w:color w:val="auto"/>
              </w:rPr>
            </w:pPr>
            <w:r>
              <w:rPr>
                <w:rFonts w:ascii="Arial" w:cs="Arial" w:eastAsia="Arial" w:hAnsi="Arial"/>
                <w:sz w:val="20"/>
                <w:szCs w:val="20"/>
                <w:color w:val="0000FF"/>
              </w:rPr>
              <w:t>Notes to Consolidated Financial Statements</w:t>
            </w:r>
          </w:p>
        </w:tc>
        <w:tc>
          <w:tcPr>
            <w:tcW w:w="22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93"/>
        </w:trPr>
        <w:tc>
          <w:tcPr>
            <w:tcW w:w="960" w:type="dxa"/>
            <w:vAlign w:val="bottom"/>
            <w:gridSpan w:val="2"/>
          </w:tcPr>
          <w:p>
            <w:pPr>
              <w:ind w:left="20"/>
              <w:spacing w:after="0"/>
              <w:rPr>
                <w:sz w:val="20"/>
                <w:szCs w:val="20"/>
                <w:color w:val="auto"/>
              </w:rPr>
            </w:pPr>
            <w:r>
              <w:rPr>
                <w:rFonts w:ascii="Arial" w:cs="Arial" w:eastAsia="Arial" w:hAnsi="Arial"/>
                <w:sz w:val="20"/>
                <w:szCs w:val="20"/>
                <w:color w:val="auto"/>
              </w:rPr>
              <w:t>Item 2.</w:t>
            </w:r>
          </w:p>
        </w:tc>
        <w:tc>
          <w:tcPr>
            <w:tcW w:w="8060" w:type="dxa"/>
            <w:vAlign w:val="bottom"/>
            <w:gridSpan w:val="14"/>
          </w:tcPr>
          <w:p>
            <w:pPr>
              <w:spacing w:after="0"/>
              <w:rPr>
                <w:sz w:val="20"/>
                <w:szCs w:val="20"/>
                <w:color w:val="auto"/>
              </w:rPr>
            </w:pPr>
            <w:r>
              <w:rPr>
                <w:rFonts w:ascii="Arial" w:cs="Arial" w:eastAsia="Arial" w:hAnsi="Arial"/>
                <w:sz w:val="20"/>
                <w:szCs w:val="20"/>
                <w:color w:val="0000FF"/>
                <w:w w:val="89"/>
              </w:rPr>
              <w:t>Management's Discussion and Analysis of Financial Condition and Results of Operations (Unaudited)</w:t>
            </w:r>
          </w:p>
        </w:tc>
        <w:tc>
          <w:tcPr>
            <w:tcW w:w="22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330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93"/>
        </w:trPr>
        <w:tc>
          <w:tcPr>
            <w:tcW w:w="960" w:type="dxa"/>
            <w:vAlign w:val="bottom"/>
            <w:gridSpan w:val="2"/>
          </w:tcPr>
          <w:p>
            <w:pPr>
              <w:ind w:left="20"/>
              <w:spacing w:after="0"/>
              <w:rPr>
                <w:sz w:val="20"/>
                <w:szCs w:val="20"/>
                <w:color w:val="auto"/>
              </w:rPr>
            </w:pPr>
            <w:r>
              <w:rPr>
                <w:rFonts w:ascii="Arial" w:cs="Arial" w:eastAsia="Arial" w:hAnsi="Arial"/>
                <w:sz w:val="20"/>
                <w:szCs w:val="20"/>
                <w:color w:val="auto"/>
              </w:rPr>
              <w:t>Item 3.</w:t>
            </w:r>
          </w:p>
        </w:tc>
        <w:tc>
          <w:tcPr>
            <w:tcW w:w="8060" w:type="dxa"/>
            <w:vAlign w:val="bottom"/>
            <w:gridSpan w:val="14"/>
          </w:tcPr>
          <w:p>
            <w:pPr>
              <w:spacing w:after="0"/>
              <w:rPr>
                <w:sz w:val="20"/>
                <w:szCs w:val="20"/>
                <w:color w:val="auto"/>
              </w:rPr>
            </w:pPr>
            <w:r>
              <w:rPr>
                <w:rFonts w:ascii="Arial" w:cs="Arial" w:eastAsia="Arial" w:hAnsi="Arial"/>
                <w:sz w:val="20"/>
                <w:szCs w:val="20"/>
                <w:color w:val="0000FF"/>
              </w:rPr>
              <w:t>Quantitative and Qualitative Disclosures About Market Risk</w:t>
            </w:r>
          </w:p>
        </w:tc>
        <w:tc>
          <w:tcPr>
            <w:tcW w:w="222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93"/>
        </w:trPr>
        <w:tc>
          <w:tcPr>
            <w:tcW w:w="960" w:type="dxa"/>
            <w:vAlign w:val="bottom"/>
            <w:gridSpan w:val="2"/>
          </w:tcPr>
          <w:p>
            <w:pPr>
              <w:ind w:left="20"/>
              <w:spacing w:after="0"/>
              <w:rPr>
                <w:sz w:val="20"/>
                <w:szCs w:val="20"/>
                <w:color w:val="auto"/>
              </w:rPr>
            </w:pPr>
            <w:r>
              <w:rPr>
                <w:rFonts w:ascii="Arial" w:cs="Arial" w:eastAsia="Arial" w:hAnsi="Arial"/>
                <w:sz w:val="20"/>
                <w:szCs w:val="20"/>
                <w:color w:val="auto"/>
              </w:rPr>
              <w:t>Item 4.</w:t>
            </w:r>
          </w:p>
        </w:tc>
        <w:tc>
          <w:tcPr>
            <w:tcW w:w="8060" w:type="dxa"/>
            <w:vAlign w:val="bottom"/>
            <w:gridSpan w:val="14"/>
          </w:tcPr>
          <w:p>
            <w:pPr>
              <w:spacing w:after="0"/>
              <w:rPr>
                <w:sz w:val="20"/>
                <w:szCs w:val="20"/>
                <w:color w:val="auto"/>
              </w:rPr>
            </w:pPr>
            <w:r>
              <w:rPr>
                <w:rFonts w:ascii="Arial" w:cs="Arial" w:eastAsia="Arial" w:hAnsi="Arial"/>
                <w:sz w:val="20"/>
                <w:szCs w:val="20"/>
                <w:color w:val="0000FF"/>
              </w:rPr>
              <w:t>Controls and Procedures</w:t>
            </w:r>
          </w:p>
        </w:tc>
        <w:tc>
          <w:tcPr>
            <w:tcW w:w="222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538"/>
        </w:trPr>
        <w:tc>
          <w:tcPr>
            <w:tcW w:w="9020" w:type="dxa"/>
            <w:vAlign w:val="bottom"/>
            <w:gridSpan w:val="16"/>
          </w:tcPr>
          <w:p>
            <w:pPr>
              <w:ind w:left="20"/>
              <w:spacing w:after="0"/>
              <w:rPr>
                <w:sz w:val="20"/>
                <w:szCs w:val="20"/>
                <w:color w:val="auto"/>
              </w:rPr>
            </w:pPr>
            <w:r>
              <w:rPr>
                <w:rFonts w:ascii="Arial" w:cs="Arial" w:eastAsia="Arial" w:hAnsi="Arial"/>
                <w:sz w:val="20"/>
                <w:szCs w:val="20"/>
                <w:color w:val="auto"/>
              </w:rPr>
              <w:t>PART II - OTHER INFORMATION</w:t>
            </w:r>
          </w:p>
        </w:tc>
        <w:tc>
          <w:tcPr>
            <w:tcW w:w="2220" w:type="dxa"/>
            <w:vAlign w:val="bottom"/>
          </w:tcPr>
          <w:p>
            <w:pPr>
              <w:spacing w:after="0"/>
              <w:rPr>
                <w:sz w:val="24"/>
                <w:szCs w:val="24"/>
                <w:color w:val="auto"/>
              </w:rPr>
            </w:pPr>
          </w:p>
        </w:tc>
      </w:tr>
      <w:tr>
        <w:trPr>
          <w:trHeight w:val="468"/>
        </w:trPr>
        <w:tc>
          <w:tcPr>
            <w:tcW w:w="960" w:type="dxa"/>
            <w:vAlign w:val="bottom"/>
            <w:gridSpan w:val="2"/>
          </w:tcPr>
          <w:p>
            <w:pPr>
              <w:ind w:left="20"/>
              <w:spacing w:after="0"/>
              <w:rPr>
                <w:sz w:val="20"/>
                <w:szCs w:val="20"/>
                <w:color w:val="auto"/>
              </w:rPr>
            </w:pPr>
            <w:r>
              <w:rPr>
                <w:rFonts w:ascii="Arial" w:cs="Arial" w:eastAsia="Arial" w:hAnsi="Arial"/>
                <w:sz w:val="20"/>
                <w:szCs w:val="20"/>
                <w:color w:val="auto"/>
              </w:rPr>
              <w:t>Item 1.</w:t>
            </w:r>
          </w:p>
        </w:tc>
        <w:tc>
          <w:tcPr>
            <w:tcW w:w="8060" w:type="dxa"/>
            <w:vAlign w:val="bottom"/>
            <w:gridSpan w:val="14"/>
          </w:tcPr>
          <w:p>
            <w:pPr>
              <w:spacing w:after="0"/>
              <w:rPr>
                <w:sz w:val="20"/>
                <w:szCs w:val="20"/>
                <w:color w:val="auto"/>
              </w:rPr>
            </w:pPr>
            <w:r>
              <w:rPr>
                <w:rFonts w:ascii="Arial" w:cs="Arial" w:eastAsia="Arial" w:hAnsi="Arial"/>
                <w:sz w:val="20"/>
                <w:szCs w:val="20"/>
                <w:color w:val="0000FF"/>
              </w:rPr>
              <w:t>Legal Proceedings</w:t>
            </w:r>
          </w:p>
        </w:tc>
        <w:tc>
          <w:tcPr>
            <w:tcW w:w="22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6"/>
        </w:trPr>
        <w:tc>
          <w:tcPr>
            <w:tcW w:w="960" w:type="dxa"/>
            <w:vAlign w:val="bottom"/>
            <w:gridSpan w:val="2"/>
          </w:tcPr>
          <w:p>
            <w:pPr>
              <w:ind w:left="20"/>
              <w:spacing w:after="0"/>
              <w:rPr>
                <w:sz w:val="20"/>
                <w:szCs w:val="20"/>
                <w:color w:val="auto"/>
              </w:rPr>
            </w:pPr>
            <w:r>
              <w:rPr>
                <w:rFonts w:ascii="Arial" w:cs="Arial" w:eastAsia="Arial" w:hAnsi="Arial"/>
                <w:sz w:val="20"/>
                <w:szCs w:val="20"/>
                <w:color w:val="auto"/>
              </w:rPr>
              <w:t>Item 1A.</w:t>
            </w:r>
          </w:p>
        </w:tc>
        <w:tc>
          <w:tcPr>
            <w:tcW w:w="8060" w:type="dxa"/>
            <w:vAlign w:val="bottom"/>
            <w:gridSpan w:val="14"/>
          </w:tcPr>
          <w:p>
            <w:pPr>
              <w:spacing w:after="0"/>
              <w:rPr>
                <w:sz w:val="20"/>
                <w:szCs w:val="20"/>
                <w:color w:val="auto"/>
              </w:rPr>
            </w:pPr>
            <w:r>
              <w:rPr>
                <w:rFonts w:ascii="Arial" w:cs="Arial" w:eastAsia="Arial" w:hAnsi="Arial"/>
                <w:sz w:val="20"/>
                <w:szCs w:val="20"/>
                <w:color w:val="0000FF"/>
              </w:rPr>
              <w:t>Risk Factor</w:t>
            </w:r>
          </w:p>
        </w:tc>
        <w:tc>
          <w:tcPr>
            <w:tcW w:w="22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7"/>
        </w:trPr>
        <w:tc>
          <w:tcPr>
            <w:tcW w:w="960" w:type="dxa"/>
            <w:vAlign w:val="bottom"/>
            <w:gridSpan w:val="2"/>
          </w:tcPr>
          <w:p>
            <w:pPr>
              <w:ind w:left="20"/>
              <w:spacing w:after="0"/>
              <w:rPr>
                <w:sz w:val="20"/>
                <w:szCs w:val="20"/>
                <w:color w:val="auto"/>
              </w:rPr>
            </w:pPr>
            <w:r>
              <w:rPr>
                <w:rFonts w:ascii="Arial" w:cs="Arial" w:eastAsia="Arial" w:hAnsi="Arial"/>
                <w:sz w:val="20"/>
                <w:szCs w:val="20"/>
                <w:color w:val="auto"/>
              </w:rPr>
              <w:t>Item 2.</w:t>
            </w:r>
          </w:p>
        </w:tc>
        <w:tc>
          <w:tcPr>
            <w:tcW w:w="8060" w:type="dxa"/>
            <w:vAlign w:val="bottom"/>
            <w:gridSpan w:val="14"/>
          </w:tcPr>
          <w:p>
            <w:pPr>
              <w:spacing w:after="0"/>
              <w:rPr>
                <w:sz w:val="20"/>
                <w:szCs w:val="20"/>
                <w:color w:val="auto"/>
              </w:rPr>
            </w:pPr>
            <w:r>
              <w:rPr>
                <w:rFonts w:ascii="Arial" w:cs="Arial" w:eastAsia="Arial" w:hAnsi="Arial"/>
                <w:sz w:val="20"/>
                <w:szCs w:val="20"/>
                <w:color w:val="0000FF"/>
              </w:rPr>
              <w:t>Unregistered Sales of Equity Securities and Use of Proceeds</w:t>
            </w:r>
          </w:p>
        </w:tc>
        <w:tc>
          <w:tcPr>
            <w:tcW w:w="22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7"/>
        </w:trPr>
        <w:tc>
          <w:tcPr>
            <w:tcW w:w="960" w:type="dxa"/>
            <w:vAlign w:val="bottom"/>
            <w:gridSpan w:val="2"/>
          </w:tcPr>
          <w:p>
            <w:pPr>
              <w:ind w:left="20"/>
              <w:spacing w:after="0"/>
              <w:rPr>
                <w:sz w:val="20"/>
                <w:szCs w:val="20"/>
                <w:color w:val="auto"/>
              </w:rPr>
            </w:pPr>
            <w:r>
              <w:rPr>
                <w:rFonts w:ascii="Arial" w:cs="Arial" w:eastAsia="Arial" w:hAnsi="Arial"/>
                <w:sz w:val="20"/>
                <w:szCs w:val="20"/>
                <w:color w:val="auto"/>
              </w:rPr>
              <w:t>Item 3.</w:t>
            </w:r>
          </w:p>
        </w:tc>
        <w:tc>
          <w:tcPr>
            <w:tcW w:w="8060" w:type="dxa"/>
            <w:vAlign w:val="bottom"/>
            <w:gridSpan w:val="14"/>
          </w:tcPr>
          <w:p>
            <w:pPr>
              <w:spacing w:after="0"/>
              <w:rPr>
                <w:sz w:val="20"/>
                <w:szCs w:val="20"/>
                <w:color w:val="auto"/>
              </w:rPr>
            </w:pPr>
            <w:r>
              <w:rPr>
                <w:rFonts w:ascii="Arial" w:cs="Arial" w:eastAsia="Arial" w:hAnsi="Arial"/>
                <w:sz w:val="20"/>
                <w:szCs w:val="20"/>
                <w:color w:val="0000FF"/>
              </w:rPr>
              <w:t>Defaults upon Senior Securities</w:t>
            </w:r>
          </w:p>
        </w:tc>
        <w:tc>
          <w:tcPr>
            <w:tcW w:w="22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6"/>
        </w:trPr>
        <w:tc>
          <w:tcPr>
            <w:tcW w:w="960" w:type="dxa"/>
            <w:vAlign w:val="bottom"/>
            <w:gridSpan w:val="2"/>
          </w:tcPr>
          <w:p>
            <w:pPr>
              <w:ind w:left="20"/>
              <w:spacing w:after="0"/>
              <w:rPr>
                <w:sz w:val="20"/>
                <w:szCs w:val="20"/>
                <w:color w:val="auto"/>
              </w:rPr>
            </w:pPr>
            <w:r>
              <w:rPr>
                <w:rFonts w:ascii="Arial" w:cs="Arial" w:eastAsia="Arial" w:hAnsi="Arial"/>
                <w:sz w:val="20"/>
                <w:szCs w:val="20"/>
                <w:color w:val="auto"/>
              </w:rPr>
              <w:t>Item 4.</w:t>
            </w:r>
          </w:p>
        </w:tc>
        <w:tc>
          <w:tcPr>
            <w:tcW w:w="8060" w:type="dxa"/>
            <w:vAlign w:val="bottom"/>
            <w:gridSpan w:val="14"/>
          </w:tcPr>
          <w:p>
            <w:pPr>
              <w:spacing w:after="0"/>
              <w:rPr>
                <w:sz w:val="20"/>
                <w:szCs w:val="20"/>
                <w:color w:val="auto"/>
              </w:rPr>
            </w:pPr>
            <w:r>
              <w:rPr>
                <w:rFonts w:ascii="Arial" w:cs="Arial" w:eastAsia="Arial" w:hAnsi="Arial"/>
                <w:sz w:val="20"/>
                <w:szCs w:val="20"/>
                <w:color w:val="0000FF"/>
              </w:rPr>
              <w:t>Mine Safety Disclosures</w:t>
            </w:r>
          </w:p>
        </w:tc>
        <w:tc>
          <w:tcPr>
            <w:tcW w:w="22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140" w:type="dxa"/>
            <w:vAlign w:val="bottom"/>
            <w:gridSpan w:val="9"/>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7"/>
        </w:trPr>
        <w:tc>
          <w:tcPr>
            <w:tcW w:w="960" w:type="dxa"/>
            <w:vAlign w:val="bottom"/>
            <w:gridSpan w:val="2"/>
          </w:tcPr>
          <w:p>
            <w:pPr>
              <w:ind w:left="20"/>
              <w:spacing w:after="0"/>
              <w:rPr>
                <w:sz w:val="20"/>
                <w:szCs w:val="20"/>
                <w:color w:val="auto"/>
              </w:rPr>
            </w:pPr>
            <w:r>
              <w:rPr>
                <w:rFonts w:ascii="Arial" w:cs="Arial" w:eastAsia="Arial" w:hAnsi="Arial"/>
                <w:sz w:val="20"/>
                <w:szCs w:val="20"/>
                <w:color w:val="auto"/>
              </w:rPr>
              <w:t>Item 5.</w:t>
            </w:r>
          </w:p>
        </w:tc>
        <w:tc>
          <w:tcPr>
            <w:tcW w:w="8060" w:type="dxa"/>
            <w:vAlign w:val="bottom"/>
            <w:gridSpan w:val="14"/>
          </w:tcPr>
          <w:p>
            <w:pPr>
              <w:spacing w:after="0"/>
              <w:rPr>
                <w:sz w:val="20"/>
                <w:szCs w:val="20"/>
                <w:color w:val="auto"/>
              </w:rPr>
            </w:pPr>
            <w:r>
              <w:rPr>
                <w:rFonts w:ascii="Arial" w:cs="Arial" w:eastAsia="Arial" w:hAnsi="Arial"/>
                <w:sz w:val="20"/>
                <w:szCs w:val="20"/>
                <w:color w:val="0000FF"/>
              </w:rPr>
              <w:t>Other information</w:t>
            </w:r>
          </w:p>
        </w:tc>
        <w:tc>
          <w:tcPr>
            <w:tcW w:w="22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640" w:type="dxa"/>
            <w:vAlign w:val="bottom"/>
            <w:gridSpan w:val="1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7"/>
        </w:trPr>
        <w:tc>
          <w:tcPr>
            <w:tcW w:w="960" w:type="dxa"/>
            <w:vAlign w:val="bottom"/>
            <w:gridSpan w:val="2"/>
          </w:tcPr>
          <w:p>
            <w:pPr>
              <w:ind w:left="20"/>
              <w:spacing w:after="0"/>
              <w:rPr>
                <w:sz w:val="20"/>
                <w:szCs w:val="20"/>
                <w:color w:val="auto"/>
              </w:rPr>
            </w:pPr>
            <w:r>
              <w:rPr>
                <w:rFonts w:ascii="Arial" w:cs="Arial" w:eastAsia="Arial" w:hAnsi="Arial"/>
                <w:sz w:val="20"/>
                <w:szCs w:val="20"/>
                <w:color w:val="auto"/>
              </w:rPr>
              <w:t>Item 6.</w:t>
            </w:r>
          </w:p>
        </w:tc>
        <w:tc>
          <w:tcPr>
            <w:tcW w:w="8060" w:type="dxa"/>
            <w:vAlign w:val="bottom"/>
            <w:gridSpan w:val="14"/>
          </w:tcPr>
          <w:p>
            <w:pPr>
              <w:spacing w:after="0"/>
              <w:rPr>
                <w:sz w:val="20"/>
                <w:szCs w:val="20"/>
                <w:color w:val="auto"/>
              </w:rPr>
            </w:pPr>
            <w:r>
              <w:rPr>
                <w:rFonts w:ascii="Arial" w:cs="Arial" w:eastAsia="Arial" w:hAnsi="Arial"/>
                <w:sz w:val="20"/>
                <w:szCs w:val="20"/>
                <w:color w:val="0000FF"/>
              </w:rPr>
              <w:t>Exhibits</w:t>
            </w:r>
          </w:p>
        </w:tc>
        <w:tc>
          <w:tcPr>
            <w:tcW w:w="22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0"/>
        </w:trPr>
        <w:tc>
          <w:tcPr>
            <w:tcW w:w="2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20" w:type="dxa"/>
            <w:vAlign w:val="bottom"/>
            <w:gridSpan w:val="1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93"/>
        </w:trPr>
        <w:tc>
          <w:tcPr>
            <w:tcW w:w="9020" w:type="dxa"/>
            <w:vAlign w:val="bottom"/>
            <w:gridSpan w:val="16"/>
          </w:tcPr>
          <w:p>
            <w:pPr>
              <w:ind w:left="20"/>
              <w:spacing w:after="0"/>
              <w:rPr>
                <w:sz w:val="20"/>
                <w:szCs w:val="20"/>
                <w:color w:val="auto"/>
              </w:rPr>
            </w:pPr>
            <w:r>
              <w:rPr>
                <w:rFonts w:ascii="Arial" w:cs="Arial" w:eastAsia="Arial" w:hAnsi="Arial"/>
                <w:sz w:val="20"/>
                <w:szCs w:val="20"/>
                <w:color w:val="0000FF"/>
              </w:rPr>
              <w:t>SIGNATURES</w:t>
            </w:r>
          </w:p>
        </w:tc>
        <w:tc>
          <w:tcPr>
            <w:tcW w:w="222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608"/>
        </w:trPr>
        <w:tc>
          <w:tcPr>
            <w:tcW w:w="20" w:type="dxa"/>
            <w:vAlign w:val="bottom"/>
            <w:tcBorders>
              <w:bottom w:val="single" w:sz="8" w:color="9A9A9A"/>
            </w:tcBorders>
          </w:tcPr>
          <w:p>
            <w:pPr>
              <w:spacing w:after="0"/>
              <w:rPr>
                <w:sz w:val="24"/>
                <w:szCs w:val="24"/>
                <w:color w:val="auto"/>
              </w:rPr>
            </w:pPr>
          </w:p>
        </w:tc>
        <w:tc>
          <w:tcPr>
            <w:tcW w:w="9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226" w:lineRule="auto"/>
        <w:rPr>
          <w:sz w:val="20"/>
          <w:szCs w:val="20"/>
          <w:color w:val="auto"/>
        </w:rPr>
      </w:pPr>
      <w:r>
        <w:rPr>
          <w:rFonts w:ascii="Arial" w:cs="Arial" w:eastAsia="Arial" w:hAnsi="Arial"/>
          <w:sz w:val="14"/>
          <w:szCs w:val="14"/>
          <w:b w:val="1"/>
          <w:bCs w:val="1"/>
          <w:color w:val="auto"/>
        </w:rPr>
        <w:t>Item 1 –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Pathfinder Bancorp, Inc.</w:t>
      </w:r>
    </w:p>
    <w:p>
      <w:pPr>
        <w:jc w:val="center"/>
        <w:spacing w:after="0" w:line="222" w:lineRule="auto"/>
        <w:rPr>
          <w:sz w:val="20"/>
          <w:szCs w:val="20"/>
          <w:color w:val="auto"/>
        </w:rPr>
      </w:pPr>
      <w:r>
        <w:rPr>
          <w:rFonts w:ascii="Arial" w:cs="Arial" w:eastAsia="Arial" w:hAnsi="Arial"/>
          <w:sz w:val="14"/>
          <w:szCs w:val="14"/>
          <w:b w:val="1"/>
          <w:bCs w:val="1"/>
          <w:color w:val="auto"/>
        </w:rPr>
        <w:t>Consolidated Statements of Condition</w:t>
      </w: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6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March 31,</w:t>
            </w:r>
          </w:p>
        </w:tc>
        <w:tc>
          <w:tcPr>
            <w:tcW w:w="3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December 31,</w:t>
            </w:r>
          </w:p>
        </w:tc>
      </w:tr>
      <w:tr>
        <w:trPr>
          <w:trHeight w:val="181"/>
        </w:trPr>
        <w:tc>
          <w:tcPr>
            <w:tcW w:w="7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2022</w:t>
            </w:r>
          </w:p>
        </w:tc>
      </w:tr>
      <w:tr>
        <w:trPr>
          <w:trHeight w:val="142"/>
        </w:trPr>
        <w:tc>
          <w:tcPr>
            <w:tcW w:w="7000" w:type="dxa"/>
            <w:vAlign w:val="bottom"/>
            <w:tcBorders>
              <w:left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16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27"/>
        </w:trPr>
        <w:tc>
          <w:tcPr>
            <w:tcW w:w="600" w:type="dxa"/>
            <w:vAlign w:val="bottom"/>
            <w:tcBorders>
              <w:left w:val="single" w:sz="8" w:color="CFF0FC"/>
            </w:tcBorders>
            <w:shd w:val="clear" w:color="auto" w:fill="000000"/>
          </w:tcPr>
          <w:p>
            <w:pPr>
              <w:spacing w:after="0"/>
              <w:rPr>
                <w:sz w:val="2"/>
                <w:szCs w:val="2"/>
                <w:color w:val="auto"/>
              </w:rPr>
            </w:pPr>
          </w:p>
        </w:tc>
        <w:tc>
          <w:tcPr>
            <w:tcW w:w="2560" w:type="dxa"/>
            <w:vAlign w:val="bottom"/>
            <w:shd w:val="clear" w:color="auto" w:fill="CFF0FC"/>
          </w:tcPr>
          <w:p>
            <w:pPr>
              <w:spacing w:after="0"/>
              <w:rPr>
                <w:sz w:val="2"/>
                <w:szCs w:val="2"/>
                <w:color w:val="auto"/>
              </w:rPr>
            </w:pPr>
          </w:p>
        </w:tc>
        <w:tc>
          <w:tcPr>
            <w:tcW w:w="3840" w:type="dxa"/>
            <w:vAlign w:val="bottom"/>
            <w:shd w:val="clear" w:color="auto" w:fill="CFF0FC"/>
          </w:tcPr>
          <w:p>
            <w:pPr>
              <w:spacing w:after="0"/>
              <w:rPr>
                <w:sz w:val="2"/>
                <w:szCs w:val="2"/>
                <w:color w:val="auto"/>
              </w:rPr>
            </w:pPr>
          </w:p>
        </w:tc>
        <w:tc>
          <w:tcPr>
            <w:tcW w:w="16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r>
        <w:trPr>
          <w:trHeight w:val="176"/>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Cash and due from banks</w:t>
            </w: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15,178</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13,939</w:t>
            </w:r>
          </w:p>
        </w:tc>
      </w:tr>
      <w:tr>
        <w:trPr>
          <w:trHeight w:val="175"/>
        </w:trPr>
        <w:tc>
          <w:tcPr>
            <w:tcW w:w="7000" w:type="dxa"/>
            <w:vAlign w:val="bottom"/>
            <w:tcBorders>
              <w:left w:val="single" w:sz="8" w:color="CFF0FC"/>
              <w:bottom w:val="single" w:sz="8" w:color="auto"/>
            </w:tcBorders>
            <w:gridSpan w:val="3"/>
            <w:shd w:val="clear" w:color="auto" w:fill="CFF0FC"/>
          </w:tcPr>
          <w:p>
            <w:pPr>
              <w:ind w:left="120"/>
              <w:spacing w:after="0"/>
              <w:rPr>
                <w:sz w:val="20"/>
                <w:szCs w:val="20"/>
                <w:color w:val="auto"/>
              </w:rPr>
            </w:pPr>
            <w:r>
              <w:rPr>
                <w:rFonts w:ascii="Arial" w:cs="Arial" w:eastAsia="Arial" w:hAnsi="Arial"/>
                <w:sz w:val="14"/>
                <w:szCs w:val="14"/>
                <w:color w:val="auto"/>
              </w:rPr>
              <w:t>Interest-earning deposits</w:t>
            </w:r>
          </w:p>
        </w:tc>
        <w:tc>
          <w:tcPr>
            <w:tcW w:w="16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17,143</w:t>
            </w:r>
          </w:p>
        </w:tc>
        <w:tc>
          <w:tcPr>
            <w:tcW w:w="3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21,343</w:t>
            </w:r>
          </w:p>
        </w:tc>
      </w:tr>
      <w:tr>
        <w:trPr>
          <w:trHeight w:val="169"/>
        </w:trPr>
        <w:tc>
          <w:tcPr>
            <w:tcW w:w="70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Total cash and cash equivalents</w:t>
            </w:r>
          </w:p>
        </w:tc>
        <w:tc>
          <w:tcPr>
            <w:tcW w:w="1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32,321</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35,282</w:t>
            </w:r>
          </w:p>
        </w:tc>
      </w:tr>
      <w:tr>
        <w:trPr>
          <w:trHeight w:val="169"/>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Available-for-sale securities, at fair value</w:t>
            </w:r>
          </w:p>
        </w:tc>
        <w:tc>
          <w:tcPr>
            <w:tcW w:w="164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186,985</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191,726</w:t>
            </w:r>
          </w:p>
        </w:tc>
      </w:tr>
      <w:tr>
        <w:trPr>
          <w:trHeight w:val="175"/>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Held-to-maturity securities, at amortized cost (fair value of $189,622 and $181,491, respectively)</w:t>
            </w:r>
          </w:p>
        </w:tc>
        <w:tc>
          <w:tcPr>
            <w:tcW w:w="16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201,216</w:t>
            </w:r>
          </w:p>
        </w:tc>
        <w:tc>
          <w:tcPr>
            <w:tcW w:w="3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194,402</w:t>
            </w:r>
          </w:p>
        </w:tc>
      </w:tr>
      <w:tr>
        <w:trPr>
          <w:trHeight w:val="176"/>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Marketable equity securities, at fair value</w:t>
            </w:r>
          </w:p>
        </w:tc>
        <w:tc>
          <w:tcPr>
            <w:tcW w:w="1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2,126</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1,862</w:t>
            </w:r>
          </w:p>
        </w:tc>
      </w:tr>
      <w:tr>
        <w:trPr>
          <w:trHeight w:val="176"/>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Federal Home Loan Bank stock, at cost</w:t>
            </w:r>
          </w:p>
        </w:tc>
        <w:tc>
          <w:tcPr>
            <w:tcW w:w="16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5,226</w:t>
            </w:r>
          </w:p>
        </w:tc>
        <w:tc>
          <w:tcPr>
            <w:tcW w:w="3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5,982</w:t>
            </w:r>
          </w:p>
        </w:tc>
      </w:tr>
      <w:tr>
        <w:trPr>
          <w:trHeight w:val="175"/>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Loans</w:t>
            </w:r>
          </w:p>
        </w:tc>
        <w:tc>
          <w:tcPr>
            <w:tcW w:w="1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910,154</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897,735</w:t>
            </w:r>
          </w:p>
        </w:tc>
      </w:tr>
      <w:tr>
        <w:trPr>
          <w:trHeight w:val="176"/>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Loans held-for-sale</w:t>
            </w:r>
          </w:p>
        </w:tc>
        <w:tc>
          <w:tcPr>
            <w:tcW w:w="16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19</w:t>
            </w:r>
          </w:p>
        </w:tc>
      </w:tr>
      <w:tr>
        <w:trPr>
          <w:trHeight w:val="175"/>
        </w:trPr>
        <w:tc>
          <w:tcPr>
            <w:tcW w:w="7000" w:type="dxa"/>
            <w:vAlign w:val="bottom"/>
            <w:tcBorders>
              <w:left w:val="single" w:sz="8" w:color="CFF0FC"/>
              <w:bottom w:val="single" w:sz="8" w:color="auto"/>
            </w:tcBorders>
            <w:gridSpan w:val="3"/>
            <w:shd w:val="clear" w:color="auto" w:fill="CFF0FC"/>
          </w:tcPr>
          <w:p>
            <w:pPr>
              <w:ind w:left="120"/>
              <w:spacing w:after="0"/>
              <w:rPr>
                <w:sz w:val="20"/>
                <w:szCs w:val="20"/>
                <w:color w:val="auto"/>
              </w:rPr>
            </w:pPr>
            <w:r>
              <w:rPr>
                <w:rFonts w:ascii="Arial" w:cs="Arial" w:eastAsia="Arial" w:hAnsi="Arial"/>
                <w:sz w:val="14"/>
                <w:szCs w:val="14"/>
                <w:color w:val="auto"/>
              </w:rPr>
              <w:t>Less: Allowance for credit losses</w:t>
            </w:r>
          </w:p>
        </w:tc>
        <w:tc>
          <w:tcPr>
            <w:tcW w:w="16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17,869</w:t>
            </w:r>
          </w:p>
        </w:tc>
        <w:tc>
          <w:tcPr>
            <w:tcW w:w="3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15,319</w:t>
            </w:r>
          </w:p>
        </w:tc>
      </w:tr>
      <w:tr>
        <w:trPr>
          <w:trHeight w:val="169"/>
        </w:trPr>
        <w:tc>
          <w:tcPr>
            <w:tcW w:w="70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Loans receivable, net</w:t>
            </w:r>
          </w:p>
        </w:tc>
        <w:tc>
          <w:tcPr>
            <w:tcW w:w="1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892,285</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882,435</w:t>
            </w:r>
          </w:p>
        </w:tc>
      </w:tr>
      <w:tr>
        <w:trPr>
          <w:trHeight w:val="169"/>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Premises and equipment, net</w:t>
            </w:r>
          </w:p>
        </w:tc>
        <w:tc>
          <w:tcPr>
            <w:tcW w:w="164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17,685</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17,872</w:t>
            </w:r>
          </w:p>
        </w:tc>
      </w:tr>
      <w:tr>
        <w:trPr>
          <w:trHeight w:val="176"/>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Assets held-for-sale</w:t>
            </w:r>
          </w:p>
        </w:tc>
        <w:tc>
          <w:tcPr>
            <w:tcW w:w="16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3,042</w:t>
            </w:r>
          </w:p>
        </w:tc>
        <w:tc>
          <w:tcPr>
            <w:tcW w:w="3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3,042</w:t>
            </w:r>
          </w:p>
        </w:tc>
      </w:tr>
      <w:tr>
        <w:trPr>
          <w:trHeight w:val="175"/>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Operating lease right-of-use assets</w:t>
            </w:r>
          </w:p>
        </w:tc>
        <w:tc>
          <w:tcPr>
            <w:tcW w:w="1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2,062</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2,098</w:t>
            </w:r>
          </w:p>
        </w:tc>
      </w:tr>
      <w:tr>
        <w:trPr>
          <w:trHeight w:val="176"/>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Finance lease right-of-use assets</w:t>
            </w:r>
          </w:p>
        </w:tc>
        <w:tc>
          <w:tcPr>
            <w:tcW w:w="16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4,178</w:t>
            </w:r>
          </w:p>
        </w:tc>
        <w:tc>
          <w:tcPr>
            <w:tcW w:w="3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4,213</w:t>
            </w:r>
          </w:p>
        </w:tc>
      </w:tr>
      <w:tr>
        <w:trPr>
          <w:trHeight w:val="175"/>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Accrued interest receivable</w:t>
            </w:r>
          </w:p>
        </w:tc>
        <w:tc>
          <w:tcPr>
            <w:tcW w:w="1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5,625</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6,168</w:t>
            </w:r>
          </w:p>
        </w:tc>
      </w:tr>
      <w:tr>
        <w:trPr>
          <w:trHeight w:val="176"/>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Foreclosed real estate</w:t>
            </w:r>
          </w:p>
        </w:tc>
        <w:tc>
          <w:tcPr>
            <w:tcW w:w="16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221</w:t>
            </w:r>
          </w:p>
        </w:tc>
        <w:tc>
          <w:tcPr>
            <w:tcW w:w="3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221</w:t>
            </w:r>
          </w:p>
        </w:tc>
      </w:tr>
      <w:tr>
        <w:trPr>
          <w:trHeight w:val="176"/>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Intangible assets, net</w:t>
            </w:r>
          </w:p>
        </w:tc>
        <w:tc>
          <w:tcPr>
            <w:tcW w:w="1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96</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101</w:t>
            </w:r>
          </w:p>
        </w:tc>
      </w:tr>
      <w:tr>
        <w:trPr>
          <w:trHeight w:val="175"/>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Goodwill</w:t>
            </w:r>
          </w:p>
        </w:tc>
        <w:tc>
          <w:tcPr>
            <w:tcW w:w="16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4,536</w:t>
            </w:r>
          </w:p>
        </w:tc>
        <w:tc>
          <w:tcPr>
            <w:tcW w:w="3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4,536</w:t>
            </w:r>
          </w:p>
        </w:tc>
      </w:tr>
      <w:tr>
        <w:trPr>
          <w:trHeight w:val="176"/>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Bank owned life insurance</w:t>
            </w:r>
          </w:p>
        </w:tc>
        <w:tc>
          <w:tcPr>
            <w:tcW w:w="1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24,170</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24,012</w:t>
            </w:r>
          </w:p>
        </w:tc>
      </w:tr>
      <w:tr>
        <w:trPr>
          <w:trHeight w:val="175"/>
        </w:trPr>
        <w:tc>
          <w:tcPr>
            <w:tcW w:w="70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Other assets</w:t>
            </w:r>
          </w:p>
        </w:tc>
        <w:tc>
          <w:tcPr>
            <w:tcW w:w="1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22,495</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25,969</w:t>
            </w:r>
          </w:p>
        </w:tc>
      </w:tr>
      <w:tr>
        <w:trPr>
          <w:trHeight w:val="209"/>
        </w:trPr>
        <w:tc>
          <w:tcPr>
            <w:tcW w:w="7000" w:type="dxa"/>
            <w:vAlign w:val="bottom"/>
            <w:tcBorders>
              <w:left w:val="single" w:sz="8" w:color="CFF0FC"/>
              <w:bottom w:val="single" w:sz="8" w:color="auto"/>
            </w:tcBorders>
            <w:gridSpan w:val="3"/>
            <w:shd w:val="clear" w:color="auto" w:fill="CFF0FC"/>
          </w:tcPr>
          <w:p>
            <w:pPr>
              <w:ind w:left="300"/>
              <w:spacing w:after="0"/>
              <w:rPr>
                <w:sz w:val="20"/>
                <w:szCs w:val="20"/>
                <w:color w:val="auto"/>
              </w:rPr>
            </w:pPr>
            <w:r>
              <w:rPr>
                <w:rFonts w:ascii="Arial" w:cs="Arial" w:eastAsia="Arial" w:hAnsi="Arial"/>
                <w:sz w:val="14"/>
                <w:szCs w:val="14"/>
                <w:color w:val="auto"/>
              </w:rPr>
              <w:t>Total assets</w:t>
            </w:r>
          </w:p>
        </w:tc>
        <w:tc>
          <w:tcPr>
            <w:tcW w:w="164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1,404,269</w:t>
            </w:r>
          </w:p>
        </w:tc>
        <w:tc>
          <w:tcPr>
            <w:tcW w:w="3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1,399,921</w:t>
            </w:r>
          </w:p>
        </w:tc>
      </w:tr>
      <w:tr>
        <w:trPr>
          <w:trHeight w:val="156"/>
        </w:trPr>
        <w:tc>
          <w:tcPr>
            <w:tcW w:w="6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6"/>
        </w:trPr>
        <w:tc>
          <w:tcPr>
            <w:tcW w:w="7000" w:type="dxa"/>
            <w:vAlign w:val="bottom"/>
            <w:tcBorders>
              <w:left w:val="single" w:sz="8" w:color="CFF0FC"/>
            </w:tcBorders>
            <w:gridSpan w:val="3"/>
            <w:shd w:val="clear" w:color="auto" w:fill="CFF0FC"/>
          </w:tcPr>
          <w:p>
            <w:pPr>
              <w:ind w:left="2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6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76"/>
        </w:trPr>
        <w:tc>
          <w:tcPr>
            <w:tcW w:w="31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Deposits:</w:t>
            </w:r>
          </w:p>
        </w:tc>
        <w:tc>
          <w:tcPr>
            <w:tcW w:w="3840" w:type="dxa"/>
            <w:vAlign w:val="bottom"/>
            <w:tcBorders>
              <w:top w:val="single" w:sz="8" w:color="CFF0FC"/>
            </w:tcBorders>
          </w:tcPr>
          <w:p>
            <w:pPr>
              <w:spacing w:after="0"/>
              <w:rPr>
                <w:sz w:val="15"/>
                <w:szCs w:val="15"/>
                <w:color w:val="auto"/>
              </w:rPr>
            </w:pPr>
          </w:p>
        </w:tc>
        <w:tc>
          <w:tcPr>
            <w:tcW w:w="164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1140" w:type="dxa"/>
            <w:vAlign w:val="bottom"/>
            <w:tcBorders>
              <w:top w:val="single" w:sz="8" w:color="CFF0FC"/>
            </w:tcBorders>
          </w:tcPr>
          <w:p>
            <w:pPr>
              <w:spacing w:after="0"/>
              <w:rPr>
                <w:sz w:val="15"/>
                <w:szCs w:val="15"/>
                <w:color w:val="auto"/>
              </w:rPr>
            </w:pPr>
          </w:p>
        </w:tc>
      </w:tr>
      <w:tr>
        <w:trPr>
          <w:trHeight w:val="175"/>
        </w:trPr>
        <w:tc>
          <w:tcPr>
            <w:tcW w:w="7000" w:type="dxa"/>
            <w:vAlign w:val="bottom"/>
            <w:tcBorders>
              <w:left w:val="single" w:sz="8" w:color="CFF0FC"/>
            </w:tcBorders>
            <w:gridSpan w:val="3"/>
            <w:shd w:val="clear" w:color="auto" w:fill="CFF0FC"/>
          </w:tcPr>
          <w:p>
            <w:pPr>
              <w:ind w:left="200"/>
              <w:spacing w:after="0"/>
              <w:rPr>
                <w:sz w:val="20"/>
                <w:szCs w:val="20"/>
                <w:color w:val="auto"/>
              </w:rPr>
            </w:pPr>
            <w:r>
              <w:rPr>
                <w:rFonts w:ascii="Arial" w:cs="Arial" w:eastAsia="Arial" w:hAnsi="Arial"/>
                <w:sz w:val="14"/>
                <w:szCs w:val="14"/>
                <w:color w:val="auto"/>
              </w:rPr>
              <w:t>Interest-bearing</w:t>
            </w:r>
          </w:p>
        </w:tc>
        <w:tc>
          <w:tcPr>
            <w:tcW w:w="164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962,621</w:t>
            </w:r>
          </w:p>
        </w:tc>
        <w:tc>
          <w:tcPr>
            <w:tcW w:w="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941,719</w:t>
            </w:r>
          </w:p>
        </w:tc>
      </w:tr>
      <w:tr>
        <w:trPr>
          <w:trHeight w:val="176"/>
        </w:trPr>
        <w:tc>
          <w:tcPr>
            <w:tcW w:w="70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Noninterest-bearing</w:t>
            </w:r>
          </w:p>
        </w:tc>
        <w:tc>
          <w:tcPr>
            <w:tcW w:w="1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181,641</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183,711</w:t>
            </w:r>
          </w:p>
        </w:tc>
      </w:tr>
      <w:tr>
        <w:trPr>
          <w:trHeight w:val="169"/>
        </w:trPr>
        <w:tc>
          <w:tcPr>
            <w:tcW w:w="7000" w:type="dxa"/>
            <w:vAlign w:val="bottom"/>
            <w:tcBorders>
              <w:left w:val="single" w:sz="8" w:color="CFF0FC"/>
              <w:bottom w:val="single" w:sz="8" w:color="auto"/>
            </w:tcBorders>
            <w:gridSpan w:val="3"/>
            <w:shd w:val="clear" w:color="auto" w:fill="CFF0FC"/>
          </w:tcPr>
          <w:p>
            <w:pPr>
              <w:ind w:left="300"/>
              <w:spacing w:after="0"/>
              <w:rPr>
                <w:sz w:val="20"/>
                <w:szCs w:val="20"/>
                <w:color w:val="auto"/>
              </w:rPr>
            </w:pPr>
            <w:r>
              <w:rPr>
                <w:rFonts w:ascii="Arial" w:cs="Arial" w:eastAsia="Arial" w:hAnsi="Arial"/>
                <w:sz w:val="14"/>
                <w:szCs w:val="14"/>
                <w:color w:val="auto"/>
              </w:rPr>
              <w:t>Total deposits</w:t>
            </w:r>
          </w:p>
        </w:tc>
        <w:tc>
          <w:tcPr>
            <w:tcW w:w="16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1,144,262</w:t>
            </w:r>
          </w:p>
        </w:tc>
        <w:tc>
          <w:tcPr>
            <w:tcW w:w="3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1,125,430</w:t>
            </w:r>
          </w:p>
        </w:tc>
      </w:tr>
      <w:tr>
        <w:trPr>
          <w:trHeight w:val="169"/>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Short-term borrowings</w:t>
            </w:r>
          </w:p>
        </w:tc>
        <w:tc>
          <w:tcPr>
            <w:tcW w:w="16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43,536</w:t>
            </w:r>
          </w:p>
        </w:tc>
        <w:tc>
          <w:tcPr>
            <w:tcW w:w="38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60,333</w:t>
            </w:r>
          </w:p>
        </w:tc>
      </w:tr>
      <w:tr>
        <w:trPr>
          <w:trHeight w:val="175"/>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Long-term borrowings</w:t>
            </w:r>
          </w:p>
        </w:tc>
        <w:tc>
          <w:tcPr>
            <w:tcW w:w="1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55,669</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55,664</w:t>
            </w:r>
          </w:p>
        </w:tc>
      </w:tr>
      <w:tr>
        <w:trPr>
          <w:trHeight w:val="175"/>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Subordinated debt</w:t>
            </w:r>
          </w:p>
        </w:tc>
        <w:tc>
          <w:tcPr>
            <w:tcW w:w="16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29,777</w:t>
            </w:r>
          </w:p>
        </w:tc>
        <w:tc>
          <w:tcPr>
            <w:tcW w:w="3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29,733</w:t>
            </w:r>
          </w:p>
        </w:tc>
      </w:tr>
      <w:tr>
        <w:trPr>
          <w:trHeight w:val="175"/>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Accrued interest payable</w:t>
            </w:r>
          </w:p>
        </w:tc>
        <w:tc>
          <w:tcPr>
            <w:tcW w:w="1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1,520</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975</w:t>
            </w:r>
          </w:p>
        </w:tc>
      </w:tr>
      <w:tr>
        <w:trPr>
          <w:trHeight w:val="175"/>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Operating lease liabilities</w:t>
            </w:r>
          </w:p>
        </w:tc>
        <w:tc>
          <w:tcPr>
            <w:tcW w:w="16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2,385</w:t>
            </w:r>
          </w:p>
        </w:tc>
        <w:tc>
          <w:tcPr>
            <w:tcW w:w="3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2,417</w:t>
            </w:r>
          </w:p>
        </w:tc>
      </w:tr>
      <w:tr>
        <w:trPr>
          <w:trHeight w:val="176"/>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Finance lease liabilities</w:t>
            </w:r>
          </w:p>
        </w:tc>
        <w:tc>
          <w:tcPr>
            <w:tcW w:w="1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4,411</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4,422</w:t>
            </w:r>
          </w:p>
        </w:tc>
      </w:tr>
      <w:tr>
        <w:trPr>
          <w:trHeight w:val="175"/>
        </w:trPr>
        <w:tc>
          <w:tcPr>
            <w:tcW w:w="70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Other liabilities</w:t>
            </w:r>
          </w:p>
        </w:tc>
        <w:tc>
          <w:tcPr>
            <w:tcW w:w="1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10,348</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9,365</w:t>
            </w:r>
          </w:p>
        </w:tc>
      </w:tr>
      <w:tr>
        <w:trPr>
          <w:trHeight w:val="169"/>
        </w:trPr>
        <w:tc>
          <w:tcPr>
            <w:tcW w:w="7000" w:type="dxa"/>
            <w:vAlign w:val="bottom"/>
            <w:tcBorders>
              <w:left w:val="single" w:sz="8" w:color="CFF0FC"/>
              <w:bottom w:val="single" w:sz="8" w:color="auto"/>
            </w:tcBorders>
            <w:gridSpan w:val="3"/>
            <w:shd w:val="clear" w:color="auto" w:fill="CFF0FC"/>
          </w:tcPr>
          <w:p>
            <w:pPr>
              <w:ind w:left="300"/>
              <w:spacing w:after="0"/>
              <w:rPr>
                <w:sz w:val="20"/>
                <w:szCs w:val="20"/>
                <w:color w:val="auto"/>
              </w:rPr>
            </w:pPr>
            <w:r>
              <w:rPr>
                <w:rFonts w:ascii="Arial" w:cs="Arial" w:eastAsia="Arial" w:hAnsi="Arial"/>
                <w:sz w:val="14"/>
                <w:szCs w:val="14"/>
                <w:color w:val="auto"/>
              </w:rPr>
              <w:t>Total liabilities</w:t>
            </w:r>
          </w:p>
        </w:tc>
        <w:tc>
          <w:tcPr>
            <w:tcW w:w="16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1,291,908</w:t>
            </w:r>
          </w:p>
        </w:tc>
        <w:tc>
          <w:tcPr>
            <w:tcW w:w="3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1,288,339</w:t>
            </w:r>
          </w:p>
        </w:tc>
      </w:tr>
      <w:tr>
        <w:trPr>
          <w:trHeight w:val="169"/>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Shareholders' equity:</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3"/>
        </w:trPr>
        <w:tc>
          <w:tcPr>
            <w:tcW w:w="7000" w:type="dxa"/>
            <w:vAlign w:val="bottom"/>
            <w:tcBorders>
              <w:left w:val="single" w:sz="8" w:color="CFF0FC"/>
            </w:tcBorders>
            <w:gridSpan w:val="3"/>
            <w:shd w:val="clear" w:color="auto" w:fill="CFF0FC"/>
          </w:tcPr>
          <w:p>
            <w:pPr>
              <w:ind w:left="120"/>
              <w:spacing w:after="0" w:line="143" w:lineRule="exact"/>
              <w:rPr>
                <w:sz w:val="20"/>
                <w:szCs w:val="20"/>
                <w:color w:val="auto"/>
              </w:rPr>
            </w:pPr>
            <w:r>
              <w:rPr>
                <w:rFonts w:ascii="Arial" w:cs="Arial" w:eastAsia="Arial" w:hAnsi="Arial"/>
                <w:sz w:val="14"/>
                <w:szCs w:val="14"/>
                <w:color w:val="auto"/>
              </w:rPr>
              <w:t>Voting common stock, par value $0.01; 25,000,000 authorized shares; 4,651,829 shares</w:t>
            </w:r>
          </w:p>
        </w:tc>
        <w:tc>
          <w:tcPr>
            <w:tcW w:w="16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81"/>
        </w:trPr>
        <w:tc>
          <w:tcPr>
            <w:tcW w:w="7000" w:type="dxa"/>
            <w:vAlign w:val="bottom"/>
            <w:tcBorders>
              <w:left w:val="single" w:sz="8" w:color="CFF0FC"/>
            </w:tcBorders>
            <w:gridSpan w:val="3"/>
            <w:shd w:val="clear" w:color="auto" w:fill="CFF0FC"/>
          </w:tcPr>
          <w:p>
            <w:pPr>
              <w:ind w:left="220"/>
              <w:spacing w:after="0"/>
              <w:rPr>
                <w:sz w:val="20"/>
                <w:szCs w:val="20"/>
                <w:color w:val="auto"/>
              </w:rPr>
            </w:pPr>
            <w:r>
              <w:rPr>
                <w:rFonts w:ascii="Arial" w:cs="Arial" w:eastAsia="Arial" w:hAnsi="Arial"/>
                <w:sz w:val="14"/>
                <w:szCs w:val="14"/>
                <w:color w:val="auto"/>
              </w:rPr>
              <w:t>issued and outstanding, respectively</w:t>
            </w:r>
          </w:p>
        </w:tc>
        <w:tc>
          <w:tcPr>
            <w:tcW w:w="1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47</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47</w:t>
            </w:r>
          </w:p>
        </w:tc>
      </w:tr>
      <w:tr>
        <w:trPr>
          <w:trHeight w:val="143"/>
        </w:trPr>
        <w:tc>
          <w:tcPr>
            <w:tcW w:w="7000" w:type="dxa"/>
            <w:vAlign w:val="bottom"/>
            <w:gridSpan w:val="3"/>
          </w:tcPr>
          <w:p>
            <w:pPr>
              <w:ind w:left="120"/>
              <w:spacing w:after="0" w:line="143" w:lineRule="exact"/>
              <w:rPr>
                <w:sz w:val="20"/>
                <w:szCs w:val="20"/>
                <w:color w:val="auto"/>
              </w:rPr>
            </w:pPr>
            <w:r>
              <w:rPr>
                <w:rFonts w:ascii="Arial" w:cs="Arial" w:eastAsia="Arial" w:hAnsi="Arial"/>
                <w:sz w:val="14"/>
                <w:szCs w:val="14"/>
                <w:color w:val="auto"/>
              </w:rPr>
              <w:t>Non-Voting common stock, par value $0.01; 1,505,283 authorized shares; 1,380,283 shares</w:t>
            </w: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81"/>
        </w:trPr>
        <w:tc>
          <w:tcPr>
            <w:tcW w:w="7000" w:type="dxa"/>
            <w:vAlign w:val="bottom"/>
            <w:gridSpan w:val="3"/>
          </w:tcPr>
          <w:p>
            <w:pPr>
              <w:ind w:left="220"/>
              <w:spacing w:after="0"/>
              <w:rPr>
                <w:sz w:val="20"/>
                <w:szCs w:val="20"/>
                <w:color w:val="auto"/>
              </w:rPr>
            </w:pPr>
            <w:r>
              <w:rPr>
                <w:rFonts w:ascii="Arial" w:cs="Arial" w:eastAsia="Arial" w:hAnsi="Arial"/>
                <w:sz w:val="14"/>
                <w:szCs w:val="14"/>
                <w:color w:val="auto"/>
              </w:rPr>
              <w:t>issued and outstanding, respectively</w:t>
            </w:r>
          </w:p>
        </w:tc>
        <w:tc>
          <w:tcPr>
            <w:tcW w:w="16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3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14</w:t>
            </w:r>
          </w:p>
        </w:tc>
      </w:tr>
      <w:tr>
        <w:trPr>
          <w:trHeight w:val="175"/>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Additional paid in capital</w:t>
            </w:r>
          </w:p>
        </w:tc>
        <w:tc>
          <w:tcPr>
            <w:tcW w:w="1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52,207</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52,101</w:t>
            </w:r>
          </w:p>
        </w:tc>
      </w:tr>
      <w:tr>
        <w:trPr>
          <w:trHeight w:val="176"/>
        </w:trPr>
        <w:tc>
          <w:tcPr>
            <w:tcW w:w="7000" w:type="dxa"/>
            <w:vAlign w:val="bottom"/>
            <w:gridSpan w:val="3"/>
          </w:tcPr>
          <w:p>
            <w:pPr>
              <w:ind w:left="120"/>
              <w:spacing w:after="0"/>
              <w:rPr>
                <w:sz w:val="20"/>
                <w:szCs w:val="20"/>
                <w:color w:val="auto"/>
              </w:rPr>
            </w:pPr>
            <w:r>
              <w:rPr>
                <w:rFonts w:ascii="Arial" w:cs="Arial" w:eastAsia="Arial" w:hAnsi="Arial"/>
                <w:sz w:val="14"/>
                <w:szCs w:val="14"/>
                <w:color w:val="auto"/>
              </w:rPr>
              <w:t>Retained earnings</w:t>
            </w:r>
          </w:p>
        </w:tc>
        <w:tc>
          <w:tcPr>
            <w:tcW w:w="16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71,236</w:t>
            </w:r>
          </w:p>
        </w:tc>
        <w:tc>
          <w:tcPr>
            <w:tcW w:w="3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71,322</w:t>
            </w:r>
          </w:p>
        </w:tc>
      </w:tr>
      <w:tr>
        <w:trPr>
          <w:trHeight w:val="175"/>
        </w:trPr>
        <w:tc>
          <w:tcPr>
            <w:tcW w:w="700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4"/>
                <w:szCs w:val="14"/>
                <w:color w:val="auto"/>
              </w:rPr>
              <w:t>Accumulated other comprehensive loss</w:t>
            </w:r>
          </w:p>
        </w:tc>
        <w:tc>
          <w:tcPr>
            <w:tcW w:w="16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(11,534 )</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(12,172 )</w:t>
            </w:r>
          </w:p>
        </w:tc>
      </w:tr>
      <w:tr>
        <w:trPr>
          <w:trHeight w:val="175"/>
        </w:trPr>
        <w:tc>
          <w:tcPr>
            <w:tcW w:w="70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Unearned ESOP</w:t>
            </w:r>
          </w:p>
        </w:tc>
        <w:tc>
          <w:tcPr>
            <w:tcW w:w="1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(270 )</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(315 )</w:t>
            </w:r>
          </w:p>
        </w:tc>
      </w:tr>
      <w:tr>
        <w:trPr>
          <w:trHeight w:val="169"/>
        </w:trPr>
        <w:tc>
          <w:tcPr>
            <w:tcW w:w="7000" w:type="dxa"/>
            <w:vAlign w:val="bottom"/>
            <w:tcBorders>
              <w:left w:val="single" w:sz="8" w:color="CFF0FC"/>
              <w:bottom w:val="single" w:sz="8" w:color="auto"/>
            </w:tcBorders>
            <w:gridSpan w:val="3"/>
            <w:shd w:val="clear" w:color="auto" w:fill="CFF0FC"/>
          </w:tcPr>
          <w:p>
            <w:pPr>
              <w:ind w:left="300"/>
              <w:spacing w:after="0"/>
              <w:rPr>
                <w:sz w:val="20"/>
                <w:szCs w:val="20"/>
                <w:color w:val="auto"/>
              </w:rPr>
            </w:pPr>
            <w:r>
              <w:rPr>
                <w:rFonts w:ascii="Arial" w:cs="Arial" w:eastAsia="Arial" w:hAnsi="Arial"/>
                <w:sz w:val="14"/>
                <w:szCs w:val="14"/>
                <w:color w:val="auto"/>
              </w:rPr>
              <w:t>Total Pathfinder Bancorp, Inc. shareholders' equity</w:t>
            </w:r>
          </w:p>
        </w:tc>
        <w:tc>
          <w:tcPr>
            <w:tcW w:w="16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111,700</w:t>
            </w:r>
          </w:p>
        </w:tc>
        <w:tc>
          <w:tcPr>
            <w:tcW w:w="3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110,997</w:t>
            </w:r>
          </w:p>
        </w:tc>
      </w:tr>
      <w:tr>
        <w:trPr>
          <w:trHeight w:val="169"/>
        </w:trPr>
        <w:tc>
          <w:tcPr>
            <w:tcW w:w="70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Noncontrolling interest</w:t>
            </w:r>
          </w:p>
        </w:tc>
        <w:tc>
          <w:tcPr>
            <w:tcW w:w="1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661</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585</w:t>
            </w:r>
          </w:p>
        </w:tc>
      </w:tr>
      <w:tr>
        <w:trPr>
          <w:trHeight w:val="169"/>
        </w:trPr>
        <w:tc>
          <w:tcPr>
            <w:tcW w:w="7000" w:type="dxa"/>
            <w:vAlign w:val="bottom"/>
            <w:tcBorders>
              <w:left w:val="single" w:sz="8" w:color="CFF0FC"/>
              <w:bottom w:val="single" w:sz="8" w:color="auto"/>
            </w:tcBorders>
            <w:gridSpan w:val="3"/>
            <w:shd w:val="clear" w:color="auto" w:fill="CFF0FC"/>
          </w:tcPr>
          <w:p>
            <w:pPr>
              <w:ind w:left="300"/>
              <w:spacing w:after="0"/>
              <w:rPr>
                <w:sz w:val="20"/>
                <w:szCs w:val="20"/>
                <w:color w:val="auto"/>
              </w:rPr>
            </w:pPr>
            <w:r>
              <w:rPr>
                <w:rFonts w:ascii="Arial" w:cs="Arial" w:eastAsia="Arial" w:hAnsi="Arial"/>
                <w:sz w:val="14"/>
                <w:szCs w:val="14"/>
                <w:color w:val="auto"/>
              </w:rPr>
              <w:t>Total equity</w:t>
            </w:r>
          </w:p>
        </w:tc>
        <w:tc>
          <w:tcPr>
            <w:tcW w:w="16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112,361</w:t>
            </w:r>
          </w:p>
        </w:tc>
        <w:tc>
          <w:tcPr>
            <w:tcW w:w="3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111,582</w:t>
            </w:r>
          </w:p>
        </w:tc>
      </w:tr>
      <w:tr>
        <w:trPr>
          <w:trHeight w:val="169"/>
        </w:trPr>
        <w:tc>
          <w:tcPr>
            <w:tcW w:w="70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color w:val="auto"/>
              </w:rPr>
              <w:t>Total liabilities and shareholders' equity</w:t>
            </w:r>
          </w:p>
        </w:tc>
        <w:tc>
          <w:tcPr>
            <w:tcW w:w="1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1,404,269</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1,399,921</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3</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Pathfinder Bancorp,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Income</w:t>
      </w:r>
    </w:p>
    <w:p>
      <w:pPr>
        <w:jc w:val="center"/>
        <w:ind w:right="20"/>
        <w:spacing w:after="0"/>
        <w:rPr>
          <w:sz w:val="20"/>
          <w:szCs w:val="20"/>
          <w:color w:val="auto"/>
        </w:rPr>
      </w:pPr>
      <w:r>
        <w:rPr>
          <w:rFonts w:ascii="Arial" w:cs="Arial" w:eastAsia="Arial" w:hAnsi="Arial"/>
          <w:sz w:val="20"/>
          <w:szCs w:val="20"/>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For the three months ended</w:t>
            </w:r>
          </w:p>
        </w:tc>
        <w:tc>
          <w:tcPr>
            <w:tcW w:w="1120" w:type="dxa"/>
            <w:vAlign w:val="bottom"/>
            <w:tcBorders>
              <w:bottom w:val="single" w:sz="8" w:color="auto"/>
            </w:tcBorders>
          </w:tcPr>
          <w:p>
            <w:pPr>
              <w:spacing w:after="0"/>
              <w:rPr>
                <w:sz w:val="15"/>
                <w:szCs w:val="15"/>
                <w:color w:val="auto"/>
              </w:rPr>
            </w:pPr>
          </w:p>
        </w:tc>
      </w:tr>
      <w:tr>
        <w:trPr>
          <w:trHeight w:val="169"/>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March 31, 2023</w:t>
            </w:r>
          </w:p>
        </w:tc>
        <w:tc>
          <w:tcPr>
            <w:tcW w:w="8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6"/>
              </w:rPr>
              <w:t>March 31, 2022</w:t>
            </w:r>
          </w:p>
        </w:tc>
      </w:tr>
      <w:tr>
        <w:trPr>
          <w:trHeight w:val="169"/>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Interest and dividend income:</w:t>
            </w: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76"/>
        </w:trPr>
        <w:tc>
          <w:tcPr>
            <w:tcW w:w="7480" w:type="dxa"/>
            <w:vAlign w:val="bottom"/>
          </w:tcPr>
          <w:p>
            <w:pPr>
              <w:ind w:left="20"/>
              <w:spacing w:after="0"/>
              <w:rPr>
                <w:sz w:val="20"/>
                <w:szCs w:val="20"/>
                <w:color w:val="auto"/>
              </w:rPr>
            </w:pPr>
            <w:r>
              <w:rPr>
                <w:rFonts w:ascii="Arial" w:cs="Arial" w:eastAsia="Arial" w:hAnsi="Arial"/>
                <w:sz w:val="14"/>
                <w:szCs w:val="14"/>
                <w:color w:val="auto"/>
              </w:rPr>
              <w:t>Loans, including fees</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10,658</w:t>
            </w:r>
          </w:p>
        </w:tc>
        <w:tc>
          <w:tcPr>
            <w:tcW w:w="8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8,692</w:t>
            </w:r>
          </w:p>
        </w:tc>
      </w:tr>
      <w:tr>
        <w:trPr>
          <w:trHeight w:val="175"/>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Debt securities:</w:t>
            </w: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76"/>
        </w:trPr>
        <w:tc>
          <w:tcPr>
            <w:tcW w:w="7480" w:type="dxa"/>
            <w:vAlign w:val="bottom"/>
          </w:tcPr>
          <w:p>
            <w:pPr>
              <w:ind w:left="200"/>
              <w:spacing w:after="0"/>
              <w:rPr>
                <w:sz w:val="20"/>
                <w:szCs w:val="20"/>
                <w:color w:val="auto"/>
              </w:rPr>
            </w:pPr>
            <w:r>
              <w:rPr>
                <w:rFonts w:ascii="Arial" w:cs="Arial" w:eastAsia="Arial" w:hAnsi="Arial"/>
                <w:sz w:val="14"/>
                <w:szCs w:val="14"/>
                <w:color w:val="auto"/>
              </w:rPr>
              <w:t>Taxable</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3,747</w:t>
            </w:r>
          </w:p>
        </w:tc>
        <w:tc>
          <w:tcPr>
            <w:tcW w:w="8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2,120</w:t>
            </w:r>
          </w:p>
        </w:tc>
      </w:tr>
      <w:tr>
        <w:trPr>
          <w:trHeight w:val="176"/>
        </w:trPr>
        <w:tc>
          <w:tcPr>
            <w:tcW w:w="7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Tax-exempt</w:t>
            </w: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455</w:t>
            </w:r>
          </w:p>
        </w:tc>
        <w:tc>
          <w:tcPr>
            <w:tcW w:w="8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118</w:t>
            </w:r>
          </w:p>
        </w:tc>
      </w:tr>
      <w:tr>
        <w:trPr>
          <w:trHeight w:val="175"/>
        </w:trPr>
        <w:tc>
          <w:tcPr>
            <w:tcW w:w="7480" w:type="dxa"/>
            <w:vAlign w:val="bottom"/>
          </w:tcPr>
          <w:p>
            <w:pPr>
              <w:ind w:left="20"/>
              <w:spacing w:after="0"/>
              <w:rPr>
                <w:sz w:val="20"/>
                <w:szCs w:val="20"/>
                <w:color w:val="auto"/>
              </w:rPr>
            </w:pPr>
            <w:r>
              <w:rPr>
                <w:rFonts w:ascii="Arial" w:cs="Arial" w:eastAsia="Arial" w:hAnsi="Arial"/>
                <w:sz w:val="14"/>
                <w:szCs w:val="14"/>
                <w:color w:val="auto"/>
              </w:rPr>
              <w:t>Dividends</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78</w:t>
            </w:r>
          </w:p>
        </w:tc>
        <w:tc>
          <w:tcPr>
            <w:tcW w:w="8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48</w:t>
            </w:r>
          </w:p>
        </w:tc>
      </w:tr>
      <w:tr>
        <w:trPr>
          <w:trHeight w:val="176"/>
        </w:trPr>
        <w:tc>
          <w:tcPr>
            <w:tcW w:w="74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Federal funds sold and interest earning deposits</w:t>
            </w:r>
          </w:p>
        </w:tc>
        <w:tc>
          <w:tcPr>
            <w:tcW w:w="4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105</w:t>
            </w:r>
          </w:p>
        </w:tc>
        <w:tc>
          <w:tcPr>
            <w:tcW w:w="8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4</w:t>
            </w:r>
          </w:p>
        </w:tc>
      </w:tr>
      <w:tr>
        <w:trPr>
          <w:trHeight w:val="169"/>
        </w:trPr>
        <w:tc>
          <w:tcPr>
            <w:tcW w:w="74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interest and dividend income</w:t>
            </w: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15,043</w:t>
            </w:r>
          </w:p>
        </w:tc>
        <w:tc>
          <w:tcPr>
            <w:tcW w:w="8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10,982</w:t>
            </w:r>
          </w:p>
        </w:tc>
      </w:tr>
      <w:tr>
        <w:trPr>
          <w:trHeight w:val="169"/>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Interest expense:</w:t>
            </w: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76"/>
        </w:trPr>
        <w:tc>
          <w:tcPr>
            <w:tcW w:w="7480" w:type="dxa"/>
            <w:vAlign w:val="bottom"/>
          </w:tcPr>
          <w:p>
            <w:pPr>
              <w:ind w:left="20"/>
              <w:spacing w:after="0"/>
              <w:rPr>
                <w:sz w:val="20"/>
                <w:szCs w:val="20"/>
                <w:color w:val="auto"/>
              </w:rPr>
            </w:pPr>
            <w:r>
              <w:rPr>
                <w:rFonts w:ascii="Arial" w:cs="Arial" w:eastAsia="Arial" w:hAnsi="Arial"/>
                <w:sz w:val="14"/>
                <w:szCs w:val="14"/>
                <w:color w:val="auto"/>
              </w:rPr>
              <w:t>Interest on deposits</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4,037</w:t>
            </w:r>
          </w:p>
        </w:tc>
        <w:tc>
          <w:tcPr>
            <w:tcW w:w="8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965</w:t>
            </w:r>
          </w:p>
        </w:tc>
      </w:tr>
      <w:tr>
        <w:trPr>
          <w:trHeight w:val="176"/>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on short-term borrowings</w:t>
            </w: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372</w:t>
            </w:r>
          </w:p>
        </w:tc>
        <w:tc>
          <w:tcPr>
            <w:tcW w:w="8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w:t>
            </w:r>
          </w:p>
        </w:tc>
      </w:tr>
      <w:tr>
        <w:trPr>
          <w:trHeight w:val="175"/>
        </w:trPr>
        <w:tc>
          <w:tcPr>
            <w:tcW w:w="7480" w:type="dxa"/>
            <w:vAlign w:val="bottom"/>
          </w:tcPr>
          <w:p>
            <w:pPr>
              <w:ind w:left="20"/>
              <w:spacing w:after="0"/>
              <w:rPr>
                <w:sz w:val="20"/>
                <w:szCs w:val="20"/>
                <w:color w:val="auto"/>
              </w:rPr>
            </w:pPr>
            <w:r>
              <w:rPr>
                <w:rFonts w:ascii="Arial" w:cs="Arial" w:eastAsia="Arial" w:hAnsi="Arial"/>
                <w:sz w:val="14"/>
                <w:szCs w:val="14"/>
                <w:color w:val="auto"/>
              </w:rPr>
              <w:t>Interest on long-term borrowings</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194</w:t>
            </w:r>
          </w:p>
        </w:tc>
        <w:tc>
          <w:tcPr>
            <w:tcW w:w="8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133</w:t>
            </w:r>
          </w:p>
        </w:tc>
      </w:tr>
      <w:tr>
        <w:trPr>
          <w:trHeight w:val="176"/>
        </w:trPr>
        <w:tc>
          <w:tcPr>
            <w:tcW w:w="74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Interest on subordinated debt</w:t>
            </w:r>
          </w:p>
        </w:tc>
        <w:tc>
          <w:tcPr>
            <w:tcW w:w="4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472</w:t>
            </w:r>
          </w:p>
        </w:tc>
        <w:tc>
          <w:tcPr>
            <w:tcW w:w="8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412</w:t>
            </w:r>
          </w:p>
        </w:tc>
      </w:tr>
      <w:tr>
        <w:trPr>
          <w:trHeight w:val="169"/>
        </w:trPr>
        <w:tc>
          <w:tcPr>
            <w:tcW w:w="74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interest expense</w:t>
            </w: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5,075</w:t>
            </w:r>
          </w:p>
        </w:tc>
        <w:tc>
          <w:tcPr>
            <w:tcW w:w="8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1,515</w:t>
            </w:r>
          </w:p>
        </w:tc>
      </w:tr>
      <w:tr>
        <w:trPr>
          <w:trHeight w:val="169"/>
        </w:trPr>
        <w:tc>
          <w:tcPr>
            <w:tcW w:w="7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interest income</w:t>
            </w: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9,968</w:t>
            </w:r>
          </w:p>
        </w:tc>
        <w:tc>
          <w:tcPr>
            <w:tcW w:w="84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9,467</w:t>
            </w:r>
          </w:p>
        </w:tc>
      </w:tr>
      <w:tr>
        <w:trPr>
          <w:trHeight w:val="176"/>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Provision for credit losses</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692</w:t>
            </w:r>
          </w:p>
        </w:tc>
        <w:tc>
          <w:tcPr>
            <w:tcW w:w="8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102</w:t>
            </w:r>
          </w:p>
        </w:tc>
      </w:tr>
      <w:tr>
        <w:trPr>
          <w:trHeight w:val="169"/>
        </w:trPr>
        <w:tc>
          <w:tcPr>
            <w:tcW w:w="74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4"/>
                <w:szCs w:val="14"/>
                <w:color w:val="auto"/>
              </w:rPr>
              <w:t>Net interest income after provision for credit losses</w:t>
            </w:r>
          </w:p>
        </w:tc>
        <w:tc>
          <w:tcPr>
            <w:tcW w:w="4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9,276</w:t>
            </w:r>
          </w:p>
        </w:tc>
        <w:tc>
          <w:tcPr>
            <w:tcW w:w="8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9,365</w:t>
            </w:r>
          </w:p>
        </w:tc>
      </w:tr>
      <w:tr>
        <w:trPr>
          <w:trHeight w:val="169"/>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Service charges on deposit accounts</w:t>
            </w: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267</w:t>
            </w:r>
          </w:p>
        </w:tc>
        <w:tc>
          <w:tcPr>
            <w:tcW w:w="8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259</w:t>
            </w:r>
          </w:p>
        </w:tc>
      </w:tr>
      <w:tr>
        <w:trPr>
          <w:trHeight w:val="176"/>
        </w:trPr>
        <w:tc>
          <w:tcPr>
            <w:tcW w:w="7480" w:type="dxa"/>
            <w:vAlign w:val="bottom"/>
          </w:tcPr>
          <w:p>
            <w:pPr>
              <w:ind w:left="20"/>
              <w:spacing w:after="0"/>
              <w:rPr>
                <w:sz w:val="20"/>
                <w:szCs w:val="20"/>
                <w:color w:val="auto"/>
              </w:rPr>
            </w:pPr>
            <w:r>
              <w:rPr>
                <w:rFonts w:ascii="Arial" w:cs="Arial" w:eastAsia="Arial" w:hAnsi="Arial"/>
                <w:sz w:val="14"/>
                <w:szCs w:val="14"/>
                <w:color w:val="auto"/>
              </w:rPr>
              <w:t>Earnings and gain on bank owned life insurance</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158</w:t>
            </w:r>
          </w:p>
        </w:tc>
        <w:tc>
          <w:tcPr>
            <w:tcW w:w="8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162</w:t>
            </w:r>
          </w:p>
        </w:tc>
      </w:tr>
      <w:tr>
        <w:trPr>
          <w:trHeight w:val="175"/>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Loan servicing fees</w:t>
            </w: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72</w:t>
            </w:r>
          </w:p>
        </w:tc>
        <w:tc>
          <w:tcPr>
            <w:tcW w:w="8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117</w:t>
            </w:r>
          </w:p>
        </w:tc>
      </w:tr>
      <w:tr>
        <w:trPr>
          <w:trHeight w:val="176"/>
        </w:trPr>
        <w:tc>
          <w:tcPr>
            <w:tcW w:w="7480" w:type="dxa"/>
            <w:vAlign w:val="bottom"/>
          </w:tcPr>
          <w:p>
            <w:pPr>
              <w:ind w:left="20"/>
              <w:spacing w:after="0"/>
              <w:rPr>
                <w:sz w:val="20"/>
                <w:szCs w:val="20"/>
                <w:color w:val="auto"/>
              </w:rPr>
            </w:pPr>
            <w:r>
              <w:rPr>
                <w:rFonts w:ascii="Arial" w:cs="Arial" w:eastAsia="Arial" w:hAnsi="Arial"/>
                <w:sz w:val="14"/>
                <w:szCs w:val="14"/>
                <w:color w:val="auto"/>
              </w:rPr>
              <w:t>Net gains (losses) on sales and redemptions of investment securities</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8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(6 )</w:t>
            </w:r>
          </w:p>
        </w:tc>
      </w:tr>
      <w:tr>
        <w:trPr>
          <w:trHeight w:val="176"/>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Gains on marketable equity securities</w:t>
            </w: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68</w:t>
            </w:r>
          </w:p>
        </w:tc>
      </w:tr>
      <w:tr>
        <w:trPr>
          <w:trHeight w:val="175"/>
        </w:trPr>
        <w:tc>
          <w:tcPr>
            <w:tcW w:w="7480" w:type="dxa"/>
            <w:vAlign w:val="bottom"/>
          </w:tcPr>
          <w:p>
            <w:pPr>
              <w:ind w:left="20"/>
              <w:spacing w:after="0"/>
              <w:rPr>
                <w:sz w:val="20"/>
                <w:szCs w:val="20"/>
                <w:color w:val="auto"/>
              </w:rPr>
            </w:pPr>
            <w:r>
              <w:rPr>
                <w:rFonts w:ascii="Arial" w:cs="Arial" w:eastAsia="Arial" w:hAnsi="Arial"/>
                <w:sz w:val="14"/>
                <w:szCs w:val="14"/>
                <w:color w:val="auto"/>
              </w:rPr>
              <w:t>Net gains on sales of loans and foreclosed real estate</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8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63</w:t>
            </w:r>
          </w:p>
        </w:tc>
      </w:tr>
      <w:tr>
        <w:trPr>
          <w:trHeight w:val="176"/>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Debit card interchange fees</w:t>
            </w: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321</w:t>
            </w:r>
          </w:p>
        </w:tc>
        <w:tc>
          <w:tcPr>
            <w:tcW w:w="8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228</w:t>
            </w:r>
          </w:p>
        </w:tc>
      </w:tr>
      <w:tr>
        <w:trPr>
          <w:trHeight w:val="175"/>
        </w:trPr>
        <w:tc>
          <w:tcPr>
            <w:tcW w:w="7480" w:type="dxa"/>
            <w:vAlign w:val="bottom"/>
          </w:tcPr>
          <w:p>
            <w:pPr>
              <w:ind w:left="20"/>
              <w:spacing w:after="0"/>
              <w:rPr>
                <w:sz w:val="20"/>
                <w:szCs w:val="20"/>
                <w:color w:val="auto"/>
              </w:rPr>
            </w:pPr>
            <w:r>
              <w:rPr>
                <w:rFonts w:ascii="Arial" w:cs="Arial" w:eastAsia="Arial" w:hAnsi="Arial"/>
                <w:sz w:val="14"/>
                <w:szCs w:val="14"/>
                <w:color w:val="auto"/>
              </w:rPr>
              <w:t>Insurance agency revenue</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420</w:t>
            </w:r>
          </w:p>
        </w:tc>
        <w:tc>
          <w:tcPr>
            <w:tcW w:w="8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299</w:t>
            </w:r>
          </w:p>
        </w:tc>
      </w:tr>
      <w:tr>
        <w:trPr>
          <w:trHeight w:val="176"/>
        </w:trPr>
        <w:tc>
          <w:tcPr>
            <w:tcW w:w="74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Other charges, commissions &amp; fees</w:t>
            </w:r>
          </w:p>
        </w:tc>
        <w:tc>
          <w:tcPr>
            <w:tcW w:w="4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256</w:t>
            </w:r>
          </w:p>
        </w:tc>
        <w:tc>
          <w:tcPr>
            <w:tcW w:w="8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413</w:t>
            </w:r>
          </w:p>
        </w:tc>
      </w:tr>
      <w:tr>
        <w:trPr>
          <w:trHeight w:val="169"/>
        </w:trPr>
        <w:tc>
          <w:tcPr>
            <w:tcW w:w="74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 noninterest income</w:t>
            </w: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1,592</w:t>
            </w:r>
          </w:p>
        </w:tc>
        <w:tc>
          <w:tcPr>
            <w:tcW w:w="8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1,603</w:t>
            </w:r>
          </w:p>
        </w:tc>
      </w:tr>
      <w:tr>
        <w:trPr>
          <w:trHeight w:val="169"/>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75"/>
        </w:trPr>
        <w:tc>
          <w:tcPr>
            <w:tcW w:w="7480" w:type="dxa"/>
            <w:vAlign w:val="bottom"/>
          </w:tcPr>
          <w:p>
            <w:pPr>
              <w:ind w:left="20"/>
              <w:spacing w:after="0"/>
              <w:rPr>
                <w:sz w:val="20"/>
                <w:szCs w:val="20"/>
                <w:color w:val="auto"/>
              </w:rPr>
            </w:pPr>
            <w:r>
              <w:rPr>
                <w:rFonts w:ascii="Arial" w:cs="Arial" w:eastAsia="Arial" w:hAnsi="Arial"/>
                <w:sz w:val="14"/>
                <w:szCs w:val="14"/>
                <w:color w:val="auto"/>
              </w:rPr>
              <w:t>Salaries and employee benefits</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4,183</w:t>
            </w:r>
          </w:p>
        </w:tc>
        <w:tc>
          <w:tcPr>
            <w:tcW w:w="8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4,049</w:t>
            </w:r>
          </w:p>
        </w:tc>
      </w:tr>
      <w:tr>
        <w:trPr>
          <w:trHeight w:val="175"/>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Building and occupancy</w:t>
            </w: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852</w:t>
            </w:r>
          </w:p>
        </w:tc>
        <w:tc>
          <w:tcPr>
            <w:tcW w:w="8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826</w:t>
            </w:r>
          </w:p>
        </w:tc>
      </w:tr>
      <w:tr>
        <w:trPr>
          <w:trHeight w:val="176"/>
        </w:trPr>
        <w:tc>
          <w:tcPr>
            <w:tcW w:w="7480" w:type="dxa"/>
            <w:vAlign w:val="bottom"/>
          </w:tcPr>
          <w:p>
            <w:pPr>
              <w:ind w:left="20"/>
              <w:spacing w:after="0"/>
              <w:rPr>
                <w:sz w:val="20"/>
                <w:szCs w:val="20"/>
                <w:color w:val="auto"/>
              </w:rPr>
            </w:pPr>
            <w:r>
              <w:rPr>
                <w:rFonts w:ascii="Arial" w:cs="Arial" w:eastAsia="Arial" w:hAnsi="Arial"/>
                <w:sz w:val="14"/>
                <w:szCs w:val="14"/>
                <w:color w:val="auto"/>
              </w:rPr>
              <w:t>Data processing</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553</w:t>
            </w:r>
          </w:p>
        </w:tc>
        <w:tc>
          <w:tcPr>
            <w:tcW w:w="8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550</w:t>
            </w:r>
          </w:p>
        </w:tc>
      </w:tr>
      <w:tr>
        <w:trPr>
          <w:trHeight w:val="175"/>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and other services</w:t>
            </w: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536</w:t>
            </w:r>
          </w:p>
        </w:tc>
        <w:tc>
          <w:tcPr>
            <w:tcW w:w="8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393</w:t>
            </w:r>
          </w:p>
        </w:tc>
      </w:tr>
      <w:tr>
        <w:trPr>
          <w:trHeight w:val="175"/>
        </w:trPr>
        <w:tc>
          <w:tcPr>
            <w:tcW w:w="748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206</w:t>
            </w:r>
          </w:p>
        </w:tc>
        <w:tc>
          <w:tcPr>
            <w:tcW w:w="8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187</w:t>
            </w:r>
          </w:p>
        </w:tc>
      </w:tr>
      <w:tr>
        <w:trPr>
          <w:trHeight w:val="175"/>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FDIC assessments</w:t>
            </w: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219</w:t>
            </w:r>
          </w:p>
        </w:tc>
        <w:tc>
          <w:tcPr>
            <w:tcW w:w="8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222</w:t>
            </w:r>
          </w:p>
        </w:tc>
      </w:tr>
      <w:tr>
        <w:trPr>
          <w:trHeight w:val="175"/>
        </w:trPr>
        <w:tc>
          <w:tcPr>
            <w:tcW w:w="7480" w:type="dxa"/>
            <w:vAlign w:val="bottom"/>
          </w:tcPr>
          <w:p>
            <w:pPr>
              <w:ind w:left="20"/>
              <w:spacing w:after="0"/>
              <w:rPr>
                <w:sz w:val="20"/>
                <w:szCs w:val="20"/>
                <w:color w:val="auto"/>
              </w:rPr>
            </w:pPr>
            <w:r>
              <w:rPr>
                <w:rFonts w:ascii="Arial" w:cs="Arial" w:eastAsia="Arial" w:hAnsi="Arial"/>
                <w:sz w:val="14"/>
                <w:szCs w:val="14"/>
                <w:color w:val="auto"/>
              </w:rPr>
              <w:t>Audits and exams</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159</w:t>
            </w:r>
          </w:p>
        </w:tc>
        <w:tc>
          <w:tcPr>
            <w:tcW w:w="8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141</w:t>
            </w:r>
          </w:p>
        </w:tc>
      </w:tr>
      <w:tr>
        <w:trPr>
          <w:trHeight w:val="176"/>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Insurance agency expense</w:t>
            </w: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261</w:t>
            </w:r>
          </w:p>
        </w:tc>
        <w:tc>
          <w:tcPr>
            <w:tcW w:w="8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204</w:t>
            </w:r>
          </w:p>
        </w:tc>
      </w:tr>
      <w:tr>
        <w:trPr>
          <w:trHeight w:val="175"/>
        </w:trPr>
        <w:tc>
          <w:tcPr>
            <w:tcW w:w="7480" w:type="dxa"/>
            <w:vAlign w:val="bottom"/>
          </w:tcPr>
          <w:p>
            <w:pPr>
              <w:ind w:left="20"/>
              <w:spacing w:after="0"/>
              <w:rPr>
                <w:sz w:val="20"/>
                <w:szCs w:val="20"/>
                <w:color w:val="auto"/>
              </w:rPr>
            </w:pPr>
            <w:r>
              <w:rPr>
                <w:rFonts w:ascii="Arial" w:cs="Arial" w:eastAsia="Arial" w:hAnsi="Arial"/>
                <w:sz w:val="14"/>
                <w:szCs w:val="14"/>
                <w:color w:val="auto"/>
              </w:rPr>
              <w:t>Community service activities</w:t>
            </w:r>
          </w:p>
        </w:tc>
        <w:tc>
          <w:tcPr>
            <w:tcW w:w="400" w:type="dxa"/>
            <w:vAlign w:val="bottom"/>
          </w:tcPr>
          <w:p>
            <w:pPr>
              <w:spacing w:after="0"/>
              <w:rPr>
                <w:sz w:val="15"/>
                <w:szCs w:val="15"/>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8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62</w:t>
            </w:r>
          </w:p>
        </w:tc>
      </w:tr>
      <w:tr>
        <w:trPr>
          <w:trHeight w:val="175"/>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Foreclosed real estate expenses</w:t>
            </w: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14</w:t>
            </w:r>
          </w:p>
        </w:tc>
        <w:tc>
          <w:tcPr>
            <w:tcW w:w="8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13</w:t>
            </w:r>
          </w:p>
        </w:tc>
      </w:tr>
      <w:tr>
        <w:trPr>
          <w:trHeight w:val="175"/>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expenses</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511</w:t>
            </w:r>
          </w:p>
        </w:tc>
        <w:tc>
          <w:tcPr>
            <w:tcW w:w="8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605</w:t>
            </w:r>
          </w:p>
        </w:tc>
      </w:tr>
      <w:tr>
        <w:trPr>
          <w:trHeight w:val="169"/>
        </w:trPr>
        <w:tc>
          <w:tcPr>
            <w:tcW w:w="74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4"/>
                <w:szCs w:val="14"/>
                <w:color w:val="auto"/>
              </w:rPr>
              <w:t>Total noninterest expense</w:t>
            </w:r>
          </w:p>
        </w:tc>
        <w:tc>
          <w:tcPr>
            <w:tcW w:w="4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7,524</w:t>
            </w:r>
          </w:p>
        </w:tc>
        <w:tc>
          <w:tcPr>
            <w:tcW w:w="8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7,252</w:t>
            </w:r>
          </w:p>
        </w:tc>
      </w:tr>
      <w:tr>
        <w:trPr>
          <w:trHeight w:val="169"/>
        </w:trPr>
        <w:tc>
          <w:tcPr>
            <w:tcW w:w="748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400" w:type="dxa"/>
            <w:vAlign w:val="bottom"/>
          </w:tcPr>
          <w:p>
            <w:pPr>
              <w:spacing w:after="0"/>
              <w:rPr>
                <w:sz w:val="14"/>
                <w:szCs w:val="14"/>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3,344</w:t>
            </w:r>
          </w:p>
        </w:tc>
        <w:tc>
          <w:tcPr>
            <w:tcW w:w="8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3,716</w:t>
            </w:r>
          </w:p>
        </w:tc>
      </w:tr>
      <w:tr>
        <w:trPr>
          <w:trHeight w:val="175"/>
        </w:trPr>
        <w:tc>
          <w:tcPr>
            <w:tcW w:w="74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Provision for income taxes</w:t>
            </w:r>
          </w:p>
        </w:tc>
        <w:tc>
          <w:tcPr>
            <w:tcW w:w="4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669</w:t>
            </w:r>
          </w:p>
        </w:tc>
        <w:tc>
          <w:tcPr>
            <w:tcW w:w="8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721</w:t>
            </w:r>
          </w:p>
        </w:tc>
      </w:tr>
      <w:tr>
        <w:trPr>
          <w:trHeight w:val="133"/>
        </w:trPr>
        <w:tc>
          <w:tcPr>
            <w:tcW w:w="74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Net income attributable to noncontrolling interest and</w:t>
            </w:r>
          </w:p>
        </w:tc>
        <w:tc>
          <w:tcPr>
            <w:tcW w:w="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85"/>
        </w:trPr>
        <w:tc>
          <w:tcPr>
            <w:tcW w:w="74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Pathfinder Bancorp, Inc.</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2,675</w:t>
            </w:r>
          </w:p>
        </w:tc>
        <w:tc>
          <w:tcPr>
            <w:tcW w:w="8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2,995</w:t>
            </w:r>
          </w:p>
        </w:tc>
      </w:tr>
      <w:tr>
        <w:trPr>
          <w:trHeight w:val="169"/>
        </w:trPr>
        <w:tc>
          <w:tcPr>
            <w:tcW w:w="74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4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76</w:t>
            </w:r>
          </w:p>
        </w:tc>
        <w:tc>
          <w:tcPr>
            <w:tcW w:w="8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45</w:t>
            </w:r>
          </w:p>
        </w:tc>
      </w:tr>
      <w:tr>
        <w:trPr>
          <w:trHeight w:val="169"/>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 attributable to Pathfinder Bancorp Inc.</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2,599</w:t>
            </w:r>
          </w:p>
        </w:tc>
        <w:tc>
          <w:tcPr>
            <w:tcW w:w="8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2,950</w:t>
            </w: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748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spacing w:after="0"/>
              <w:rPr>
                <w:sz w:val="13"/>
                <w:szCs w:val="13"/>
                <w:color w:val="auto"/>
              </w:rPr>
            </w:pPr>
          </w:p>
        </w:tc>
      </w:tr>
      <w:tr>
        <w:trPr>
          <w:trHeight w:val="169"/>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Voting Earnings per common share - basic and diluted</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0.43</w:t>
            </w:r>
          </w:p>
        </w:tc>
        <w:tc>
          <w:tcPr>
            <w:tcW w:w="8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0.49</w:t>
            </w: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7480" w:type="dxa"/>
            <w:vAlign w:val="bottom"/>
            <w:tcBorders>
              <w:bottom w:val="single" w:sz="8" w:color="auto"/>
            </w:tcBorders>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Series A Non-Voting Earnings per common share- basic and diluted</w:t>
            </w:r>
          </w:p>
        </w:tc>
        <w:tc>
          <w:tcPr>
            <w:tcW w:w="400" w:type="dxa"/>
            <w:vAlign w:val="bottom"/>
            <w:tcBorders>
              <w:bottom w:val="single" w:sz="8" w:color="auto"/>
            </w:tcBorders>
            <w:shd w:val="clear" w:color="auto" w:fill="CFF0FC"/>
          </w:tcPr>
          <w:p>
            <w:pPr>
              <w:jc w:val="right"/>
              <w:ind w:right="248"/>
              <w:spacing w:after="0" w:line="156"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ind w:right="88"/>
              <w:spacing w:after="0" w:line="156" w:lineRule="exact"/>
              <w:rPr>
                <w:sz w:val="20"/>
                <w:szCs w:val="20"/>
                <w:color w:val="auto"/>
              </w:rPr>
            </w:pPr>
            <w:r>
              <w:rPr>
                <w:rFonts w:ascii="Arial" w:cs="Arial" w:eastAsia="Arial" w:hAnsi="Arial"/>
                <w:sz w:val="14"/>
                <w:szCs w:val="14"/>
                <w:color w:val="auto"/>
              </w:rPr>
              <w:t>0.43</w:t>
            </w:r>
          </w:p>
        </w:tc>
        <w:tc>
          <w:tcPr>
            <w:tcW w:w="840" w:type="dxa"/>
            <w:vAlign w:val="bottom"/>
            <w:tcBorders>
              <w:bottom w:val="single" w:sz="8" w:color="auto"/>
            </w:tcBorders>
            <w:shd w:val="clear" w:color="auto" w:fill="CFF0FC"/>
          </w:tcPr>
          <w:p>
            <w:pPr>
              <w:jc w:val="right"/>
              <w:ind w:right="508"/>
              <w:spacing w:after="0" w:line="156"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88"/>
              <w:spacing w:after="0" w:line="156" w:lineRule="exact"/>
              <w:rPr>
                <w:sz w:val="20"/>
                <w:szCs w:val="20"/>
                <w:color w:val="auto"/>
              </w:rPr>
            </w:pPr>
            <w:r>
              <w:rPr>
                <w:rFonts w:ascii="Arial" w:cs="Arial" w:eastAsia="Arial" w:hAnsi="Arial"/>
                <w:sz w:val="14"/>
                <w:szCs w:val="14"/>
                <w:color w:val="auto"/>
              </w:rPr>
              <w:t>0.49</w:t>
            </w:r>
          </w:p>
        </w:tc>
      </w:tr>
      <w:tr>
        <w:trPr>
          <w:trHeight w:val="156"/>
        </w:trPr>
        <w:tc>
          <w:tcPr>
            <w:tcW w:w="748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4"/>
                <w:szCs w:val="14"/>
                <w:b w:val="1"/>
                <w:bCs w:val="1"/>
                <w:color w:val="auto"/>
              </w:rPr>
              <w:t>Dividends per common share (Voting and Series A Non-Voting)</w:t>
            </w:r>
          </w:p>
        </w:tc>
        <w:tc>
          <w:tcPr>
            <w:tcW w:w="400" w:type="dxa"/>
            <w:vAlign w:val="bottom"/>
            <w:tcBorders>
              <w:bottom w:val="single" w:sz="8" w:color="auto"/>
            </w:tcBorders>
          </w:tcPr>
          <w:p>
            <w:pPr>
              <w:jc w:val="right"/>
              <w:ind w:right="248"/>
              <w:spacing w:after="0" w:line="156"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0.09</w:t>
            </w:r>
          </w:p>
        </w:tc>
        <w:tc>
          <w:tcPr>
            <w:tcW w:w="840" w:type="dxa"/>
            <w:vAlign w:val="bottom"/>
            <w:tcBorders>
              <w:bottom w:val="single" w:sz="8" w:color="auto"/>
            </w:tcBorders>
          </w:tcPr>
          <w:p>
            <w:pPr>
              <w:jc w:val="right"/>
              <w:ind w:right="508"/>
              <w:spacing w:after="0" w:line="156"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0.09</w:t>
            </w: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4</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Pathfinder Bancorp,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 (Loss)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6"/>
                <w:szCs w:val="16"/>
                <w:color w:val="auto"/>
              </w:rPr>
              <w:t>For the three months ended</w:t>
            </w:r>
          </w:p>
        </w:tc>
      </w:tr>
      <w:tr>
        <w:trPr>
          <w:trHeight w:val="223"/>
        </w:trPr>
        <w:tc>
          <w:tcPr>
            <w:tcW w:w="732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March 31, 2023</w:t>
            </w: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March 31, 2022</w:t>
            </w:r>
          </w:p>
        </w:tc>
      </w:tr>
      <w:tr>
        <w:trPr>
          <w:trHeight w:val="223"/>
        </w:trPr>
        <w:tc>
          <w:tcPr>
            <w:tcW w:w="7320" w:type="dxa"/>
            <w:vAlign w:val="bottom"/>
            <w:tcBorders>
              <w:bottom w:val="single" w:sz="8" w:color="auto"/>
            </w:tcBorders>
            <w:gridSpan w:val="7"/>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2,675</w:t>
            </w:r>
          </w:p>
        </w:tc>
        <w:tc>
          <w:tcPr>
            <w:tcW w:w="5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2,995</w:t>
            </w: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320" w:type="dxa"/>
            <w:vAlign w:val="bottom"/>
            <w:gridSpan w:val="7"/>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Other Comprehensive Income (Loss)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176"/>
        </w:trPr>
        <w:tc>
          <w:tcPr>
            <w:tcW w:w="732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Retirement Plans:</w:t>
            </w: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300" w:type="dxa"/>
            <w:vAlign w:val="bottom"/>
            <w:tcBorders>
              <w:bottom w:val="single" w:sz="8" w:color="auto"/>
            </w:tcBorders>
            <w:gridSpan w:val="6"/>
            <w:shd w:val="clear" w:color="auto" w:fill="CFF0FC"/>
          </w:tcPr>
          <w:p>
            <w:pPr>
              <w:ind w:left="100"/>
              <w:spacing w:after="0"/>
              <w:rPr>
                <w:sz w:val="20"/>
                <w:szCs w:val="20"/>
                <w:color w:val="auto"/>
              </w:rPr>
            </w:pPr>
            <w:r>
              <w:rPr>
                <w:rFonts w:ascii="Arial" w:cs="Arial" w:eastAsia="Arial" w:hAnsi="Arial"/>
                <w:sz w:val="16"/>
                <w:szCs w:val="16"/>
                <w:color w:val="auto"/>
              </w:rPr>
              <w:t>Retirement plan net gains recognized in plan expenses</w:t>
            </w:r>
          </w:p>
        </w:tc>
        <w:tc>
          <w:tcPr>
            <w:tcW w:w="4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55</w:t>
            </w:r>
          </w:p>
        </w:tc>
        <w:tc>
          <w:tcPr>
            <w:tcW w:w="5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w:t>
            </w:r>
          </w:p>
        </w:tc>
      </w:tr>
      <w:tr>
        <w:trPr>
          <w:trHeight w:val="223"/>
        </w:trPr>
        <w:tc>
          <w:tcPr>
            <w:tcW w:w="732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color w:val="auto"/>
              </w:rPr>
              <w:t>Net unrealized gain on retirement plans</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55</w:t>
            </w: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r>
      <w:tr>
        <w:trPr>
          <w:trHeight w:val="229"/>
        </w:trPr>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176"/>
        </w:trPr>
        <w:tc>
          <w:tcPr>
            <w:tcW w:w="732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Unrealized holding gains (losses) on available-for-sale securities:</w:t>
            </w: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9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20" w:type="dxa"/>
            <w:vAlign w:val="bottom"/>
            <w:shd w:val="clear" w:color="auto" w:fill="CFF0FC"/>
          </w:tcPr>
          <w:p>
            <w:pPr>
              <w:spacing w:after="0"/>
              <w:rPr>
                <w:sz w:val="19"/>
                <w:szCs w:val="19"/>
                <w:color w:val="auto"/>
              </w:rPr>
            </w:pPr>
          </w:p>
        </w:tc>
        <w:tc>
          <w:tcPr>
            <w:tcW w:w="730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Unrealized holding losses arising during the period</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(509 )</w:t>
            </w: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(5,782 )</w:t>
            </w:r>
          </w:p>
        </w:tc>
      </w:tr>
      <w:tr>
        <w:trPr>
          <w:trHeight w:val="206"/>
        </w:trPr>
        <w:tc>
          <w:tcPr>
            <w:tcW w:w="20" w:type="dxa"/>
            <w:vAlign w:val="bottom"/>
          </w:tcPr>
          <w:p>
            <w:pPr>
              <w:spacing w:after="0"/>
              <w:rPr>
                <w:sz w:val="17"/>
                <w:szCs w:val="17"/>
                <w:color w:val="auto"/>
              </w:rPr>
            </w:pPr>
          </w:p>
        </w:tc>
        <w:tc>
          <w:tcPr>
            <w:tcW w:w="7300" w:type="dxa"/>
            <w:vAlign w:val="bottom"/>
            <w:gridSpan w:val="6"/>
          </w:tcPr>
          <w:p>
            <w:pPr>
              <w:ind w:left="100"/>
              <w:spacing w:after="0"/>
              <w:rPr>
                <w:sz w:val="20"/>
                <w:szCs w:val="20"/>
                <w:color w:val="auto"/>
              </w:rPr>
            </w:pPr>
            <w:r>
              <w:rPr>
                <w:rFonts w:ascii="Arial" w:cs="Arial" w:eastAsia="Arial" w:hAnsi="Arial"/>
                <w:sz w:val="16"/>
                <w:szCs w:val="16"/>
                <w:color w:val="auto"/>
              </w:rPr>
              <w:t>Reclassification adjustment for net losses included in net</w:t>
            </w: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7300" w:type="dxa"/>
            <w:vAlign w:val="bottom"/>
            <w:tcBorders>
              <w:bottom w:val="single" w:sz="8" w:color="auto"/>
            </w:tcBorders>
            <w:gridSpan w:val="6"/>
          </w:tcPr>
          <w:p>
            <w:pPr>
              <w:ind w:left="220"/>
              <w:spacing w:after="0"/>
              <w:rPr>
                <w:sz w:val="20"/>
                <w:szCs w:val="20"/>
                <w:color w:val="auto"/>
              </w:rPr>
            </w:pPr>
            <w:r>
              <w:rPr>
                <w:rFonts w:ascii="Arial" w:cs="Arial" w:eastAsia="Arial" w:hAnsi="Arial"/>
                <w:sz w:val="16"/>
                <w:szCs w:val="16"/>
                <w:color w:val="auto"/>
              </w:rPr>
              <w:t>income</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1,933</w:t>
            </w: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7320" w:type="dxa"/>
            <w:vAlign w:val="bottom"/>
            <w:tcBorders>
              <w:bottom w:val="single" w:sz="8" w:color="auto"/>
            </w:tcBorders>
            <w:gridSpan w:val="7"/>
            <w:shd w:val="clear" w:color="auto" w:fill="CFF0FC"/>
          </w:tcPr>
          <w:p>
            <w:pPr>
              <w:ind w:left="20"/>
              <w:spacing w:after="0"/>
              <w:rPr>
                <w:sz w:val="20"/>
                <w:szCs w:val="20"/>
                <w:color w:val="auto"/>
              </w:rPr>
            </w:pPr>
            <w:r>
              <w:rPr>
                <w:rFonts w:ascii="Arial" w:cs="Arial" w:eastAsia="Arial" w:hAnsi="Arial"/>
                <w:sz w:val="16"/>
                <w:szCs w:val="16"/>
                <w:color w:val="auto"/>
              </w:rPr>
              <w:t>Net unrealized gains (losses) on available-for-sale securities</w:t>
            </w:r>
          </w:p>
        </w:tc>
        <w:tc>
          <w:tcPr>
            <w:tcW w:w="4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1,424</w:t>
            </w:r>
          </w:p>
        </w:tc>
        <w:tc>
          <w:tcPr>
            <w:tcW w:w="5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(5,782 )</w:t>
            </w:r>
          </w:p>
        </w:tc>
      </w:tr>
      <w:tr>
        <w:trPr>
          <w:trHeight w:val="22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auto"/>
            </w:tcBorders>
            <w:gridSpan w:val="3"/>
            <w:shd w:val="clear" w:color="auto" w:fill="CFF0FC"/>
          </w:tcPr>
          <w:p>
            <w:pPr>
              <w:spacing w:after="0" w:line="175" w:lineRule="exact"/>
              <w:rPr>
                <w:sz w:val="20"/>
                <w:szCs w:val="20"/>
                <w:color w:val="auto"/>
              </w:rPr>
            </w:pPr>
            <w:r>
              <w:rPr>
                <w:rFonts w:ascii="Arial" w:cs="Arial" w:eastAsia="Arial" w:hAnsi="Arial"/>
                <w:sz w:val="16"/>
                <w:szCs w:val="16"/>
                <w:color w:val="auto"/>
                <w:w w:val="92"/>
              </w:rPr>
              <w:t>Derivatives and hedging activities:</w:t>
            </w:r>
          </w:p>
        </w:tc>
        <w:tc>
          <w:tcPr>
            <w:tcW w:w="5040" w:type="dxa"/>
            <w:vAlign w:val="bottom"/>
            <w:tcBorders>
              <w:bottom w:val="single" w:sz="8" w:color="CFF0FC"/>
            </w:tcBorders>
            <w:gridSpan w:val="3"/>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3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color w:val="auto"/>
              </w:rPr>
              <w:t>Unrealized holding (losses) gains arising during the period</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(616 )</w:t>
            </w: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650</w:t>
            </w:r>
          </w:p>
        </w:tc>
      </w:tr>
      <w:tr>
        <w:trPr>
          <w:trHeight w:val="223"/>
        </w:trPr>
        <w:tc>
          <w:tcPr>
            <w:tcW w:w="7320" w:type="dxa"/>
            <w:vAlign w:val="bottom"/>
            <w:tcBorders>
              <w:bottom w:val="single" w:sz="8" w:color="auto"/>
            </w:tcBorders>
            <w:gridSpan w:val="7"/>
            <w:shd w:val="clear" w:color="auto" w:fill="CFF0FC"/>
          </w:tcPr>
          <w:p>
            <w:pPr>
              <w:ind w:left="20"/>
              <w:spacing w:after="0"/>
              <w:rPr>
                <w:sz w:val="20"/>
                <w:szCs w:val="20"/>
                <w:color w:val="auto"/>
              </w:rPr>
            </w:pPr>
            <w:r>
              <w:rPr>
                <w:rFonts w:ascii="Arial" w:cs="Arial" w:eastAsia="Arial" w:hAnsi="Arial"/>
                <w:sz w:val="16"/>
                <w:szCs w:val="16"/>
                <w:color w:val="auto"/>
              </w:rPr>
              <w:t>Net unrealized (losses) gains on derivatives and hedging activities</w:t>
            </w:r>
          </w:p>
        </w:tc>
        <w:tc>
          <w:tcPr>
            <w:tcW w:w="4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(616 )</w:t>
            </w:r>
          </w:p>
        </w:tc>
        <w:tc>
          <w:tcPr>
            <w:tcW w:w="5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650</w:t>
            </w:r>
          </w:p>
        </w:tc>
      </w:tr>
      <w:tr>
        <w:trPr>
          <w:trHeight w:val="22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320" w:type="dxa"/>
            <w:vAlign w:val="bottom"/>
            <w:gridSpan w:val="7"/>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 before tax</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863</w:t>
            </w: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(5,131 )</w:t>
            </w:r>
          </w:p>
        </w:tc>
      </w:tr>
      <w:tr>
        <w:trPr>
          <w:trHeight w:val="223"/>
        </w:trPr>
        <w:tc>
          <w:tcPr>
            <w:tcW w:w="732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color w:val="auto"/>
              </w:rPr>
              <w:t>Tax effect</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(225 )</w:t>
            </w: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1,341</w:t>
            </w:r>
          </w:p>
        </w:tc>
      </w:tr>
      <w:tr>
        <w:trPr>
          <w:trHeight w:val="223"/>
        </w:trPr>
        <w:tc>
          <w:tcPr>
            <w:tcW w:w="7320" w:type="dxa"/>
            <w:vAlign w:val="bottom"/>
            <w:tcBorders>
              <w:bottom w:val="single" w:sz="8" w:color="auto"/>
            </w:tcBorders>
            <w:gridSpan w:val="7"/>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4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638</w:t>
            </w:r>
          </w:p>
        </w:tc>
        <w:tc>
          <w:tcPr>
            <w:tcW w:w="5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(3,790 )</w:t>
            </w:r>
          </w:p>
        </w:tc>
      </w:tr>
      <w:tr>
        <w:trPr>
          <w:trHeight w:val="223"/>
        </w:trPr>
        <w:tc>
          <w:tcPr>
            <w:tcW w:w="732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color w:val="auto"/>
              </w:rPr>
              <w:t>Comprehensive income (loss)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3,313</w:t>
            </w: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(795 )</w:t>
            </w:r>
          </w:p>
        </w:tc>
      </w:tr>
      <w:tr>
        <w:trPr>
          <w:trHeight w:val="223"/>
        </w:trPr>
        <w:tc>
          <w:tcPr>
            <w:tcW w:w="7320" w:type="dxa"/>
            <w:vAlign w:val="bottom"/>
            <w:tcBorders>
              <w:bottom w:val="single" w:sz="8" w:color="auto"/>
            </w:tcBorders>
            <w:gridSpan w:val="7"/>
            <w:shd w:val="clear" w:color="auto" w:fill="CFF0FC"/>
          </w:tcPr>
          <w:p>
            <w:pPr>
              <w:ind w:left="20"/>
              <w:spacing w:after="0"/>
              <w:rPr>
                <w:sz w:val="20"/>
                <w:szCs w:val="20"/>
                <w:color w:val="auto"/>
              </w:rPr>
            </w:pPr>
            <w:r>
              <w:rPr>
                <w:rFonts w:ascii="Arial" w:cs="Arial" w:eastAsia="Arial" w:hAnsi="Arial"/>
                <w:sz w:val="16"/>
                <w:szCs w:val="16"/>
                <w:color w:val="auto"/>
              </w:rPr>
              <w:t>Comprehensive income, attributable to noncontrolling interest</w:t>
            </w: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76</w:t>
            </w:r>
          </w:p>
        </w:tc>
        <w:tc>
          <w:tcPr>
            <w:tcW w:w="5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45</w:t>
            </w:r>
          </w:p>
        </w:tc>
      </w:tr>
      <w:tr>
        <w:trPr>
          <w:trHeight w:val="223"/>
        </w:trPr>
        <w:tc>
          <w:tcPr>
            <w:tcW w:w="732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color w:val="auto"/>
              </w:rPr>
              <w:t>Comprehensive income (loss) attributable to Pathfinder Bancorp, Inc.</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3,237</w:t>
            </w: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(840 )</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7300" w:type="dxa"/>
            <w:vAlign w:val="bottom"/>
            <w:gridSpan w:val="6"/>
          </w:tcPr>
          <w:p>
            <w:pPr>
              <w:spacing w:after="0" w:line="175" w:lineRule="exact"/>
              <w:rPr>
                <w:sz w:val="20"/>
                <w:szCs w:val="20"/>
                <w:color w:val="auto"/>
              </w:rPr>
            </w:pPr>
            <w:r>
              <w:rPr>
                <w:rFonts w:ascii="Arial" w:cs="Arial" w:eastAsia="Arial" w:hAnsi="Arial"/>
                <w:sz w:val="16"/>
                <w:szCs w:val="16"/>
                <w:color w:val="auto"/>
              </w:rPr>
              <w:t>Tax Effect Allocated to Each Component of Other Comprehensive</w:t>
            </w: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300" w:type="dxa"/>
            <w:vAlign w:val="bottom"/>
            <w:tcBorders>
              <w:top w:val="single" w:sz="8" w:color="auto"/>
            </w:tcBorders>
            <w:gridSpan w:val="5"/>
          </w:tcPr>
          <w:p>
            <w:pPr>
              <w:ind w:left="40"/>
              <w:spacing w:after="0" w:line="183" w:lineRule="exact"/>
              <w:rPr>
                <w:sz w:val="20"/>
                <w:szCs w:val="20"/>
                <w:color w:val="auto"/>
              </w:rPr>
            </w:pPr>
            <w:r>
              <w:rPr>
                <w:rFonts w:ascii="Arial" w:cs="Arial" w:eastAsia="Arial" w:hAnsi="Arial"/>
                <w:sz w:val="16"/>
                <w:szCs w:val="16"/>
                <w:color w:val="auto"/>
              </w:rPr>
              <w:t>Income (Loss)</w:t>
            </w:r>
          </w:p>
        </w:tc>
        <w:tc>
          <w:tcPr>
            <w:tcW w:w="3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7320" w:type="dxa"/>
            <w:vAlign w:val="bottom"/>
            <w:tcBorders>
              <w:bottom w:val="single" w:sz="8" w:color="auto"/>
            </w:tcBorders>
            <w:gridSpan w:val="7"/>
            <w:shd w:val="clear" w:color="auto" w:fill="CFF0FC"/>
          </w:tcPr>
          <w:p>
            <w:pPr>
              <w:ind w:left="20"/>
              <w:spacing w:after="0"/>
              <w:rPr>
                <w:sz w:val="20"/>
                <w:szCs w:val="20"/>
                <w:color w:val="auto"/>
              </w:rPr>
            </w:pPr>
            <w:r>
              <w:rPr>
                <w:rFonts w:ascii="Arial" w:cs="Arial" w:eastAsia="Arial" w:hAnsi="Arial"/>
                <w:sz w:val="16"/>
                <w:szCs w:val="16"/>
                <w:color w:val="auto"/>
              </w:rPr>
              <w:t>Retirement plan net losses recognized in plan expenses</w:t>
            </w: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(14 )</w:t>
            </w:r>
          </w:p>
        </w:tc>
        <w:tc>
          <w:tcPr>
            <w:tcW w:w="5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06"/>
        </w:trPr>
        <w:tc>
          <w:tcPr>
            <w:tcW w:w="7320" w:type="dxa"/>
            <w:vAlign w:val="bottom"/>
            <w:gridSpan w:val="7"/>
          </w:tcPr>
          <w:p>
            <w:pPr>
              <w:ind w:left="20"/>
              <w:spacing w:after="0"/>
              <w:rPr>
                <w:sz w:val="20"/>
                <w:szCs w:val="20"/>
                <w:color w:val="auto"/>
              </w:rPr>
            </w:pPr>
            <w:r>
              <w:rPr>
                <w:rFonts w:ascii="Arial" w:cs="Arial" w:eastAsia="Arial" w:hAnsi="Arial"/>
                <w:sz w:val="16"/>
                <w:szCs w:val="16"/>
                <w:color w:val="auto"/>
              </w:rPr>
              <w:t>Unrealized holding gains on available-for-sale securities</w:t>
            </w: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7300" w:type="dxa"/>
            <w:vAlign w:val="bottom"/>
            <w:tcBorders>
              <w:bottom w:val="single" w:sz="8" w:color="auto"/>
            </w:tcBorders>
            <w:gridSpan w:val="6"/>
          </w:tcPr>
          <w:p>
            <w:pPr>
              <w:ind w:left="120"/>
              <w:spacing w:after="0"/>
              <w:rPr>
                <w:sz w:val="20"/>
                <w:szCs w:val="20"/>
                <w:color w:val="auto"/>
              </w:rPr>
            </w:pPr>
            <w:r>
              <w:rPr>
                <w:rFonts w:ascii="Arial" w:cs="Arial" w:eastAsia="Arial" w:hAnsi="Arial"/>
                <w:sz w:val="16"/>
                <w:szCs w:val="16"/>
                <w:color w:val="auto"/>
              </w:rPr>
              <w:t>arising during the period</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133</w:t>
            </w: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1,511</w:t>
            </w:r>
          </w:p>
        </w:tc>
      </w:tr>
      <w:tr>
        <w:trPr>
          <w:trHeight w:val="206"/>
        </w:trPr>
        <w:tc>
          <w:tcPr>
            <w:tcW w:w="7320" w:type="dxa"/>
            <w:vAlign w:val="bottom"/>
            <w:gridSpan w:val="7"/>
            <w:shd w:val="clear" w:color="auto" w:fill="CFF0FC"/>
          </w:tcPr>
          <w:p>
            <w:pPr>
              <w:ind w:left="20"/>
              <w:spacing w:after="0"/>
              <w:rPr>
                <w:sz w:val="20"/>
                <w:szCs w:val="20"/>
                <w:color w:val="auto"/>
              </w:rPr>
            </w:pPr>
            <w:r>
              <w:rPr>
                <w:rFonts w:ascii="Arial" w:cs="Arial" w:eastAsia="Arial" w:hAnsi="Arial"/>
                <w:sz w:val="16"/>
                <w:szCs w:val="16"/>
                <w:color w:val="auto"/>
              </w:rPr>
              <w:t>Reclassification adjustment for net (gains) losses included in net</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19"/>
        </w:trPr>
        <w:tc>
          <w:tcPr>
            <w:tcW w:w="20" w:type="dxa"/>
            <w:vAlign w:val="bottom"/>
            <w:tcBorders>
              <w:bottom w:val="single" w:sz="8" w:color="auto"/>
            </w:tcBorders>
            <w:shd w:val="clear" w:color="auto" w:fill="CFF0FC"/>
          </w:tcPr>
          <w:p>
            <w:pPr>
              <w:spacing w:after="0"/>
              <w:rPr>
                <w:sz w:val="19"/>
                <w:szCs w:val="19"/>
                <w:color w:val="auto"/>
              </w:rPr>
            </w:pPr>
          </w:p>
        </w:tc>
        <w:tc>
          <w:tcPr>
            <w:tcW w:w="7300" w:type="dxa"/>
            <w:vAlign w:val="bottom"/>
            <w:tcBorders>
              <w:bottom w:val="single" w:sz="8" w:color="auto"/>
            </w:tcBorders>
            <w:gridSpan w:val="6"/>
            <w:shd w:val="clear" w:color="auto" w:fill="CFF0FC"/>
          </w:tcPr>
          <w:p>
            <w:pPr>
              <w:ind w:left="120"/>
              <w:spacing w:after="0"/>
              <w:rPr>
                <w:sz w:val="20"/>
                <w:szCs w:val="20"/>
                <w:color w:val="auto"/>
              </w:rPr>
            </w:pPr>
            <w:r>
              <w:rPr>
                <w:rFonts w:ascii="Arial" w:cs="Arial" w:eastAsia="Arial" w:hAnsi="Arial"/>
                <w:sz w:val="16"/>
                <w:szCs w:val="16"/>
                <w:color w:val="auto"/>
              </w:rPr>
              <w:t>income</w:t>
            </w:r>
          </w:p>
        </w:tc>
        <w:tc>
          <w:tcPr>
            <w:tcW w:w="4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(505 )</w:t>
            </w:r>
          </w:p>
        </w:tc>
        <w:tc>
          <w:tcPr>
            <w:tcW w:w="5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06"/>
        </w:trPr>
        <w:tc>
          <w:tcPr>
            <w:tcW w:w="7320" w:type="dxa"/>
            <w:vAlign w:val="bottom"/>
            <w:gridSpan w:val="7"/>
          </w:tcPr>
          <w:p>
            <w:pPr>
              <w:ind w:left="20"/>
              <w:spacing w:after="0"/>
              <w:rPr>
                <w:sz w:val="20"/>
                <w:szCs w:val="20"/>
                <w:color w:val="auto"/>
              </w:rPr>
            </w:pPr>
            <w:r>
              <w:rPr>
                <w:rFonts w:ascii="Arial" w:cs="Arial" w:eastAsia="Arial" w:hAnsi="Arial"/>
                <w:sz w:val="16"/>
                <w:szCs w:val="16"/>
                <w:color w:val="auto"/>
              </w:rPr>
              <w:t>Unrealized losses (gains) on derivatives and hedging arising during</w:t>
            </w: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7300" w:type="dxa"/>
            <w:vAlign w:val="bottom"/>
            <w:tcBorders>
              <w:bottom w:val="single" w:sz="8" w:color="auto"/>
            </w:tcBorders>
            <w:gridSpan w:val="6"/>
          </w:tcPr>
          <w:p>
            <w:pPr>
              <w:ind w:left="120"/>
              <w:spacing w:after="0"/>
              <w:rPr>
                <w:sz w:val="20"/>
                <w:szCs w:val="20"/>
                <w:color w:val="auto"/>
              </w:rPr>
            </w:pPr>
            <w:r>
              <w:rPr>
                <w:rFonts w:ascii="Arial" w:cs="Arial" w:eastAsia="Arial" w:hAnsi="Arial"/>
                <w:sz w:val="16"/>
                <w:szCs w:val="16"/>
                <w:color w:val="auto"/>
              </w:rPr>
              <w:t>the period</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161</w:t>
            </w: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(170 )</w:t>
            </w:r>
          </w:p>
        </w:tc>
      </w:tr>
      <w:tr>
        <w:trPr>
          <w:trHeight w:val="263"/>
        </w:trPr>
        <w:tc>
          <w:tcPr>
            <w:tcW w:w="7320" w:type="dxa"/>
            <w:vAlign w:val="bottom"/>
            <w:tcBorders>
              <w:bottom w:val="single" w:sz="8" w:color="auto"/>
            </w:tcBorders>
            <w:gridSpan w:val="7"/>
            <w:shd w:val="clear" w:color="auto" w:fill="CFF0FC"/>
          </w:tcPr>
          <w:p>
            <w:pPr>
              <w:ind w:left="20"/>
              <w:spacing w:after="0"/>
              <w:rPr>
                <w:sz w:val="20"/>
                <w:szCs w:val="20"/>
                <w:color w:val="auto"/>
              </w:rPr>
            </w:pPr>
            <w:r>
              <w:rPr>
                <w:rFonts w:ascii="Arial" w:cs="Arial" w:eastAsia="Arial" w:hAnsi="Arial"/>
                <w:sz w:val="16"/>
                <w:szCs w:val="16"/>
                <w:color w:val="auto"/>
              </w:rPr>
              <w:t>Income tax effect related to other comprehensive (loss) income</w:t>
            </w: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(225 )</w:t>
            </w:r>
          </w:p>
        </w:tc>
        <w:tc>
          <w:tcPr>
            <w:tcW w:w="5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1,341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 w:name="page6"/>
    <w:bookmarkEnd w:id="5"/>
    <w:p>
      <w:pPr>
        <w:jc w:val="center"/>
        <w:ind w:right="120"/>
        <w:spacing w:after="0"/>
        <w:rPr>
          <w:sz w:val="20"/>
          <w:szCs w:val="20"/>
          <w:color w:val="auto"/>
        </w:rPr>
      </w:pPr>
      <w:r>
        <w:rPr>
          <w:rFonts w:ascii="Arial" w:cs="Arial" w:eastAsia="Arial" w:hAnsi="Arial"/>
          <w:sz w:val="20"/>
          <w:szCs w:val="20"/>
          <w:b w:val="1"/>
          <w:bCs w:val="1"/>
          <w:color w:val="auto"/>
        </w:rPr>
        <w:t>Pathfinder Bancorp,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Consolidated Statements of Changes in Shareholders' Equity</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Three months ended March 31, 2023 and March 31, 2022</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color w:val="auto"/>
              </w:rPr>
              <w:t>Accumulated</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35"/>
        </w:trPr>
        <w:tc>
          <w:tcPr>
            <w:tcW w:w="3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Non-Voting</w:t>
            </w:r>
          </w:p>
        </w:tc>
        <w:tc>
          <w:tcPr>
            <w:tcW w:w="96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Additional</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Other</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Non-</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right"/>
              <w:ind w:right="197"/>
              <w:spacing w:after="0" w:line="135" w:lineRule="exact"/>
              <w:rPr>
                <w:sz w:val="20"/>
                <w:szCs w:val="20"/>
                <w:color w:val="auto"/>
              </w:rPr>
            </w:pPr>
            <w:r>
              <w:rPr>
                <w:rFonts w:ascii="Arial" w:cs="Arial" w:eastAsia="Arial" w:hAnsi="Arial"/>
                <w:sz w:val="13"/>
                <w:szCs w:val="13"/>
                <w:color w:val="auto"/>
                <w:w w:val="87"/>
              </w:rPr>
              <w:t>Common</w:t>
            </w:r>
          </w:p>
        </w:tc>
        <w:tc>
          <w:tcPr>
            <w:tcW w:w="220" w:type="dxa"/>
            <w:vAlign w:val="bottom"/>
          </w:tcPr>
          <w:p>
            <w:pPr>
              <w:spacing w:after="0"/>
              <w:rPr>
                <w:sz w:val="11"/>
                <w:szCs w:val="11"/>
                <w:color w:val="auto"/>
              </w:rPr>
            </w:pPr>
          </w:p>
        </w:tc>
        <w:tc>
          <w:tcPr>
            <w:tcW w:w="740" w:type="dxa"/>
            <w:vAlign w:val="bottom"/>
          </w:tcPr>
          <w:p>
            <w:pPr>
              <w:jc w:val="right"/>
              <w:ind w:right="197"/>
              <w:spacing w:after="0" w:line="135" w:lineRule="exact"/>
              <w:rPr>
                <w:sz w:val="20"/>
                <w:szCs w:val="20"/>
                <w:color w:val="auto"/>
              </w:rPr>
            </w:pPr>
            <w:r>
              <w:rPr>
                <w:rFonts w:ascii="Arial" w:cs="Arial" w:eastAsia="Arial" w:hAnsi="Arial"/>
                <w:sz w:val="13"/>
                <w:szCs w:val="13"/>
                <w:color w:val="auto"/>
                <w:w w:val="87"/>
              </w:rPr>
              <w:t>Common</w:t>
            </w:r>
          </w:p>
        </w:tc>
        <w:tc>
          <w:tcPr>
            <w:tcW w:w="260" w:type="dxa"/>
            <w:vAlign w:val="bottom"/>
          </w:tcPr>
          <w:p>
            <w:pPr>
              <w:spacing w:after="0"/>
              <w:rPr>
                <w:sz w:val="11"/>
                <w:szCs w:val="11"/>
                <w:color w:val="auto"/>
              </w:rPr>
            </w:pPr>
          </w:p>
        </w:tc>
        <w:tc>
          <w:tcPr>
            <w:tcW w:w="700" w:type="dxa"/>
            <w:vAlign w:val="bottom"/>
          </w:tcPr>
          <w:p>
            <w:pPr>
              <w:jc w:val="right"/>
              <w:ind w:right="237"/>
              <w:spacing w:after="0" w:line="135" w:lineRule="exact"/>
              <w:rPr>
                <w:sz w:val="20"/>
                <w:szCs w:val="20"/>
                <w:color w:val="auto"/>
              </w:rPr>
            </w:pPr>
            <w:r>
              <w:rPr>
                <w:rFonts w:ascii="Arial" w:cs="Arial" w:eastAsia="Arial" w:hAnsi="Arial"/>
                <w:sz w:val="13"/>
                <w:szCs w:val="13"/>
                <w:color w:val="auto"/>
                <w:w w:val="95"/>
              </w:rPr>
              <w:t>Paid in</w:t>
            </w:r>
          </w:p>
        </w:tc>
        <w:tc>
          <w:tcPr>
            <w:tcW w:w="240" w:type="dxa"/>
            <w:vAlign w:val="bottom"/>
          </w:tcPr>
          <w:p>
            <w:pPr>
              <w:spacing w:after="0"/>
              <w:rPr>
                <w:sz w:val="11"/>
                <w:szCs w:val="11"/>
                <w:color w:val="auto"/>
              </w:rPr>
            </w:pPr>
          </w:p>
        </w:tc>
        <w:tc>
          <w:tcPr>
            <w:tcW w:w="780" w:type="dxa"/>
            <w:vAlign w:val="bottom"/>
          </w:tcPr>
          <w:p>
            <w:pPr>
              <w:jc w:val="right"/>
              <w:ind w:right="257"/>
              <w:spacing w:after="0" w:line="135" w:lineRule="exact"/>
              <w:rPr>
                <w:sz w:val="20"/>
                <w:szCs w:val="20"/>
                <w:color w:val="auto"/>
              </w:rPr>
            </w:pPr>
            <w:r>
              <w:rPr>
                <w:rFonts w:ascii="Arial" w:cs="Arial" w:eastAsia="Arial" w:hAnsi="Arial"/>
                <w:sz w:val="13"/>
                <w:szCs w:val="13"/>
                <w:color w:val="auto"/>
                <w:w w:val="84"/>
              </w:rPr>
              <w:t>Retained</w:t>
            </w:r>
          </w:p>
        </w:tc>
        <w:tc>
          <w:tcPr>
            <w:tcW w:w="9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Comprehensi</w:t>
            </w:r>
          </w:p>
        </w:tc>
        <w:tc>
          <w:tcPr>
            <w:tcW w:w="180" w:type="dxa"/>
            <w:vAlign w:val="bottom"/>
          </w:tcPr>
          <w:p>
            <w:pPr>
              <w:spacing w:after="0"/>
              <w:rPr>
                <w:sz w:val="11"/>
                <w:szCs w:val="11"/>
                <w:color w:val="auto"/>
              </w:rPr>
            </w:pPr>
          </w:p>
        </w:tc>
        <w:tc>
          <w:tcPr>
            <w:tcW w:w="78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84"/>
              </w:rPr>
              <w:t>Unearned</w:t>
            </w:r>
          </w:p>
        </w:tc>
        <w:tc>
          <w:tcPr>
            <w:tcW w:w="94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controlling</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 except share and per share data)</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Stock</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Stock</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w w:val="98"/>
              </w:rPr>
              <w:t>Capital</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9"/>
              </w:rPr>
              <w:t>Earnings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9"/>
              </w:rPr>
              <w:t>ve Loss</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ESOP</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92"/>
              </w:rPr>
              <w:t>Interest</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Total</w:t>
            </w:r>
          </w:p>
        </w:tc>
      </w:tr>
      <w:tr>
        <w:trPr>
          <w:trHeight w:val="157"/>
        </w:trPr>
        <w:tc>
          <w:tcPr>
            <w:tcW w:w="34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January 1, 2023</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47</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14</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52,101</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71,322</w:t>
            </w:r>
          </w:p>
        </w:tc>
        <w:tc>
          <w:tcPr>
            <w:tcW w:w="2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(12,172 )</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(315 )</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585</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111,582</w:t>
            </w:r>
          </w:p>
        </w:tc>
      </w:tr>
      <w:tr>
        <w:trPr>
          <w:trHeight w:val="161"/>
        </w:trPr>
        <w:tc>
          <w:tcPr>
            <w:tcW w:w="348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24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2,599</w:t>
            </w: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76</w:t>
            </w:r>
          </w:p>
        </w:tc>
        <w:tc>
          <w:tcPr>
            <w:tcW w:w="2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2,675</w:t>
            </w:r>
          </w:p>
        </w:tc>
      </w:tr>
      <w:tr>
        <w:trPr>
          <w:trHeight w:val="163"/>
        </w:trPr>
        <w:tc>
          <w:tcPr>
            <w:tcW w:w="34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Other comprehensive income, net of tax</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638</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638</w:t>
            </w:r>
          </w:p>
        </w:tc>
      </w:tr>
      <w:tr>
        <w:trPr>
          <w:trHeight w:val="161"/>
        </w:trPr>
        <w:tc>
          <w:tcPr>
            <w:tcW w:w="3480" w:type="dxa"/>
            <w:vAlign w:val="bottom"/>
          </w:tcPr>
          <w:p>
            <w:pPr>
              <w:ind w:left="100"/>
              <w:spacing w:after="0"/>
              <w:rPr>
                <w:sz w:val="20"/>
                <w:szCs w:val="20"/>
                <w:color w:val="auto"/>
              </w:rPr>
            </w:pPr>
            <w:r>
              <w:rPr>
                <w:rFonts w:ascii="Arial" w:cs="Arial" w:eastAsia="Arial" w:hAnsi="Arial"/>
                <w:sz w:val="13"/>
                <w:szCs w:val="13"/>
                <w:color w:val="auto"/>
              </w:rPr>
              <w:t>ESOP shares earned (6,111 shares)</w:t>
            </w:r>
          </w:p>
        </w:tc>
        <w:tc>
          <w:tcPr>
            <w:tcW w:w="24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70</w:t>
            </w:r>
          </w:p>
        </w:tc>
        <w:tc>
          <w:tcPr>
            <w:tcW w:w="2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45</w:t>
            </w:r>
          </w:p>
        </w:tc>
        <w:tc>
          <w:tcPr>
            <w:tcW w:w="2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115</w:t>
            </w:r>
          </w:p>
        </w:tc>
      </w:tr>
      <w:tr>
        <w:trPr>
          <w:trHeight w:val="163"/>
        </w:trPr>
        <w:tc>
          <w:tcPr>
            <w:tcW w:w="34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based compensation</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36</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36</w:t>
            </w:r>
          </w:p>
        </w:tc>
      </w:tr>
      <w:tr>
        <w:trPr>
          <w:trHeight w:val="161"/>
        </w:trPr>
        <w:tc>
          <w:tcPr>
            <w:tcW w:w="3480" w:type="dxa"/>
            <w:vAlign w:val="bottom"/>
          </w:tcPr>
          <w:p>
            <w:pPr>
              <w:ind w:left="100"/>
              <w:spacing w:after="0"/>
              <w:rPr>
                <w:sz w:val="20"/>
                <w:szCs w:val="20"/>
                <w:color w:val="auto"/>
              </w:rPr>
            </w:pPr>
            <w:r>
              <w:rPr>
                <w:rFonts w:ascii="Arial" w:cs="Arial" w:eastAsia="Arial" w:hAnsi="Arial"/>
                <w:sz w:val="13"/>
                <w:szCs w:val="13"/>
                <w:color w:val="auto"/>
              </w:rPr>
              <w:t>Common stock dividends declared ($0.09 per share)</w:t>
            </w:r>
          </w:p>
        </w:tc>
        <w:tc>
          <w:tcPr>
            <w:tcW w:w="24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(416 )</w:t>
            </w: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(416 )</w:t>
            </w:r>
          </w:p>
        </w:tc>
      </w:tr>
      <w:tr>
        <w:trPr>
          <w:trHeight w:val="163"/>
        </w:trPr>
        <w:tc>
          <w:tcPr>
            <w:tcW w:w="348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Non-Voting common stock dividends declared ($0.09 per share)</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(124 )</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(124 )</w:t>
            </w:r>
          </w:p>
        </w:tc>
      </w:tr>
      <w:tr>
        <w:trPr>
          <w:trHeight w:val="161"/>
        </w:trPr>
        <w:tc>
          <w:tcPr>
            <w:tcW w:w="3480" w:type="dxa"/>
            <w:vAlign w:val="bottom"/>
          </w:tcPr>
          <w:p>
            <w:pPr>
              <w:ind w:left="100"/>
              <w:spacing w:after="0"/>
              <w:rPr>
                <w:sz w:val="20"/>
                <w:szCs w:val="20"/>
                <w:color w:val="auto"/>
              </w:rPr>
            </w:pPr>
            <w:r>
              <w:rPr>
                <w:rFonts w:ascii="Arial" w:cs="Arial" w:eastAsia="Arial" w:hAnsi="Arial"/>
                <w:sz w:val="13"/>
                <w:szCs w:val="13"/>
                <w:color w:val="auto"/>
              </w:rPr>
              <w:t>Warrant dividends declared ($0.09 per share)</w:t>
            </w:r>
          </w:p>
        </w:tc>
        <w:tc>
          <w:tcPr>
            <w:tcW w:w="24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(11 )</w:t>
            </w: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(11 )</w:t>
            </w:r>
          </w:p>
        </w:tc>
      </w:tr>
      <w:tr>
        <w:trPr>
          <w:trHeight w:val="162"/>
        </w:trPr>
        <w:tc>
          <w:tcPr>
            <w:tcW w:w="34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rPr>
              <w:t>Adoption of ASU 2016-13 Current Expected Credit Losses</w:t>
            </w:r>
          </w:p>
        </w:tc>
        <w:tc>
          <w:tcPr>
            <w:tcW w:w="2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(2,134 )</w:t>
            </w: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(2,134 )</w:t>
            </w:r>
          </w:p>
        </w:tc>
      </w:tr>
      <w:tr>
        <w:trPr>
          <w:trHeight w:val="15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March 31, 2023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52,207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71,236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(11,534 )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(270 )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661</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112,361</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43"/>
        </w:trPr>
        <w:tc>
          <w:tcPr>
            <w:tcW w:w="3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2"/>
        </w:trPr>
        <w:tc>
          <w:tcPr>
            <w:tcW w:w="34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January 1, 2022</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46</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14</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51,044</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60,946</w:t>
            </w:r>
          </w:p>
        </w:tc>
        <w:tc>
          <w:tcPr>
            <w:tcW w:w="2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(1,268 )</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(495 )</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346</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110,633</w:t>
            </w:r>
          </w:p>
        </w:tc>
      </w:tr>
      <w:tr>
        <w:trPr>
          <w:trHeight w:val="161"/>
        </w:trPr>
        <w:tc>
          <w:tcPr>
            <w:tcW w:w="348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24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2,950</w:t>
            </w: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45</w:t>
            </w:r>
          </w:p>
        </w:tc>
        <w:tc>
          <w:tcPr>
            <w:tcW w:w="2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2,995</w:t>
            </w:r>
          </w:p>
        </w:tc>
      </w:tr>
      <w:tr>
        <w:trPr>
          <w:trHeight w:val="163"/>
        </w:trPr>
        <w:tc>
          <w:tcPr>
            <w:tcW w:w="34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Other comprehensive income, net of tax</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(3,790 )</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(3,790 )</w:t>
            </w:r>
          </w:p>
        </w:tc>
      </w:tr>
      <w:tr>
        <w:trPr>
          <w:trHeight w:val="161"/>
        </w:trPr>
        <w:tc>
          <w:tcPr>
            <w:tcW w:w="3480" w:type="dxa"/>
            <w:vAlign w:val="bottom"/>
          </w:tcPr>
          <w:p>
            <w:pPr>
              <w:ind w:left="100"/>
              <w:spacing w:after="0"/>
              <w:rPr>
                <w:sz w:val="20"/>
                <w:szCs w:val="20"/>
                <w:color w:val="auto"/>
              </w:rPr>
            </w:pPr>
            <w:r>
              <w:rPr>
                <w:rFonts w:ascii="Arial" w:cs="Arial" w:eastAsia="Arial" w:hAnsi="Arial"/>
                <w:sz w:val="13"/>
                <w:szCs w:val="13"/>
                <w:color w:val="auto"/>
              </w:rPr>
              <w:t>ESOP shares earned (6,111 shares)</w:t>
            </w:r>
          </w:p>
        </w:tc>
        <w:tc>
          <w:tcPr>
            <w:tcW w:w="24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63</w:t>
            </w:r>
          </w:p>
        </w:tc>
        <w:tc>
          <w:tcPr>
            <w:tcW w:w="2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45</w:t>
            </w:r>
          </w:p>
        </w:tc>
        <w:tc>
          <w:tcPr>
            <w:tcW w:w="2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108</w:t>
            </w:r>
          </w:p>
        </w:tc>
      </w:tr>
      <w:tr>
        <w:trPr>
          <w:trHeight w:val="163"/>
        </w:trPr>
        <w:tc>
          <w:tcPr>
            <w:tcW w:w="34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based compensation</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44</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44</w:t>
            </w:r>
          </w:p>
        </w:tc>
      </w:tr>
      <w:tr>
        <w:trPr>
          <w:trHeight w:val="161"/>
        </w:trPr>
        <w:tc>
          <w:tcPr>
            <w:tcW w:w="3480" w:type="dxa"/>
            <w:vAlign w:val="bottom"/>
          </w:tcPr>
          <w:p>
            <w:pPr>
              <w:ind w:left="100"/>
              <w:spacing w:after="0"/>
              <w:rPr>
                <w:sz w:val="20"/>
                <w:szCs w:val="20"/>
                <w:color w:val="auto"/>
              </w:rPr>
            </w:pPr>
            <w:r>
              <w:rPr>
                <w:rFonts w:ascii="Arial" w:cs="Arial" w:eastAsia="Arial" w:hAnsi="Arial"/>
                <w:sz w:val="13"/>
                <w:szCs w:val="13"/>
                <w:color w:val="auto"/>
              </w:rPr>
              <w:t>Common stock dividends declared ($0.09 per share)</w:t>
            </w:r>
          </w:p>
        </w:tc>
        <w:tc>
          <w:tcPr>
            <w:tcW w:w="24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(409 )</w:t>
            </w: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(409 )</w:t>
            </w:r>
          </w:p>
        </w:tc>
      </w:tr>
      <w:tr>
        <w:trPr>
          <w:trHeight w:val="163"/>
        </w:trPr>
        <w:tc>
          <w:tcPr>
            <w:tcW w:w="348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Non-Voting common stock dividends declared ($0.09 per share)</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(124 )</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(124 )</w:t>
            </w:r>
          </w:p>
        </w:tc>
      </w:tr>
      <w:tr>
        <w:trPr>
          <w:trHeight w:val="161"/>
        </w:trPr>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Warrant dividends declared ($0.09 per share)</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(11 )</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(11 )</w:t>
            </w:r>
          </w:p>
        </w:tc>
      </w:tr>
      <w:tr>
        <w:trPr>
          <w:trHeight w:val="196"/>
        </w:trPr>
        <w:tc>
          <w:tcPr>
            <w:tcW w:w="34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March 31, 2022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46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51,151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FF0FC"/>
          </w:tcPr>
          <w:p>
            <w:pPr>
              <w:jc w:val="right"/>
              <w:ind w:right="117"/>
              <w:spacing w:after="0"/>
              <w:rPr>
                <w:sz w:val="20"/>
                <w:szCs w:val="20"/>
                <w:color w:val="auto"/>
              </w:rPr>
            </w:pPr>
            <w:r>
              <w:rPr>
                <w:rFonts w:ascii="Arial" w:cs="Arial" w:eastAsia="Arial" w:hAnsi="Arial"/>
                <w:sz w:val="13"/>
                <w:szCs w:val="13"/>
                <w:color w:val="auto"/>
              </w:rPr>
              <w:t>63,352</w:t>
            </w:r>
          </w:p>
        </w:tc>
        <w:tc>
          <w:tcPr>
            <w:tcW w:w="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(5,058 )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(450 )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391</w:t>
            </w:r>
          </w:p>
        </w:tc>
        <w:tc>
          <w:tcPr>
            <w:tcW w:w="2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109,446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6</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Pathfinder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7"/>
                <w:szCs w:val="17"/>
                <w:color w:val="auto"/>
                <w:w w:val="95"/>
              </w:rPr>
              <w:t>For the three months ended March 31,</w:t>
            </w:r>
          </w:p>
        </w:tc>
      </w:tr>
      <w:tr>
        <w:trPr>
          <w:trHeight w:val="223"/>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2023</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2022</w:t>
            </w:r>
          </w:p>
        </w:tc>
      </w:tr>
      <w:tr>
        <w:trPr>
          <w:trHeight w:val="229"/>
        </w:trPr>
        <w:tc>
          <w:tcPr>
            <w:tcW w:w="75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Net income attributable to Pathfinder Bancorp, Inc.</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135"/>
              <w:spacing w:after="0"/>
              <w:rPr>
                <w:sz w:val="20"/>
                <w:szCs w:val="20"/>
                <w:color w:val="auto"/>
              </w:rPr>
            </w:pPr>
            <w:r>
              <w:rPr>
                <w:rFonts w:ascii="Arial" w:cs="Arial" w:eastAsia="Arial" w:hAnsi="Arial"/>
                <w:sz w:val="17"/>
                <w:szCs w:val="17"/>
                <w:color w:val="auto"/>
              </w:rPr>
              <w:t>2,599</w:t>
            </w:r>
          </w:p>
        </w:tc>
        <w:tc>
          <w:tcPr>
            <w:tcW w:w="72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2,950</w:t>
            </w:r>
          </w:p>
        </w:tc>
      </w:tr>
      <w:tr>
        <w:trPr>
          <w:trHeight w:val="236"/>
        </w:trPr>
        <w:tc>
          <w:tcPr>
            <w:tcW w:w="7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Adjustments to reconcile net income to net cash flows from operating activities:</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23"/>
        </w:trPr>
        <w:tc>
          <w:tcPr>
            <w:tcW w:w="7540" w:type="dxa"/>
            <w:vAlign w:val="bottom"/>
          </w:tcPr>
          <w:p>
            <w:pPr>
              <w:ind w:left="200"/>
              <w:spacing w:after="0"/>
              <w:rPr>
                <w:sz w:val="20"/>
                <w:szCs w:val="20"/>
                <w:color w:val="auto"/>
              </w:rPr>
            </w:pPr>
            <w:r>
              <w:rPr>
                <w:rFonts w:ascii="Arial" w:cs="Arial" w:eastAsia="Arial" w:hAnsi="Arial"/>
                <w:sz w:val="17"/>
                <w:szCs w:val="17"/>
                <w:color w:val="auto"/>
              </w:rPr>
              <w:t>Provision for credit losses</w:t>
            </w:r>
          </w:p>
        </w:tc>
        <w:tc>
          <w:tcPr>
            <w:tcW w:w="2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7"/>
                <w:szCs w:val="17"/>
                <w:color w:val="auto"/>
              </w:rPr>
              <w:t>692</w:t>
            </w:r>
          </w:p>
        </w:tc>
        <w:tc>
          <w:tcPr>
            <w:tcW w:w="72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102</w:t>
            </w:r>
          </w:p>
        </w:tc>
      </w:tr>
      <w:tr>
        <w:trPr>
          <w:trHeight w:val="236"/>
        </w:trPr>
        <w:tc>
          <w:tcPr>
            <w:tcW w:w="75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sales of loans</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962</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2,782</w:t>
            </w:r>
          </w:p>
        </w:tc>
      </w:tr>
      <w:tr>
        <w:trPr>
          <w:trHeight w:val="223"/>
        </w:trPr>
        <w:tc>
          <w:tcPr>
            <w:tcW w:w="7540" w:type="dxa"/>
            <w:vAlign w:val="bottom"/>
          </w:tcPr>
          <w:p>
            <w:pPr>
              <w:ind w:left="200"/>
              <w:spacing w:after="0"/>
              <w:rPr>
                <w:sz w:val="20"/>
                <w:szCs w:val="20"/>
                <w:color w:val="auto"/>
              </w:rPr>
            </w:pPr>
            <w:r>
              <w:rPr>
                <w:rFonts w:ascii="Arial" w:cs="Arial" w:eastAsia="Arial" w:hAnsi="Arial"/>
                <w:sz w:val="17"/>
                <w:szCs w:val="17"/>
                <w:color w:val="auto"/>
              </w:rPr>
              <w:t>Originations of loans held-for-sale</w:t>
            </w:r>
          </w:p>
        </w:tc>
        <w:tc>
          <w:tcPr>
            <w:tcW w:w="28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Arial" w:cs="Arial" w:eastAsia="Arial" w:hAnsi="Arial"/>
                <w:sz w:val="17"/>
                <w:szCs w:val="17"/>
                <w:color w:val="auto"/>
              </w:rPr>
              <w:t>(918 )</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(2,885 )</w:t>
            </w:r>
          </w:p>
        </w:tc>
      </w:tr>
      <w:tr>
        <w:trPr>
          <w:trHeight w:val="236"/>
        </w:trPr>
        <w:tc>
          <w:tcPr>
            <w:tcW w:w="75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Realized (gains) losses on sales, redemptions and calls of:</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23"/>
        </w:trPr>
        <w:tc>
          <w:tcPr>
            <w:tcW w:w="7540" w:type="dxa"/>
            <w:vAlign w:val="bottom"/>
          </w:tcPr>
          <w:p>
            <w:pPr>
              <w:ind w:left="380"/>
              <w:spacing w:after="0"/>
              <w:rPr>
                <w:sz w:val="20"/>
                <w:szCs w:val="20"/>
                <w:color w:val="auto"/>
              </w:rPr>
            </w:pPr>
            <w:r>
              <w:rPr>
                <w:rFonts w:ascii="Arial" w:cs="Arial" w:eastAsia="Arial" w:hAnsi="Arial"/>
                <w:sz w:val="17"/>
                <w:szCs w:val="17"/>
                <w:color w:val="auto"/>
              </w:rPr>
              <w:t>Loans</w:t>
            </w:r>
          </w:p>
        </w:tc>
        <w:tc>
          <w:tcPr>
            <w:tcW w:w="28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Arial" w:cs="Arial" w:eastAsia="Arial" w:hAnsi="Arial"/>
                <w:sz w:val="17"/>
                <w:szCs w:val="17"/>
                <w:color w:val="auto"/>
              </w:rPr>
              <w:t>(25 )</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(63 )</w:t>
            </w:r>
          </w:p>
        </w:tc>
      </w:tr>
      <w:tr>
        <w:trPr>
          <w:trHeight w:val="236"/>
        </w:trPr>
        <w:tc>
          <w:tcPr>
            <w:tcW w:w="75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Available-for-sale investment securities</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370</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6</w:t>
            </w:r>
          </w:p>
        </w:tc>
      </w:tr>
      <w:tr>
        <w:trPr>
          <w:trHeight w:val="223"/>
        </w:trPr>
        <w:tc>
          <w:tcPr>
            <w:tcW w:w="7540" w:type="dxa"/>
            <w:vAlign w:val="bottom"/>
          </w:tcPr>
          <w:p>
            <w:pPr>
              <w:ind w:left="380"/>
              <w:spacing w:after="0"/>
              <w:rPr>
                <w:sz w:val="20"/>
                <w:szCs w:val="20"/>
                <w:color w:val="auto"/>
              </w:rPr>
            </w:pPr>
            <w:r>
              <w:rPr>
                <w:rFonts w:ascii="Arial" w:cs="Arial" w:eastAsia="Arial" w:hAnsi="Arial"/>
                <w:sz w:val="17"/>
                <w:szCs w:val="17"/>
                <w:color w:val="auto"/>
              </w:rPr>
              <w:t>Held-to-maturity investment securities</w:t>
            </w:r>
          </w:p>
        </w:tc>
        <w:tc>
          <w:tcPr>
            <w:tcW w:w="2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7"/>
                <w:szCs w:val="17"/>
                <w:color w:val="auto"/>
              </w:rPr>
              <w:t>6</w:t>
            </w:r>
          </w:p>
        </w:tc>
        <w:tc>
          <w:tcPr>
            <w:tcW w:w="72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36"/>
        </w:trPr>
        <w:tc>
          <w:tcPr>
            <w:tcW w:w="75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Marketable securities</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(68 )</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7"/>
                <w:szCs w:val="17"/>
                <w:color w:val="auto"/>
              </w:rPr>
              <w:t>355</w:t>
            </w:r>
          </w:p>
        </w:tc>
        <w:tc>
          <w:tcPr>
            <w:tcW w:w="72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384</w:t>
            </w:r>
          </w:p>
        </w:tc>
      </w:tr>
      <w:tr>
        <w:trPr>
          <w:trHeight w:val="236"/>
        </w:trPr>
        <w:tc>
          <w:tcPr>
            <w:tcW w:w="7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Amortization of mortgage servicing rights</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(13 )</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(5 )</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Amortization of deferred loan fees</w:t>
            </w:r>
          </w:p>
        </w:tc>
        <w:tc>
          <w:tcPr>
            <w:tcW w:w="28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Arial" w:cs="Arial" w:eastAsia="Arial" w:hAnsi="Arial"/>
                <w:sz w:val="17"/>
                <w:szCs w:val="17"/>
                <w:color w:val="auto"/>
              </w:rPr>
              <w:t>(74 )</w:t>
            </w:r>
          </w:p>
        </w:tc>
        <w:tc>
          <w:tcPr>
            <w:tcW w:w="72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188</w:t>
            </w:r>
          </w:p>
        </w:tc>
      </w:tr>
      <w:tr>
        <w:trPr>
          <w:trHeight w:val="236"/>
        </w:trPr>
        <w:tc>
          <w:tcPr>
            <w:tcW w:w="7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Amortization of operating leases</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28</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3</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Amortization of deferred financing from subordinated debt</w:t>
            </w:r>
          </w:p>
        </w:tc>
        <w:tc>
          <w:tcPr>
            <w:tcW w:w="2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7"/>
                <w:szCs w:val="17"/>
                <w:color w:val="auto"/>
              </w:rPr>
              <w:t>44</w:t>
            </w:r>
          </w:p>
        </w:tc>
        <w:tc>
          <w:tcPr>
            <w:tcW w:w="72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41</w:t>
            </w:r>
          </w:p>
        </w:tc>
      </w:tr>
      <w:tr>
        <w:trPr>
          <w:trHeight w:val="236"/>
        </w:trPr>
        <w:tc>
          <w:tcPr>
            <w:tcW w:w="7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Earnings on bank owned life insurance</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(158 )</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(162 )</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Net amortization of premiums and discounts on investment securities</w:t>
            </w:r>
          </w:p>
        </w:tc>
        <w:tc>
          <w:tcPr>
            <w:tcW w:w="2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7"/>
                <w:szCs w:val="17"/>
                <w:color w:val="auto"/>
              </w:rPr>
              <w:t>769</w:t>
            </w:r>
          </w:p>
        </w:tc>
        <w:tc>
          <w:tcPr>
            <w:tcW w:w="72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702</w:t>
            </w:r>
          </w:p>
        </w:tc>
      </w:tr>
      <w:tr>
        <w:trPr>
          <w:trHeight w:val="236"/>
        </w:trPr>
        <w:tc>
          <w:tcPr>
            <w:tcW w:w="7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Amortization of intangible assets</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5</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5</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Stock based compensation and ESOP expense</w:t>
            </w:r>
          </w:p>
        </w:tc>
        <w:tc>
          <w:tcPr>
            <w:tcW w:w="2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7"/>
                <w:szCs w:val="17"/>
                <w:color w:val="auto"/>
              </w:rPr>
              <w:t>151</w:t>
            </w:r>
          </w:p>
        </w:tc>
        <w:tc>
          <w:tcPr>
            <w:tcW w:w="72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152</w:t>
            </w:r>
          </w:p>
        </w:tc>
      </w:tr>
      <w:tr>
        <w:trPr>
          <w:trHeight w:val="236"/>
        </w:trPr>
        <w:tc>
          <w:tcPr>
            <w:tcW w:w="7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change in accrued interest receivable</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543</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(220 )</w:t>
            </w:r>
          </w:p>
        </w:tc>
      </w:tr>
      <w:tr>
        <w:trPr>
          <w:trHeight w:val="223"/>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change in other assets and liabilities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708</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189</w:t>
            </w:r>
          </w:p>
        </w:tc>
      </w:tr>
      <w:tr>
        <w:trPr>
          <w:trHeight w:val="225"/>
        </w:trPr>
        <w:tc>
          <w:tcPr>
            <w:tcW w:w="754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7"/>
                <w:szCs w:val="17"/>
                <w:b w:val="1"/>
                <w:bCs w:val="1"/>
                <w:color w:val="auto"/>
              </w:rPr>
              <w:t>Net cash flows from operating activities</w:t>
            </w:r>
          </w:p>
        </w:tc>
        <w:tc>
          <w:tcPr>
            <w:tcW w:w="2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rPr>
              <w:t>6,045</w:t>
            </w:r>
          </w:p>
        </w:tc>
        <w:tc>
          <w:tcPr>
            <w:tcW w:w="7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4,101</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7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Purchase of investment securities available-for-sale</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(12,882 )</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(21,026 )</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Purchase of investment securities held-to-maturity</w:t>
            </w:r>
          </w:p>
        </w:tc>
        <w:tc>
          <w:tcPr>
            <w:tcW w:w="28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Arial" w:cs="Arial" w:eastAsia="Arial" w:hAnsi="Arial"/>
                <w:sz w:val="17"/>
                <w:szCs w:val="17"/>
                <w:color w:val="auto"/>
              </w:rPr>
              <w:t>(8,999 )</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(13,957 )</w:t>
            </w:r>
          </w:p>
        </w:tc>
      </w:tr>
      <w:tr>
        <w:trPr>
          <w:trHeight w:val="236"/>
        </w:trPr>
        <w:tc>
          <w:tcPr>
            <w:tcW w:w="7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Purchase of Federal Home Loan Bank stock</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(2,637 )</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(29 )</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Proceeds from redemption of Federal Home Loan Bank stock</w:t>
            </w:r>
          </w:p>
        </w:tc>
        <w:tc>
          <w:tcPr>
            <w:tcW w:w="2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7"/>
                <w:szCs w:val="17"/>
                <w:color w:val="auto"/>
              </w:rPr>
              <w:t>3,393</w:t>
            </w:r>
          </w:p>
        </w:tc>
        <w:tc>
          <w:tcPr>
            <w:tcW w:w="72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685</w:t>
            </w:r>
          </w:p>
        </w:tc>
      </w:tr>
      <w:tr>
        <w:trPr>
          <w:trHeight w:val="236"/>
        </w:trPr>
        <w:tc>
          <w:tcPr>
            <w:tcW w:w="7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Purchase of marketable securities</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(264 )</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(504 )</w:t>
            </w:r>
          </w:p>
        </w:tc>
      </w:tr>
      <w:tr>
        <w:trPr>
          <w:trHeight w:val="198"/>
        </w:trPr>
        <w:tc>
          <w:tcPr>
            <w:tcW w:w="7540" w:type="dxa"/>
            <w:vAlign w:val="bottom"/>
          </w:tcPr>
          <w:p>
            <w:pPr>
              <w:ind w:left="20"/>
              <w:spacing w:after="0"/>
              <w:rPr>
                <w:sz w:val="20"/>
                <w:szCs w:val="20"/>
                <w:color w:val="auto"/>
              </w:rPr>
            </w:pPr>
            <w:r>
              <w:rPr>
                <w:rFonts w:ascii="Arial" w:cs="Arial" w:eastAsia="Arial" w:hAnsi="Arial"/>
                <w:sz w:val="17"/>
                <w:szCs w:val="17"/>
                <w:color w:val="auto"/>
              </w:rPr>
              <w:t>Proceeds from maturities and principal reductions of investment securities</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5"/>
        </w:trPr>
        <w:tc>
          <w:tcPr>
            <w:tcW w:w="7540" w:type="dxa"/>
            <w:vAlign w:val="bottom"/>
          </w:tcPr>
          <w:p>
            <w:pPr>
              <w:ind w:left="140"/>
              <w:spacing w:after="0"/>
              <w:rPr>
                <w:sz w:val="20"/>
                <w:szCs w:val="20"/>
                <w:color w:val="auto"/>
              </w:rPr>
            </w:pPr>
            <w:r>
              <w:rPr>
                <w:rFonts w:ascii="Arial" w:cs="Arial" w:eastAsia="Arial" w:hAnsi="Arial"/>
                <w:sz w:val="17"/>
                <w:szCs w:val="17"/>
                <w:color w:val="auto"/>
              </w:rPr>
              <w:t>available-for-sale</w:t>
            </w:r>
          </w:p>
        </w:tc>
        <w:tc>
          <w:tcPr>
            <w:tcW w:w="2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7"/>
                <w:szCs w:val="17"/>
                <w:color w:val="auto"/>
              </w:rPr>
              <w:t>2,341</w:t>
            </w:r>
          </w:p>
        </w:tc>
        <w:tc>
          <w:tcPr>
            <w:tcW w:w="72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4,174</w:t>
            </w:r>
          </w:p>
        </w:tc>
      </w:tr>
      <w:tr>
        <w:trPr>
          <w:trHeight w:val="207"/>
        </w:trPr>
        <w:tc>
          <w:tcPr>
            <w:tcW w:w="7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Proceeds from maturities and principal reductions of investment securities</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34"/>
        </w:trPr>
        <w:tc>
          <w:tcPr>
            <w:tcW w:w="7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held-to-maturity</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1,682</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6,736</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Proceeds from sales, redemptions and calls of:</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6"/>
        </w:trPr>
        <w:tc>
          <w:tcPr>
            <w:tcW w:w="75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Available-for-sale investment securities</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17,396</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r>
      <w:tr>
        <w:trPr>
          <w:trHeight w:val="223"/>
        </w:trPr>
        <w:tc>
          <w:tcPr>
            <w:tcW w:w="7540" w:type="dxa"/>
            <w:vAlign w:val="bottom"/>
          </w:tcPr>
          <w:p>
            <w:pPr>
              <w:ind w:left="200"/>
              <w:spacing w:after="0"/>
              <w:rPr>
                <w:sz w:val="20"/>
                <w:szCs w:val="20"/>
                <w:color w:val="auto"/>
              </w:rPr>
            </w:pPr>
            <w:r>
              <w:rPr>
                <w:rFonts w:ascii="Arial" w:cs="Arial" w:eastAsia="Arial" w:hAnsi="Arial"/>
                <w:sz w:val="17"/>
                <w:szCs w:val="17"/>
                <w:color w:val="auto"/>
              </w:rPr>
              <w:t>Held-to-maturity investment securities</w:t>
            </w:r>
          </w:p>
        </w:tc>
        <w:tc>
          <w:tcPr>
            <w:tcW w:w="2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Arial" w:cs="Arial" w:eastAsia="Arial" w:hAnsi="Arial"/>
                <w:sz w:val="17"/>
                <w:szCs w:val="17"/>
                <w:color w:val="auto"/>
              </w:rPr>
              <w:t>39</w:t>
            </w:r>
          </w:p>
        </w:tc>
        <w:tc>
          <w:tcPr>
            <w:tcW w:w="72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50</w:t>
            </w:r>
          </w:p>
        </w:tc>
      </w:tr>
      <w:tr>
        <w:trPr>
          <w:trHeight w:val="236"/>
        </w:trPr>
        <w:tc>
          <w:tcPr>
            <w:tcW w:w="75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Marketable securities</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19</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Net change in loans</w:t>
            </w:r>
          </w:p>
        </w:tc>
        <w:tc>
          <w:tcPr>
            <w:tcW w:w="28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Arial" w:cs="Arial" w:eastAsia="Arial" w:hAnsi="Arial"/>
                <w:sz w:val="17"/>
                <w:szCs w:val="17"/>
                <w:color w:val="auto"/>
              </w:rPr>
              <w:t>(10,468 )</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(23,350 )</w:t>
            </w:r>
          </w:p>
        </w:tc>
      </w:tr>
      <w:tr>
        <w:trPr>
          <w:trHeight w:val="230"/>
        </w:trPr>
        <w:tc>
          <w:tcPr>
            <w:tcW w:w="7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Purchase of premises and equipment</w:t>
            </w:r>
          </w:p>
        </w:tc>
        <w:tc>
          <w:tcPr>
            <w:tcW w:w="2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(168 )</w:t>
            </w:r>
          </w:p>
        </w:tc>
        <w:tc>
          <w:tcPr>
            <w:tcW w:w="7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(635 )</w:t>
            </w:r>
          </w:p>
        </w:tc>
      </w:tr>
      <w:tr>
        <w:trPr>
          <w:trHeight w:val="225"/>
        </w:trPr>
        <w:tc>
          <w:tcPr>
            <w:tcW w:w="7540" w:type="dxa"/>
            <w:vAlign w:val="bottom"/>
            <w:tcBorders>
              <w:bottom w:val="single" w:sz="8" w:color="auto"/>
            </w:tcBorders>
          </w:tcPr>
          <w:p>
            <w:pPr>
              <w:ind w:left="480"/>
              <w:spacing w:after="0"/>
              <w:rPr>
                <w:sz w:val="20"/>
                <w:szCs w:val="20"/>
                <w:color w:val="auto"/>
              </w:rPr>
            </w:pPr>
            <w:r>
              <w:rPr>
                <w:rFonts w:ascii="Arial" w:cs="Arial" w:eastAsia="Arial" w:hAnsi="Arial"/>
                <w:sz w:val="17"/>
                <w:szCs w:val="17"/>
                <w:b w:val="1"/>
                <w:bCs w:val="1"/>
                <w:color w:val="auto"/>
              </w:rPr>
              <w:t>Net cash outflows from investing activities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(10,567 )</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(47,837 )</w:t>
            </w:r>
          </w:p>
        </w:tc>
      </w:tr>
      <w:tr>
        <w:trPr>
          <w:trHeight w:val="430"/>
        </w:trPr>
        <w:tc>
          <w:tcPr>
            <w:tcW w:w="7540" w:type="dxa"/>
            <w:vAlign w:val="bottom"/>
          </w:tcPr>
          <w:p>
            <w:pPr>
              <w:ind w:left="5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7</w:t>
            </w:r>
            <w:r>
              <w:rPr>
                <w:rFonts w:ascii="Arial" w:cs="Arial" w:eastAsia="Arial" w:hAnsi="Arial"/>
                <w:sz w:val="18"/>
                <w:szCs w:val="18"/>
                <w:color w:val="auto"/>
              </w:rPr>
              <w:t xml:space="preserve"> -</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7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t>FINANCING ACTIVITIES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tcPr>
          <w:p>
            <w:pPr>
              <w:ind w:left="20"/>
              <w:spacing w:after="0"/>
              <w:rPr>
                <w:sz w:val="20"/>
                <w:szCs w:val="20"/>
                <w:color w:val="auto"/>
              </w:rPr>
            </w:pPr>
            <w:r>
              <w:rPr>
                <w:rFonts w:ascii="Arial" w:cs="Arial" w:eastAsia="Arial" w:hAnsi="Arial"/>
                <w:sz w:val="17"/>
                <w:szCs w:val="17"/>
                <w:color w:val="auto"/>
              </w:rPr>
              <w:t>Net change in demand deposits, NOW accounts, savings accounts, money management</w:t>
            </w: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5"/>
        </w:trPr>
        <w:tc>
          <w:tcPr>
            <w:tcW w:w="6780" w:type="dxa"/>
            <w:vAlign w:val="bottom"/>
          </w:tcPr>
          <w:p>
            <w:pPr>
              <w:ind w:left="140"/>
              <w:spacing w:after="0"/>
              <w:rPr>
                <w:sz w:val="20"/>
                <w:szCs w:val="20"/>
                <w:color w:val="auto"/>
              </w:rPr>
            </w:pPr>
            <w:r>
              <w:rPr>
                <w:rFonts w:ascii="Arial" w:cs="Arial" w:eastAsia="Arial" w:hAnsi="Arial"/>
                <w:sz w:val="17"/>
                <w:szCs w:val="17"/>
                <w:color w:val="auto"/>
              </w:rPr>
              <w:t>deposit accounts, MMDA accounts and escrow deposits</w:t>
            </w:r>
          </w:p>
        </w:tc>
        <w:tc>
          <w:tcPr>
            <w:tcW w:w="134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(16,091 )</w:t>
            </w:r>
          </w:p>
        </w:tc>
        <w:tc>
          <w:tcPr>
            <w:tcW w:w="72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54,191</w:t>
            </w:r>
          </w:p>
        </w:tc>
      </w:tr>
      <w:tr>
        <w:trPr>
          <w:trHeight w:val="238"/>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change in time deposits</w:t>
            </w:r>
          </w:p>
        </w:tc>
        <w:tc>
          <w:tcPr>
            <w:tcW w:w="1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37,991</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4,616</w:t>
            </w:r>
          </w:p>
        </w:tc>
      </w:tr>
      <w:tr>
        <w:trPr>
          <w:trHeight w:val="223"/>
        </w:trPr>
        <w:tc>
          <w:tcPr>
            <w:tcW w:w="6780" w:type="dxa"/>
            <w:vAlign w:val="bottom"/>
          </w:tcPr>
          <w:p>
            <w:pPr>
              <w:ind w:left="20"/>
              <w:spacing w:after="0"/>
              <w:rPr>
                <w:sz w:val="20"/>
                <w:szCs w:val="20"/>
                <w:color w:val="auto"/>
              </w:rPr>
            </w:pPr>
            <w:r>
              <w:rPr>
                <w:rFonts w:ascii="Arial" w:cs="Arial" w:eastAsia="Arial" w:hAnsi="Arial"/>
                <w:sz w:val="17"/>
                <w:szCs w:val="17"/>
                <w:color w:val="auto"/>
              </w:rPr>
              <w:t>Net change in brokered deposits</w:t>
            </w:r>
          </w:p>
        </w:tc>
        <w:tc>
          <w:tcPr>
            <w:tcW w:w="134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(3,068 )</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(76 )</w:t>
            </w:r>
          </w:p>
        </w:tc>
      </w:tr>
      <w:tr>
        <w:trPr>
          <w:trHeight w:val="236"/>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change in short-term borrowings</w:t>
            </w:r>
          </w:p>
        </w:tc>
        <w:tc>
          <w:tcPr>
            <w:tcW w:w="1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(16,797 )</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(10,000 )</w:t>
            </w:r>
          </w:p>
        </w:tc>
      </w:tr>
      <w:tr>
        <w:trPr>
          <w:trHeight w:val="223"/>
        </w:trPr>
        <w:tc>
          <w:tcPr>
            <w:tcW w:w="6780" w:type="dxa"/>
            <w:vAlign w:val="bottom"/>
          </w:tcPr>
          <w:p>
            <w:pPr>
              <w:ind w:left="20"/>
              <w:spacing w:after="0"/>
              <w:rPr>
                <w:sz w:val="20"/>
                <w:szCs w:val="20"/>
                <w:color w:val="auto"/>
              </w:rPr>
            </w:pPr>
            <w:r>
              <w:rPr>
                <w:rFonts w:ascii="Arial" w:cs="Arial" w:eastAsia="Arial" w:hAnsi="Arial"/>
                <w:sz w:val="17"/>
                <w:szCs w:val="17"/>
                <w:color w:val="auto"/>
              </w:rPr>
              <w:t>Payments on long-term borrowings</w:t>
            </w:r>
          </w:p>
        </w:tc>
        <w:tc>
          <w:tcPr>
            <w:tcW w:w="134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(2,700 )</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(5,227 )</w:t>
            </w:r>
          </w:p>
        </w:tc>
      </w:tr>
      <w:tr>
        <w:trPr>
          <w:trHeight w:val="236"/>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Proceeds from long-term borrowings</w:t>
            </w:r>
          </w:p>
        </w:tc>
        <w:tc>
          <w:tcPr>
            <w:tcW w:w="1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2,705</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650</w:t>
            </w:r>
          </w:p>
        </w:tc>
      </w:tr>
      <w:tr>
        <w:trPr>
          <w:trHeight w:val="223"/>
        </w:trPr>
        <w:tc>
          <w:tcPr>
            <w:tcW w:w="6780" w:type="dxa"/>
            <w:vAlign w:val="bottom"/>
          </w:tcPr>
          <w:p>
            <w:pPr>
              <w:ind w:left="20"/>
              <w:spacing w:after="0"/>
              <w:rPr>
                <w:sz w:val="20"/>
                <w:szCs w:val="20"/>
                <w:color w:val="auto"/>
              </w:rPr>
            </w:pPr>
            <w:r>
              <w:rPr>
                <w:rFonts w:ascii="Arial" w:cs="Arial" w:eastAsia="Arial" w:hAnsi="Arial"/>
                <w:sz w:val="17"/>
                <w:szCs w:val="17"/>
                <w:color w:val="auto"/>
              </w:rPr>
              <w:t>Cash dividends paid to common voting shareholders</w:t>
            </w:r>
          </w:p>
        </w:tc>
        <w:tc>
          <w:tcPr>
            <w:tcW w:w="134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(419 )</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(322 )</w:t>
            </w:r>
          </w:p>
        </w:tc>
      </w:tr>
      <w:tr>
        <w:trPr>
          <w:trHeight w:val="236"/>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Cash dividends paid to common non-voting shareholders</w:t>
            </w:r>
          </w:p>
        </w:tc>
        <w:tc>
          <w:tcPr>
            <w:tcW w:w="1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(124 )</w:t>
            </w: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(97 )</w:t>
            </w:r>
          </w:p>
        </w:tc>
      </w:tr>
      <w:tr>
        <w:trPr>
          <w:trHeight w:val="223"/>
        </w:trPr>
        <w:tc>
          <w:tcPr>
            <w:tcW w:w="6780" w:type="dxa"/>
            <w:vAlign w:val="bottom"/>
          </w:tcPr>
          <w:p>
            <w:pPr>
              <w:ind w:left="20"/>
              <w:spacing w:after="0"/>
              <w:rPr>
                <w:sz w:val="20"/>
                <w:szCs w:val="20"/>
                <w:color w:val="auto"/>
              </w:rPr>
            </w:pPr>
            <w:r>
              <w:rPr>
                <w:rFonts w:ascii="Arial" w:cs="Arial" w:eastAsia="Arial" w:hAnsi="Arial"/>
                <w:sz w:val="17"/>
                <w:szCs w:val="17"/>
                <w:color w:val="auto"/>
              </w:rPr>
              <w:t>Cash dividends paid on warrants</w:t>
            </w:r>
          </w:p>
        </w:tc>
        <w:tc>
          <w:tcPr>
            <w:tcW w:w="134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(11 )</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(9 )</w:t>
            </w:r>
          </w:p>
        </w:tc>
      </w:tr>
      <w:tr>
        <w:trPr>
          <w:trHeight w:val="230"/>
        </w:trPr>
        <w:tc>
          <w:tcPr>
            <w:tcW w:w="67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Change in noncontrolling interest, net</w:t>
            </w:r>
          </w:p>
        </w:tc>
        <w:tc>
          <w:tcPr>
            <w:tcW w:w="1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rPr>
              <w:t>76</w:t>
            </w:r>
          </w:p>
        </w:tc>
        <w:tc>
          <w:tcPr>
            <w:tcW w:w="7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45</w:t>
            </w:r>
          </w:p>
        </w:tc>
      </w:tr>
      <w:tr>
        <w:trPr>
          <w:trHeight w:val="225"/>
        </w:trPr>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7"/>
                <w:szCs w:val="17"/>
                <w:b w:val="1"/>
                <w:bCs w:val="1"/>
                <w:color w:val="auto"/>
              </w:rPr>
              <w:t>Net cash flows from financing activities</w:t>
            </w:r>
          </w:p>
        </w:tc>
        <w:tc>
          <w:tcPr>
            <w:tcW w:w="1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1,562</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43,771</w:t>
            </w:r>
          </w:p>
        </w:tc>
      </w:tr>
      <w:tr>
        <w:trPr>
          <w:trHeight w:val="228"/>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Change in cash and cash equivalents</w:t>
            </w:r>
          </w:p>
        </w:tc>
        <w:tc>
          <w:tcPr>
            <w:tcW w:w="1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(2,961 )</w:t>
            </w: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35</w:t>
            </w:r>
          </w:p>
        </w:tc>
      </w:tr>
      <w:tr>
        <w:trPr>
          <w:trHeight w:val="223"/>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1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35,282</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37,149</w:t>
            </w:r>
          </w:p>
        </w:tc>
      </w:tr>
      <w:tr>
        <w:trPr>
          <w:trHeight w:val="265"/>
        </w:trPr>
        <w:tc>
          <w:tcPr>
            <w:tcW w:w="67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340" w:type="dxa"/>
            <w:vAlign w:val="bottom"/>
            <w:tcBorders>
              <w:bottom w:val="single" w:sz="8" w:color="auto"/>
            </w:tcBorders>
            <w:shd w:val="clear" w:color="auto" w:fill="CFF0FC"/>
          </w:tcPr>
          <w:p>
            <w:pPr>
              <w:jc w:val="right"/>
              <w:ind w:right="39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rPr>
              <w:t>32,321</w:t>
            </w:r>
          </w:p>
        </w:tc>
        <w:tc>
          <w:tcPr>
            <w:tcW w:w="720" w:type="dxa"/>
            <w:vAlign w:val="bottom"/>
            <w:tcBorders>
              <w:bottom w:val="single" w:sz="8" w:color="auto"/>
            </w:tcBorders>
            <w:shd w:val="clear" w:color="auto" w:fill="CFF0FC"/>
          </w:tcPr>
          <w:p>
            <w:pPr>
              <w:jc w:val="right"/>
              <w:ind w:right="41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37,184</w:t>
            </w:r>
          </w:p>
        </w:tc>
      </w:tr>
      <w:tr>
        <w:trPr>
          <w:trHeight w:val="210"/>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CASH PAID DURING THE PERIOD FOR:</w:t>
            </w: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67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Interest</w:t>
            </w:r>
          </w:p>
        </w:tc>
        <w:tc>
          <w:tcPr>
            <w:tcW w:w="1340" w:type="dxa"/>
            <w:vAlign w:val="bottom"/>
            <w:shd w:val="clear" w:color="auto" w:fill="CFF0FC"/>
          </w:tcPr>
          <w:p>
            <w:pPr>
              <w:jc w:val="right"/>
              <w:ind w:right="39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493</w:t>
            </w:r>
          </w:p>
        </w:tc>
        <w:tc>
          <w:tcPr>
            <w:tcW w:w="720" w:type="dxa"/>
            <w:vAlign w:val="bottom"/>
            <w:shd w:val="clear" w:color="auto" w:fill="CFF0FC"/>
          </w:tcPr>
          <w:p>
            <w:pPr>
              <w:jc w:val="right"/>
              <w:ind w:right="41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1,499</w:t>
            </w:r>
          </w:p>
        </w:tc>
      </w:tr>
      <w:tr>
        <w:trPr>
          <w:trHeight w:val="223"/>
        </w:trPr>
        <w:tc>
          <w:tcPr>
            <w:tcW w:w="6780" w:type="dxa"/>
            <w:vAlign w:val="bottom"/>
          </w:tcPr>
          <w:p>
            <w:pPr>
              <w:ind w:left="200"/>
              <w:spacing w:after="0"/>
              <w:rPr>
                <w:sz w:val="20"/>
                <w:szCs w:val="20"/>
                <w:color w:val="auto"/>
              </w:rPr>
            </w:pPr>
            <w:r>
              <w:rPr>
                <w:rFonts w:ascii="Arial" w:cs="Arial" w:eastAsia="Arial" w:hAnsi="Arial"/>
                <w:sz w:val="17"/>
                <w:szCs w:val="17"/>
                <w:color w:val="auto"/>
              </w:rPr>
              <w:t>Income taxes</w:t>
            </w:r>
          </w:p>
        </w:tc>
        <w:tc>
          <w:tcPr>
            <w:tcW w:w="134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36"/>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RESTRICTED CASH</w:t>
            </w:r>
          </w:p>
        </w:tc>
        <w:tc>
          <w:tcPr>
            <w:tcW w:w="1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16"/>
        </w:trPr>
        <w:tc>
          <w:tcPr>
            <w:tcW w:w="6780" w:type="dxa"/>
            <w:vAlign w:val="bottom"/>
          </w:tcPr>
          <w:p>
            <w:pPr>
              <w:ind w:left="200"/>
              <w:spacing w:after="0"/>
              <w:rPr>
                <w:sz w:val="20"/>
                <w:szCs w:val="20"/>
                <w:color w:val="auto"/>
              </w:rPr>
            </w:pPr>
            <w:r>
              <w:rPr>
                <w:rFonts w:ascii="Arial" w:cs="Arial" w:eastAsia="Arial" w:hAnsi="Arial"/>
                <w:sz w:val="17"/>
                <w:szCs w:val="17"/>
                <w:color w:val="auto"/>
              </w:rPr>
              <w:t>Collateral deposits for hedge position included in cash and due from banks</w:t>
            </w:r>
          </w:p>
        </w:tc>
        <w:tc>
          <w:tcPr>
            <w:tcW w:w="134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Arial" w:cs="Arial" w:eastAsia="Arial" w:hAnsi="Arial"/>
                <w:sz w:val="17"/>
                <w:szCs w:val="17"/>
                <w:color w:val="auto"/>
              </w:rPr>
              <w:t>1,600</w:t>
            </w:r>
          </w:p>
        </w:tc>
        <w:tc>
          <w:tcPr>
            <w:tcW w:w="72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1,600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8</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Notes to Consolidated Financial Statements (Unaudited)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Basis of Presentation</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accompanying unaudited consolidated financial statements of Pathfinder Bancorp, Inc., (the “Company”), Pathfinder Bank (the “Bank”) and its other wholly owned subsidiaries have been prepared in accordance with accounting principles generally accepted in the United States of America for interim financial information, the instructions for Form 10-Q and Article 8 of Regulation S-X. Accordingly, they do not include all of the information and footnotes necessary for a complete presentation of consolidated financial condition, results of operations and cash flows in conformity with generally accepted accounting principles. In the opinion of management, all adjustments, consisting of normal recurring accruals considered necessary for a fair presentation, have been included. Certain amounts in the 2022 consolidated financial statements may have been reclassified to conform to the current period presentation. These reclassifications had no effect on net income or comprehensive income as previously reported. Operating results for the three months ended March 31, 2023 are not necessarily indicative of the results that may be expected for the full year ending December 31, 2023 or any other interim period.</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Although the Company owns, through its subsidiary Pathfinder Risk Management Company, Inc., 51% of the membership interest in FitzGibbons Agency, LLC (“Agency”), the Company is required to consolidate 100% of the Agency within the consolidated financial statements. The 49% of which the Company does not own is accounted for separately as noncontrolling interests within the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9</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Note 2:  New Accounting Pronouncements</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Financial Accounting Standards Board (“FASB”) and, to a lesser extent, other authoritative rulemaking bodies promulgate generally accepted accounting principles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the accounting standards that are not currently effective, but could have an impact on the Company's consolidated financial statements upon adoption.</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Standards Adopted as of March 31, 2023</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660" w:type="dxa"/>
            <w:vAlign w:val="bottom"/>
            <w:tcBorders>
              <w:top w:val="single" w:sz="8" w:color="auto"/>
              <w:left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Standard</w:t>
            </w:r>
          </w:p>
        </w:tc>
        <w:tc>
          <w:tcPr>
            <w:tcW w:w="5460" w:type="dxa"/>
            <w:vAlign w:val="bottom"/>
            <w:tcBorders>
              <w:top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Description</w:t>
            </w:r>
          </w:p>
        </w:tc>
        <w:tc>
          <w:tcPr>
            <w:tcW w:w="1600" w:type="dxa"/>
            <w:vAlign w:val="bottom"/>
            <w:tcBorders>
              <w:top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Required Date</w:t>
            </w:r>
          </w:p>
        </w:tc>
        <w:tc>
          <w:tcPr>
            <w:tcW w:w="2520" w:type="dxa"/>
            <w:vAlign w:val="bottom"/>
            <w:tcBorders>
              <w:top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Effect on Consolidated</w:t>
            </w:r>
          </w:p>
        </w:tc>
      </w:tr>
      <w:tr>
        <w:trPr>
          <w:trHeight w:val="241"/>
        </w:trPr>
        <w:tc>
          <w:tcPr>
            <w:tcW w:w="166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5460" w:type="dxa"/>
            <w:vAlign w:val="bottom"/>
            <w:tcBorders>
              <w:bottom w:val="single" w:sz="8" w:color="auto"/>
              <w:right w:val="single" w:sz="8" w:color="auto"/>
            </w:tcBorders>
            <w:shd w:val="clear" w:color="auto" w:fill="CFF0FC"/>
          </w:tcPr>
          <w:p>
            <w:pPr>
              <w:spacing w:after="0"/>
              <w:rPr>
                <w:sz w:val="20"/>
                <w:szCs w:val="20"/>
                <w:color w:val="auto"/>
              </w:rPr>
            </w:pPr>
          </w:p>
        </w:tc>
        <w:tc>
          <w:tcPr>
            <w:tcW w:w="160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of Implementation</w:t>
            </w:r>
          </w:p>
        </w:tc>
        <w:tc>
          <w:tcPr>
            <w:tcW w:w="252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Financial Statements</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color w:val="auto"/>
              </w:rPr>
              <w:t>Measurement of Credit</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3"/>
              </w:rPr>
              <w:t>The amended guidance replaced the previously-required (through December 31, 2022)</w:t>
            </w:r>
          </w:p>
        </w:tc>
        <w:tc>
          <w:tcPr>
            <w:tcW w:w="160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January 1, 2023</w:t>
            </w: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The Company adopted the new</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color w:val="auto"/>
              </w:rPr>
              <w:t>Losses on Financial</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9"/>
              </w:rPr>
              <w:t>incurred loss model for determining the allowance for credit losses with the current</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7"/>
              </w:rPr>
              <w:t>guidance on January 1, 2023. On that</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color w:val="auto"/>
              </w:rPr>
              <w:t xml:space="preserve">Instruments </w:t>
            </w:r>
            <w:r>
              <w:rPr>
                <w:rFonts w:ascii="Arial" w:cs="Arial" w:eastAsia="Arial" w:hAnsi="Arial"/>
                <w:sz w:val="15"/>
                <w:szCs w:val="15"/>
                <w:i w:val="1"/>
                <w:iCs w:val="1"/>
                <w:color w:val="auto"/>
              </w:rPr>
              <w:t>(ASU</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expected credit loss ("CECL") model. The new guidance requires financial assets</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7"/>
              </w:rPr>
              <w:t>date, the Company recorded one-time</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2016-13: Financial</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2"/>
              </w:rPr>
              <w:t>measured at amortized cost to be presented at the net amount expected to be collected.</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9"/>
              </w:rPr>
              <w:t>CECL transition adjustments, thereby</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Instruments—Credit</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7"/>
              </w:rPr>
              <w:t>The allowance for credit losses now represents a valuation account that is deducted</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2"/>
              </w:rPr>
              <w:t>increasing the Company's allowance for</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Losses [Topic 326]:</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4"/>
              </w:rPr>
              <w:t>from the amortized cost basis of the financial assets to present their net carrying value</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9"/>
              </w:rPr>
              <w:t>credit losses on loans by $1.9 million,</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Measurement of Credit</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at the amount expected to be collected. The income statement will now reflect the</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6"/>
              </w:rPr>
              <w:t>decreasing the recorded book value of</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Losses on Financial</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3"/>
              </w:rPr>
              <w:t>measurement of credit losses for newly recognized financial assets as well as expected</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held-to-maturity securities by</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Instruments)</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increases or decreases of expected credit losses that have taken place during the</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3"/>
              </w:rPr>
              <w:t>$450,000 and increasing other liabilities</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9"/>
              </w:rPr>
              <w:t>reporting period. When determining the allowance, expected credit losses over the</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1"/>
              </w:rPr>
              <w:t>by $552,000 for credit losses associated</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contractual term of the financial asset(s) (taking into account prepayments) will be</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3"/>
              </w:rPr>
              <w:t>with unfunded contractual commitments</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6"/>
              </w:rPr>
              <w:t>estimated considering relevant information about past events, current conditions, and</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5"/>
              </w:rPr>
              <w:t>on financial assets. As a component of</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reasonable and supportable forecasts that affect the collectability of the reported</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these transition adjustments, the</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4"/>
              </w:rPr>
              <w:t>amount. The amended guidance also requires recording an allowance for credit losses</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0"/>
              </w:rPr>
              <w:t>Company's deferred tax asset balance (a</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for purchased financial assets with a more-than-insignificant amount of credit</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component of other assets on the</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7"/>
              </w:rPr>
              <w:t>deterioration since origination. The initial allowance for these assets will be added to</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Statement of Financial Conditions)</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2"/>
              </w:rPr>
              <w:t>the purchase price at acquisition rather than being reported as an expense. Subsequent</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8"/>
              </w:rPr>
              <w:t>increased by $754,000. These entries</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3"/>
              </w:rPr>
              <w:t>changes in the allowance will be recorded through the income statement as an expense</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8"/>
              </w:rPr>
              <w:t>resulted in a one-time reduction in the</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adjustment. In addition, the amended guidance requires credit losses relating to</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Company's retained earnings (a</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financial assets, such as debt securities categorized as held-to-maturity and</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6"/>
              </w:rPr>
              <w:t>component of Shareholders' Equity) of</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4"/>
              </w:rPr>
              <w:t>noncancelable unfunded commitments to be recorded through the allowance for credit</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$2.1 million on the adoption date. In</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losses.</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0"/>
              </w:rPr>
              <w:t>accordance with the new guidance these</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5"/>
              </w:rPr>
              <w:t>one-time transitional adjustments were</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not recorded as a component of the</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provision for credit losses in the first</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7"/>
              </w:rPr>
              <w:t>quarter of 2023 and, therefore, had no</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effect on reported net income in that</w:t>
            </w:r>
          </w:p>
        </w:tc>
      </w:tr>
      <w:tr>
        <w:trPr>
          <w:trHeight w:val="189"/>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54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quarterly reporting period.</w:t>
            </w:r>
          </w:p>
        </w:tc>
      </w:tr>
      <w:tr>
        <w:trPr>
          <w:trHeight w:val="426"/>
        </w:trPr>
        <w:tc>
          <w:tcPr>
            <w:tcW w:w="1660" w:type="dxa"/>
            <w:vAlign w:val="bottom"/>
          </w:tcPr>
          <w:p>
            <w:pPr>
              <w:spacing w:after="0"/>
              <w:rPr>
                <w:sz w:val="24"/>
                <w:szCs w:val="24"/>
                <w:color w:val="auto"/>
              </w:rPr>
            </w:pPr>
          </w:p>
        </w:tc>
        <w:tc>
          <w:tcPr>
            <w:tcW w:w="5460" w:type="dxa"/>
            <w:vAlign w:val="bottom"/>
          </w:tcPr>
          <w:p>
            <w:pPr>
              <w:ind w:left="37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10</w:t>
            </w:r>
            <w:r>
              <w:rPr>
                <w:rFonts w:ascii="Arial" w:cs="Arial" w:eastAsia="Arial" w:hAnsi="Arial"/>
                <w:sz w:val="18"/>
                <w:szCs w:val="18"/>
                <w:color w:val="auto"/>
              </w:rPr>
              <w:t xml:space="preserve"> -</w:t>
            </w:r>
          </w:p>
        </w:tc>
        <w:tc>
          <w:tcPr>
            <w:tcW w:w="16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25"/>
        </w:trPr>
        <w:tc>
          <w:tcPr>
            <w:tcW w:w="1660" w:type="dxa"/>
            <w:vAlign w:val="bottom"/>
            <w:tcBorders>
              <w:top w:val="single" w:sz="8" w:color="auto"/>
              <w:left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Standard</w:t>
            </w:r>
          </w:p>
        </w:tc>
        <w:tc>
          <w:tcPr>
            <w:tcW w:w="5460" w:type="dxa"/>
            <w:vAlign w:val="bottom"/>
            <w:tcBorders>
              <w:top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Description</w:t>
            </w:r>
          </w:p>
        </w:tc>
        <w:tc>
          <w:tcPr>
            <w:tcW w:w="1600" w:type="dxa"/>
            <w:vAlign w:val="bottom"/>
            <w:tcBorders>
              <w:top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Required Date</w:t>
            </w:r>
          </w:p>
        </w:tc>
        <w:tc>
          <w:tcPr>
            <w:tcW w:w="2520" w:type="dxa"/>
            <w:vAlign w:val="bottom"/>
            <w:tcBorders>
              <w:top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Effect on Consolidated</w:t>
            </w:r>
          </w:p>
        </w:tc>
      </w:tr>
      <w:tr>
        <w:trPr>
          <w:trHeight w:val="241"/>
        </w:trPr>
        <w:tc>
          <w:tcPr>
            <w:tcW w:w="166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5460" w:type="dxa"/>
            <w:vAlign w:val="bottom"/>
            <w:tcBorders>
              <w:bottom w:val="single" w:sz="8" w:color="auto"/>
              <w:right w:val="single" w:sz="8" w:color="auto"/>
            </w:tcBorders>
            <w:shd w:val="clear" w:color="auto" w:fill="CFF0FC"/>
          </w:tcPr>
          <w:p>
            <w:pPr>
              <w:spacing w:after="0"/>
              <w:rPr>
                <w:sz w:val="20"/>
                <w:szCs w:val="20"/>
                <w:color w:val="auto"/>
              </w:rPr>
            </w:pPr>
          </w:p>
        </w:tc>
        <w:tc>
          <w:tcPr>
            <w:tcW w:w="160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of Implementation</w:t>
            </w:r>
          </w:p>
        </w:tc>
        <w:tc>
          <w:tcPr>
            <w:tcW w:w="252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Financial Statements</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color w:val="auto"/>
              </w:rPr>
              <w:t>Derivatives and</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8"/>
              </w:rPr>
              <w:t>The amendments allow multiple hedged layers to be designated for a single closed</w:t>
            </w:r>
          </w:p>
        </w:tc>
        <w:tc>
          <w:tcPr>
            <w:tcW w:w="160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January 1, 2023</w:t>
            </w: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At January 1, 2023 the Company did</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color w:val="auto"/>
              </w:rPr>
              <w:t xml:space="preserve">Hedging </w:t>
            </w:r>
            <w:r>
              <w:rPr>
                <w:rFonts w:ascii="Arial" w:cs="Arial" w:eastAsia="Arial" w:hAnsi="Arial"/>
                <w:sz w:val="15"/>
                <w:szCs w:val="15"/>
                <w:i w:val="1"/>
                <w:iCs w:val="1"/>
                <w:color w:val="auto"/>
              </w:rPr>
              <w:t>(Topic 815):</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7"/>
              </w:rPr>
              <w:t>portfolio of financial assets or one or more beneficial interests secured by a portfolio</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not have any designated hedging</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Fair Value Hedging -</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8"/>
              </w:rPr>
              <w:t>of financial instruments. If multiple hedged layers are designated, the amendments</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relationships under the portfolio layer</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Portfolio Layer Method</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require an analysis to be performed to support the expectation that the aggregate</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1"/>
              </w:rPr>
              <w:t>method and, therefore, the adoption had</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(ASU 2022-01)</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4"/>
              </w:rPr>
              <w:t>amount of the hedged layers is anticipated to be outstanding for the designated hedge</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7"/>
              </w:rPr>
              <w:t>no impact on its consolidated financial</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7"/>
              </w:rPr>
              <w:t>periods. Only closed portfolios may be hedged under the portfolio layer method (that</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statements.</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is, no assets can be added to the closed portfolio once established), however,</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designating new hedging relationships and dedesignating existing hedging</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6"/>
              </w:rPr>
              <w:t>relationships associated with the closed portfolio any time after the closed portfolio is</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r>
      <w:tr>
        <w:trPr>
          <w:trHeight w:val="189"/>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established is permitted.</w:t>
            </w:r>
          </w:p>
        </w:tc>
        <w:tc>
          <w:tcPr>
            <w:tcW w:w="160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spacing w:after="0"/>
              <w:rPr>
                <w:sz w:val="16"/>
                <w:szCs w:val="16"/>
                <w:color w:val="auto"/>
              </w:rPr>
            </w:pPr>
          </w:p>
        </w:tc>
      </w:tr>
      <w:tr>
        <w:trPr>
          <w:trHeight w:val="205"/>
        </w:trPr>
        <w:tc>
          <w:tcPr>
            <w:tcW w:w="1660" w:type="dxa"/>
            <w:vAlign w:val="bottom"/>
            <w:tcBorders>
              <w:left w:val="single" w:sz="8" w:color="auto"/>
              <w:right w:val="single" w:sz="8" w:color="auto"/>
            </w:tcBorders>
            <w:shd w:val="clear" w:color="auto" w:fill="CFF0FC"/>
          </w:tcPr>
          <w:p>
            <w:pPr>
              <w:ind w:left="40"/>
              <w:spacing w:after="0" w:line="205" w:lineRule="exact"/>
              <w:rPr>
                <w:sz w:val="20"/>
                <w:szCs w:val="20"/>
                <w:color w:val="auto"/>
              </w:rPr>
            </w:pPr>
            <w:r>
              <w:rPr>
                <w:rFonts w:ascii="Arial" w:cs="Arial" w:eastAsia="Arial" w:hAnsi="Arial"/>
                <w:sz w:val="18"/>
                <w:szCs w:val="18"/>
                <w:b w:val="1"/>
                <w:bCs w:val="1"/>
                <w:color w:val="auto"/>
              </w:rPr>
              <w:t>Standard</w:t>
            </w:r>
          </w:p>
        </w:tc>
        <w:tc>
          <w:tcPr>
            <w:tcW w:w="5460" w:type="dxa"/>
            <w:vAlign w:val="bottom"/>
            <w:tcBorders>
              <w:right w:val="single" w:sz="8" w:color="auto"/>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Description</w:t>
            </w:r>
          </w:p>
        </w:tc>
        <w:tc>
          <w:tcPr>
            <w:tcW w:w="1600" w:type="dxa"/>
            <w:vAlign w:val="bottom"/>
            <w:tcBorders>
              <w:right w:val="single" w:sz="8" w:color="auto"/>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Required Date</w:t>
            </w:r>
          </w:p>
        </w:tc>
        <w:tc>
          <w:tcPr>
            <w:tcW w:w="2520" w:type="dxa"/>
            <w:vAlign w:val="bottom"/>
            <w:tcBorders>
              <w:right w:val="single" w:sz="8" w:color="auto"/>
            </w:tcBorders>
            <w:shd w:val="clear" w:color="auto" w:fill="CFF0FC"/>
          </w:tcPr>
          <w:p>
            <w:pPr>
              <w:ind w:left="20"/>
              <w:spacing w:after="0" w:line="205" w:lineRule="exact"/>
              <w:rPr>
                <w:sz w:val="20"/>
                <w:szCs w:val="20"/>
                <w:color w:val="auto"/>
              </w:rPr>
            </w:pPr>
            <w:r>
              <w:rPr>
                <w:rFonts w:ascii="Arial" w:cs="Arial" w:eastAsia="Arial" w:hAnsi="Arial"/>
                <w:sz w:val="18"/>
                <w:szCs w:val="18"/>
                <w:b w:val="1"/>
                <w:bCs w:val="1"/>
                <w:color w:val="auto"/>
              </w:rPr>
              <w:t>Effect on Consolidated</w:t>
            </w:r>
          </w:p>
        </w:tc>
      </w:tr>
      <w:tr>
        <w:trPr>
          <w:trHeight w:val="241"/>
        </w:trPr>
        <w:tc>
          <w:tcPr>
            <w:tcW w:w="166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5460" w:type="dxa"/>
            <w:vAlign w:val="bottom"/>
            <w:tcBorders>
              <w:bottom w:val="single" w:sz="8" w:color="auto"/>
              <w:right w:val="single" w:sz="8" w:color="auto"/>
            </w:tcBorders>
            <w:shd w:val="clear" w:color="auto" w:fill="CFF0FC"/>
          </w:tcPr>
          <w:p>
            <w:pPr>
              <w:spacing w:after="0"/>
              <w:rPr>
                <w:sz w:val="20"/>
                <w:szCs w:val="20"/>
                <w:color w:val="auto"/>
              </w:rPr>
            </w:pPr>
          </w:p>
        </w:tc>
        <w:tc>
          <w:tcPr>
            <w:tcW w:w="160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of Implementation</w:t>
            </w:r>
          </w:p>
        </w:tc>
        <w:tc>
          <w:tcPr>
            <w:tcW w:w="252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Financial Statements</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color w:val="auto"/>
                <w:w w:val="99"/>
              </w:rPr>
              <w:t>Reference Rate Reform</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7"/>
              </w:rPr>
              <w:t>The amendments provide optional expedients and exceptions for applying generally</w:t>
            </w:r>
          </w:p>
        </w:tc>
        <w:tc>
          <w:tcPr>
            <w:tcW w:w="160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6"/>
              </w:rPr>
              <w:t>Upon issuance, January</w:t>
            </w: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The amendments for contract</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(ASU 2020-04:</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6"/>
              </w:rPr>
              <w:t>accepted accounting principles (GAAP) to contracts, hedging relationships, and other</w:t>
            </w:r>
          </w:p>
        </w:tc>
        <w:tc>
          <w:tcPr>
            <w:tcW w:w="160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7, 2021, through</w:t>
            </w: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modifications can be elected to be</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Facilitation of the</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transactions affected by reference rate reform. The amendments apply only to</w:t>
            </w:r>
          </w:p>
        </w:tc>
        <w:tc>
          <w:tcPr>
            <w:tcW w:w="160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December 31, 2024, as</w:t>
            </w: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applied as of any date from the</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Effects of Reference</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contracts, hedging relationships, and other transactions that reference LIBOR or</w:t>
            </w:r>
          </w:p>
        </w:tc>
        <w:tc>
          <w:tcPr>
            <w:tcW w:w="160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7"/>
              </w:rPr>
              <w:t>amended by ASU 2022-</w:t>
            </w: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beginning of an interim period that</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Rate Reform on</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5"/>
              </w:rPr>
              <w:t>another reference rate expected to be discontinued because of reference rate reform.</w:t>
            </w:r>
          </w:p>
        </w:tc>
        <w:tc>
          <w:tcPr>
            <w:tcW w:w="160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06.</w:t>
            </w: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5"/>
              </w:rPr>
              <w:t>includes or is subsequent to March 12,</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Financial Reporting</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The amendments (1) apply to contract modifications that replace a reference rate</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2020, or prospectively from a date</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[Topic 848]: Deferral</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6"/>
              </w:rPr>
              <w:t>affected by reference rate reform, (2) provide exceptions to existing guidance related</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4"/>
              </w:rPr>
              <w:t>within an interim period that includes or</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of the Sunset Date of</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6"/>
              </w:rPr>
              <w:t>to changes to the critical terms of a hedging relationship due to reference rate reform</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7"/>
              </w:rPr>
              <w:t>is subsequent to March 12, 2020. The</w:t>
            </w:r>
          </w:p>
        </w:tc>
      </w:tr>
      <w:tr>
        <w:trPr>
          <w:trHeight w:val="162"/>
        </w:trPr>
        <w:tc>
          <w:tcPr>
            <w:tcW w:w="16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5"/>
                <w:szCs w:val="15"/>
                <w:i w:val="1"/>
                <w:iCs w:val="1"/>
                <w:color w:val="auto"/>
              </w:rPr>
              <w:t>Topic 848)</w:t>
            </w: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5"/>
              </w:rPr>
              <w:t>(3) provide optional expedients for fair value hedging relationships, cash flow hedging</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amendments for existing hedging</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9"/>
              </w:rPr>
              <w:t>relationships, and net investment hedging relationships, and (4) provide a onetime</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relationships can be elected to be</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6"/>
              </w:rPr>
              <w:t>election to sell, transfer, or both sell and transfer debt securities classified as held-to-</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applied as of the beginning of the</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5"/>
              </w:rPr>
              <w:t>maturity that reference a rate affected by reference rate reform and that are classified</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8"/>
              </w:rPr>
              <w:t>interim period that includes March 12,</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7"/>
              </w:rPr>
              <w:t>as held-to-maturity before January 1, 2020. In January 2021, the FASB issued ASU</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2020 and to new eligible hedging</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2021-01, Reference Rate Reform (Topic 848): Scope. ASU 2021-01 clarifies that</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relationships entered into after the</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6"/>
              </w:rPr>
              <w:t>certain optional expedients and exceptions in ASC 848 for contract modifications and</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beginning of the interim period that</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7"/>
              </w:rPr>
              <w:t>hedge accounting apply to derivatives that are affected by the discounting transition.</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4"/>
              </w:rPr>
              <w:t>includes March 12, 2020. The adoption</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6"/>
              </w:rPr>
              <w:t>ASU 2021-01 also amends the expedients and exceptions in ASC 848 to capture the</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9"/>
              </w:rPr>
              <w:t>of this ASU is not expected to have a</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w w:val="94"/>
              </w:rPr>
              <w:t>incremental consequences of the scope clarification and to tailor the existing guidance</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material impact to the Company's</w:t>
            </w: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5460" w:type="dxa"/>
            <w:vAlign w:val="bottom"/>
            <w:tcBorders>
              <w:right w:val="single" w:sz="8" w:color="auto"/>
            </w:tcBorders>
          </w:tcPr>
          <w:p>
            <w:pPr>
              <w:spacing w:after="0" w:line="162" w:lineRule="exact"/>
              <w:rPr>
                <w:sz w:val="20"/>
                <w:szCs w:val="20"/>
                <w:color w:val="auto"/>
              </w:rPr>
            </w:pPr>
            <w:r>
              <w:rPr>
                <w:rFonts w:ascii="Arial" w:cs="Arial" w:eastAsia="Arial" w:hAnsi="Arial"/>
                <w:sz w:val="15"/>
                <w:szCs w:val="15"/>
                <w:color w:val="auto"/>
              </w:rPr>
              <w:t>to derivative instruments affected by the discounting transition.</w:t>
            </w:r>
          </w:p>
        </w:tc>
        <w:tc>
          <w:tcPr>
            <w:tcW w:w="1600" w:type="dxa"/>
            <w:vAlign w:val="bottom"/>
            <w:tcBorders>
              <w:right w:val="single" w:sz="8" w:color="auto"/>
            </w:tcBorders>
          </w:tcPr>
          <w:p>
            <w:pPr>
              <w:spacing w:after="0"/>
              <w:rPr>
                <w:sz w:val="14"/>
                <w:szCs w:val="14"/>
                <w:color w:val="auto"/>
              </w:rPr>
            </w:pPr>
          </w:p>
        </w:tc>
        <w:tc>
          <w:tcPr>
            <w:tcW w:w="25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auto"/>
                <w:w w:val="94"/>
              </w:rPr>
              <w:t>consolidated statements of condition or</w:t>
            </w:r>
          </w:p>
        </w:tc>
      </w:tr>
      <w:tr>
        <w:trPr>
          <w:trHeight w:val="189"/>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54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income.</w:t>
            </w:r>
          </w:p>
        </w:tc>
      </w:tr>
      <w:tr>
        <w:trPr>
          <w:trHeight w:val="642"/>
        </w:trPr>
        <w:tc>
          <w:tcPr>
            <w:tcW w:w="1660" w:type="dxa"/>
            <w:vAlign w:val="bottom"/>
          </w:tcPr>
          <w:p>
            <w:pPr>
              <w:spacing w:after="0"/>
              <w:rPr>
                <w:sz w:val="24"/>
                <w:szCs w:val="24"/>
                <w:color w:val="auto"/>
              </w:rPr>
            </w:pPr>
          </w:p>
        </w:tc>
        <w:tc>
          <w:tcPr>
            <w:tcW w:w="5460" w:type="dxa"/>
            <w:vAlign w:val="bottom"/>
          </w:tcPr>
          <w:p>
            <w:pPr>
              <w:ind w:left="37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11</w:t>
            </w:r>
            <w:r>
              <w:rPr>
                <w:rFonts w:ascii="Arial" w:cs="Arial" w:eastAsia="Arial" w:hAnsi="Arial"/>
                <w:sz w:val="18"/>
                <w:szCs w:val="18"/>
                <w:color w:val="auto"/>
              </w:rPr>
              <w:t xml:space="preserve"> -</w:t>
            </w:r>
          </w:p>
        </w:tc>
        <w:tc>
          <w:tcPr>
            <w:tcW w:w="16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Note 3:  Earnings per Common Share</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Following shareholder approval received on June 4, 2021, the Company converted 1,380,283 shares of its Series B Convertible Perpetual Preferred Stock ("Convertible Perpetual Preferred Stock") to an equal number of shares of its newly-created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has voting common stock, non-voting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applying the two-class method, basic net income per share was calculated by dividing net income (less any dividends on participating securities) by the weighted average number of shares of voting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Anti-dilutive shares are common stock equivalents with average exercise prices in excess of the weighted average market price for the period presented. Anti-dilutive stock options, not included in the computation below, were -0- for the three months ended March 31, 2023, and March 31, 2022,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calculation of basic and diluted earnings per share.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00" w:type="dxa"/>
            <w:vAlign w:val="bottom"/>
            <w:gridSpan w:val="2"/>
          </w:tcPr>
          <w:p>
            <w:pPr>
              <w:jc w:val="right"/>
              <w:ind w:right="419"/>
              <w:spacing w:after="0"/>
              <w:rPr>
                <w:sz w:val="20"/>
                <w:szCs w:val="20"/>
                <w:color w:val="auto"/>
              </w:rPr>
            </w:pPr>
            <w:r>
              <w:rPr>
                <w:rFonts w:ascii="Arial" w:cs="Arial" w:eastAsia="Arial" w:hAnsi="Arial"/>
                <w:sz w:val="16"/>
                <w:szCs w:val="16"/>
                <w:color w:val="auto"/>
              </w:rPr>
              <w:t>Three months ended</w:t>
            </w:r>
          </w:p>
        </w:tc>
        <w:tc>
          <w:tcPr>
            <w:tcW w:w="1000" w:type="dxa"/>
            <w:vAlign w:val="bottom"/>
          </w:tcPr>
          <w:p>
            <w:pPr>
              <w:spacing w:after="0"/>
              <w:rPr>
                <w:sz w:val="17"/>
                <w:szCs w:val="17"/>
                <w:color w:val="auto"/>
              </w:rPr>
            </w:pPr>
          </w:p>
        </w:tc>
      </w:tr>
      <w:tr>
        <w:trPr>
          <w:trHeight w:val="243"/>
        </w:trPr>
        <w:tc>
          <w:tcPr>
            <w:tcW w:w="70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92"/>
              </w:rPr>
              <w:t>March 31,</w:t>
            </w:r>
          </w:p>
        </w:tc>
        <w:tc>
          <w:tcPr>
            <w:tcW w:w="1000" w:type="dxa"/>
            <w:vAlign w:val="bottom"/>
            <w:tcBorders>
              <w:bottom w:val="single" w:sz="8" w:color="auto"/>
            </w:tcBorders>
          </w:tcPr>
          <w:p>
            <w:pPr>
              <w:spacing w:after="0"/>
              <w:rPr>
                <w:sz w:val="21"/>
                <w:szCs w:val="21"/>
                <w:color w:val="auto"/>
              </w:rPr>
            </w:pPr>
          </w:p>
        </w:tc>
      </w:tr>
      <w:tr>
        <w:trPr>
          <w:trHeight w:val="22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share and per share data)</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1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2022</w:t>
            </w:r>
          </w:p>
        </w:tc>
      </w:tr>
      <w:tr>
        <w:trPr>
          <w:trHeight w:val="230"/>
        </w:trPr>
        <w:tc>
          <w:tcPr>
            <w:tcW w:w="7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attributable to Pathfinder Bancorp, Inc.</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2,599</w:t>
            </w:r>
          </w:p>
        </w:tc>
        <w:tc>
          <w:tcPr>
            <w:tcW w:w="152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2,950</w:t>
            </w:r>
          </w:p>
        </w:tc>
      </w:tr>
      <w:tr>
        <w:trPr>
          <w:trHeight w:val="220"/>
        </w:trPr>
        <w:tc>
          <w:tcPr>
            <w:tcW w:w="7040" w:type="dxa"/>
            <w:vAlign w:val="bottom"/>
          </w:tcPr>
          <w:p>
            <w:pPr>
              <w:ind w:left="20"/>
              <w:spacing w:after="0"/>
              <w:rPr>
                <w:sz w:val="20"/>
                <w:szCs w:val="20"/>
                <w:color w:val="auto"/>
              </w:rPr>
            </w:pPr>
            <w:r>
              <w:rPr>
                <w:rFonts w:ascii="Arial" w:cs="Arial" w:eastAsia="Arial" w:hAnsi="Arial"/>
                <w:sz w:val="16"/>
                <w:szCs w:val="16"/>
                <w:color w:val="auto"/>
              </w:rPr>
              <w:t>Series A Non-Voting Common Stock dividends</w:t>
            </w: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w:t>
            </w:r>
          </w:p>
        </w:tc>
        <w:tc>
          <w:tcPr>
            <w:tcW w:w="152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124</w:t>
            </w:r>
          </w:p>
        </w:tc>
      </w:tr>
      <w:tr>
        <w:trPr>
          <w:trHeight w:val="239"/>
        </w:trPr>
        <w:tc>
          <w:tcPr>
            <w:tcW w:w="7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Warrant dividends</w:t>
            </w:r>
          </w:p>
        </w:tc>
        <w:tc>
          <w:tcPr>
            <w:tcW w:w="7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5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w:t>
            </w:r>
          </w:p>
        </w:tc>
      </w:tr>
      <w:tr>
        <w:trPr>
          <w:trHeight w:val="22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Undistributed earnings allocated to participating securities</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600</w:t>
            </w:r>
          </w:p>
        </w:tc>
      </w:tr>
      <w:tr>
        <w:trPr>
          <w:trHeight w:val="263"/>
        </w:trPr>
        <w:tc>
          <w:tcPr>
            <w:tcW w:w="70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Net income available to common shareholders-Voting</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1,960</w:t>
            </w:r>
          </w:p>
        </w:tc>
        <w:tc>
          <w:tcPr>
            <w:tcW w:w="152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2,215</w:t>
            </w:r>
          </w:p>
        </w:tc>
      </w:tr>
      <w:tr>
        <w:trPr>
          <w:trHeight w:val="216"/>
        </w:trPr>
        <w:tc>
          <w:tcPr>
            <w:tcW w:w="7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attributable to Pathfinder Bancorp, Inc.</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2,599</w:t>
            </w:r>
          </w:p>
        </w:tc>
        <w:tc>
          <w:tcPr>
            <w:tcW w:w="152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2,950</w:t>
            </w:r>
          </w:p>
        </w:tc>
      </w:tr>
      <w:tr>
        <w:trPr>
          <w:trHeight w:val="220"/>
        </w:trPr>
        <w:tc>
          <w:tcPr>
            <w:tcW w:w="7040" w:type="dxa"/>
            <w:vAlign w:val="bottom"/>
          </w:tcPr>
          <w:p>
            <w:pPr>
              <w:ind w:left="20"/>
              <w:spacing w:after="0"/>
              <w:rPr>
                <w:sz w:val="20"/>
                <w:szCs w:val="20"/>
                <w:color w:val="auto"/>
              </w:rPr>
            </w:pPr>
            <w:r>
              <w:rPr>
                <w:rFonts w:ascii="Arial" w:cs="Arial" w:eastAsia="Arial" w:hAnsi="Arial"/>
                <w:sz w:val="16"/>
                <w:szCs w:val="16"/>
                <w:color w:val="auto"/>
              </w:rPr>
              <w:t>Voting Common Stock dividends</w:t>
            </w: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416</w:t>
            </w:r>
          </w:p>
        </w:tc>
        <w:tc>
          <w:tcPr>
            <w:tcW w:w="152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409</w:t>
            </w:r>
          </w:p>
        </w:tc>
      </w:tr>
      <w:tr>
        <w:trPr>
          <w:trHeight w:val="239"/>
        </w:trPr>
        <w:tc>
          <w:tcPr>
            <w:tcW w:w="7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Warrant dividends</w:t>
            </w:r>
          </w:p>
        </w:tc>
        <w:tc>
          <w:tcPr>
            <w:tcW w:w="7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5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w:t>
            </w:r>
          </w:p>
        </w:tc>
      </w:tr>
      <w:tr>
        <w:trPr>
          <w:trHeight w:val="22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Undistributed earnings allocated to participating securities</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w:t>
            </w:r>
          </w:p>
        </w:tc>
        <w:tc>
          <w:tcPr>
            <w:tcW w:w="1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1,857</w:t>
            </w:r>
          </w:p>
        </w:tc>
      </w:tr>
      <w:tr>
        <w:trPr>
          <w:trHeight w:val="263"/>
        </w:trPr>
        <w:tc>
          <w:tcPr>
            <w:tcW w:w="70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Net income available to common shareholders-Series A Non-Voting</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586</w:t>
            </w:r>
          </w:p>
        </w:tc>
        <w:tc>
          <w:tcPr>
            <w:tcW w:w="152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673</w:t>
            </w:r>
          </w:p>
        </w:tc>
      </w:tr>
      <w:tr>
        <w:trPr>
          <w:trHeight w:val="216"/>
        </w:trPr>
        <w:tc>
          <w:tcPr>
            <w:tcW w:w="7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and diluted weighted average common shares outstanding-Voting</w:t>
            </w:r>
          </w:p>
        </w:tc>
        <w:tc>
          <w:tcPr>
            <w:tcW w:w="7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4,609</w:t>
            </w:r>
          </w:p>
        </w:tc>
        <w:tc>
          <w:tcPr>
            <w:tcW w:w="1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4,536</w:t>
            </w:r>
          </w:p>
        </w:tc>
      </w:tr>
      <w:tr>
        <w:trPr>
          <w:trHeight w:val="220"/>
        </w:trPr>
        <w:tc>
          <w:tcPr>
            <w:tcW w:w="7040" w:type="dxa"/>
            <w:vAlign w:val="bottom"/>
          </w:tcPr>
          <w:p>
            <w:pPr>
              <w:ind w:left="20"/>
              <w:spacing w:after="0"/>
              <w:rPr>
                <w:sz w:val="20"/>
                <w:szCs w:val="20"/>
                <w:color w:val="auto"/>
              </w:rPr>
            </w:pPr>
            <w:r>
              <w:rPr>
                <w:rFonts w:ascii="Arial" w:cs="Arial" w:eastAsia="Arial" w:hAnsi="Arial"/>
                <w:sz w:val="16"/>
                <w:szCs w:val="16"/>
                <w:color w:val="auto"/>
              </w:rPr>
              <w:t>Basic and diluted weighted average common shares outstanding-Series A Non-Voting</w:t>
            </w: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1,380</w:t>
            </w:r>
          </w:p>
        </w:tc>
        <w:tc>
          <w:tcPr>
            <w:tcW w:w="152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1,380</w:t>
            </w:r>
          </w:p>
        </w:tc>
      </w:tr>
      <w:tr>
        <w:trPr>
          <w:trHeight w:val="239"/>
        </w:trPr>
        <w:tc>
          <w:tcPr>
            <w:tcW w:w="70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20"/>
        </w:trPr>
        <w:tc>
          <w:tcPr>
            <w:tcW w:w="7040" w:type="dxa"/>
            <w:vAlign w:val="bottom"/>
          </w:tcPr>
          <w:p>
            <w:pPr>
              <w:ind w:left="20"/>
              <w:spacing w:after="0"/>
              <w:rPr>
                <w:sz w:val="20"/>
                <w:szCs w:val="20"/>
                <w:color w:val="auto"/>
              </w:rPr>
            </w:pPr>
            <w:r>
              <w:rPr>
                <w:rFonts w:ascii="Arial" w:cs="Arial" w:eastAsia="Arial" w:hAnsi="Arial"/>
                <w:sz w:val="16"/>
                <w:szCs w:val="16"/>
                <w:color w:val="auto"/>
              </w:rPr>
              <w:t>Basic and diluted earnings per common share-Voting</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0.43</w:t>
            </w:r>
          </w:p>
        </w:tc>
        <w:tc>
          <w:tcPr>
            <w:tcW w:w="152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0.49</w:t>
            </w:r>
          </w:p>
        </w:tc>
      </w:tr>
      <w:tr>
        <w:trPr>
          <w:trHeight w:val="239"/>
        </w:trPr>
        <w:tc>
          <w:tcPr>
            <w:tcW w:w="7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and diluted earnings per common share-Series A Non-Voting</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0.43</w:t>
            </w:r>
          </w:p>
        </w:tc>
        <w:tc>
          <w:tcPr>
            <w:tcW w:w="152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0.49</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12</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Note 4:  Investment Securities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amortized cost and estimated fair value of investment securities are summarized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March 31, 2023</w:t>
            </w:r>
          </w:p>
        </w:tc>
        <w:tc>
          <w:tcPr>
            <w:tcW w:w="1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Gross</w:t>
            </w:r>
          </w:p>
        </w:tc>
        <w:tc>
          <w:tcPr>
            <w:tcW w:w="7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Gross</w:t>
            </w:r>
          </w:p>
        </w:tc>
        <w:tc>
          <w:tcPr>
            <w:tcW w:w="5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Estimated</w:t>
            </w:r>
          </w:p>
        </w:tc>
      </w:tr>
      <w:tr>
        <w:trPr>
          <w:trHeight w:val="242"/>
        </w:trPr>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Amortized</w:t>
            </w:r>
          </w:p>
        </w:tc>
        <w:tc>
          <w:tcPr>
            <w:tcW w:w="5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Unrealized</w:t>
            </w:r>
          </w:p>
        </w:tc>
        <w:tc>
          <w:tcPr>
            <w:tcW w:w="7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Unrealized</w:t>
            </w:r>
          </w:p>
        </w:tc>
        <w:tc>
          <w:tcPr>
            <w:tcW w:w="5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Fair</w:t>
            </w:r>
          </w:p>
        </w:tc>
      </w:tr>
      <w:tr>
        <w:trPr>
          <w:trHeight w:val="250"/>
        </w:trPr>
        <w:tc>
          <w:tcPr>
            <w:tcW w:w="43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Cost</w:t>
            </w:r>
          </w:p>
        </w:tc>
        <w:tc>
          <w:tcPr>
            <w:tcW w:w="5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Gains</w:t>
            </w: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Losses</w:t>
            </w:r>
          </w:p>
        </w:tc>
        <w:tc>
          <w:tcPr>
            <w:tcW w:w="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Value</w:t>
            </w:r>
          </w:p>
        </w:tc>
      </w:tr>
      <w:tr>
        <w:trPr>
          <w:trHeight w:val="243"/>
        </w:trPr>
        <w:tc>
          <w:tcPr>
            <w:tcW w:w="4320" w:type="dxa"/>
            <w:vAlign w:val="bottom"/>
            <w:gridSpan w:val="4"/>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Available-for-Sale Portfolio</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189"/>
        </w:trPr>
        <w:tc>
          <w:tcPr>
            <w:tcW w:w="432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Debt investment securities: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agencies and GSEs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44,212</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353</w:t>
            </w:r>
          </w:p>
        </w:tc>
        <w:tc>
          <w:tcPr>
            <w:tcW w:w="7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(3,003 )</w:t>
            </w:r>
          </w:p>
        </w:tc>
        <w:tc>
          <w:tcPr>
            <w:tcW w:w="5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41,562</w:t>
            </w:r>
          </w:p>
        </w:tc>
      </w:tr>
      <w:tr>
        <w:trPr>
          <w:trHeight w:val="237"/>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Arial" w:cs="Arial" w:eastAsia="Arial" w:hAnsi="Arial"/>
                <w:sz w:val="18"/>
                <w:szCs w:val="18"/>
                <w:color w:val="auto"/>
              </w:rPr>
              <w:t>State and political subdivisions</w:t>
            </w:r>
          </w:p>
        </w:tc>
        <w:tc>
          <w:tcPr>
            <w:tcW w:w="3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35,264</w:t>
            </w:r>
          </w:p>
        </w:tc>
        <w:tc>
          <w:tcPr>
            <w:tcW w:w="50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7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(2,303 )</w:t>
            </w:r>
          </w:p>
        </w:tc>
        <w:tc>
          <w:tcPr>
            <w:tcW w:w="5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32,984</w:t>
            </w:r>
          </w:p>
        </w:tc>
      </w:tr>
      <w:tr>
        <w:trPr>
          <w:trHeight w:val="249"/>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Corporate</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11,542</w:t>
            </w:r>
          </w:p>
        </w:tc>
        <w:tc>
          <w:tcPr>
            <w:tcW w:w="5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581</w:t>
            </w:r>
          </w:p>
        </w:tc>
        <w:tc>
          <w:tcPr>
            <w:tcW w:w="7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(595 )</w:t>
            </w:r>
          </w:p>
        </w:tc>
        <w:tc>
          <w:tcPr>
            <w:tcW w:w="5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11,528</w:t>
            </w:r>
          </w:p>
        </w:tc>
      </w:tr>
      <w:tr>
        <w:trPr>
          <w:trHeight w:val="237"/>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Arial" w:cs="Arial" w:eastAsia="Arial" w:hAnsi="Arial"/>
                <w:sz w:val="18"/>
                <w:szCs w:val="18"/>
                <w:color w:val="auto"/>
              </w:rPr>
              <w:t>Asset backed securities</w:t>
            </w:r>
          </w:p>
        </w:tc>
        <w:tc>
          <w:tcPr>
            <w:tcW w:w="3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15,423</w:t>
            </w:r>
          </w:p>
        </w:tc>
        <w:tc>
          <w:tcPr>
            <w:tcW w:w="50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(585 )</w:t>
            </w:r>
          </w:p>
        </w:tc>
        <w:tc>
          <w:tcPr>
            <w:tcW w:w="5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14,838</w:t>
            </w:r>
          </w:p>
        </w:tc>
      </w:tr>
      <w:tr>
        <w:trPr>
          <w:trHeight w:val="249"/>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Residential mortgage-backed - US agency</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17,439</w:t>
            </w:r>
          </w:p>
        </w:tc>
        <w:tc>
          <w:tcPr>
            <w:tcW w:w="5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(1,267 )</w:t>
            </w:r>
          </w:p>
        </w:tc>
        <w:tc>
          <w:tcPr>
            <w:tcW w:w="5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16,172</w:t>
            </w:r>
          </w:p>
        </w:tc>
      </w:tr>
      <w:tr>
        <w:trPr>
          <w:trHeight w:val="237"/>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Arial" w:cs="Arial" w:eastAsia="Arial" w:hAnsi="Arial"/>
                <w:sz w:val="18"/>
                <w:szCs w:val="18"/>
                <w:color w:val="auto"/>
              </w:rPr>
              <w:t>Collateralized mortgage obligations - US agency</w:t>
            </w:r>
          </w:p>
        </w:tc>
        <w:tc>
          <w:tcPr>
            <w:tcW w:w="3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10,275</w:t>
            </w:r>
          </w:p>
        </w:tc>
        <w:tc>
          <w:tcPr>
            <w:tcW w:w="50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(1,015 )</w:t>
            </w:r>
          </w:p>
        </w:tc>
        <w:tc>
          <w:tcPr>
            <w:tcW w:w="5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9,260</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300" w:type="dxa"/>
            <w:vAlign w:val="bottom"/>
            <w:tcBorders>
              <w:bottom w:val="single" w:sz="8" w:color="auto"/>
            </w:tcBorders>
            <w:gridSpan w:val="3"/>
            <w:shd w:val="clear" w:color="auto" w:fill="CFF0FC"/>
          </w:tcPr>
          <w:p>
            <w:pPr>
              <w:ind w:left="180"/>
              <w:spacing w:after="0"/>
              <w:rPr>
                <w:sz w:val="20"/>
                <w:szCs w:val="20"/>
                <w:color w:val="auto"/>
              </w:rPr>
            </w:pPr>
            <w:r>
              <w:rPr>
                <w:rFonts w:ascii="Arial" w:cs="Arial" w:eastAsia="Arial" w:hAnsi="Arial"/>
                <w:sz w:val="18"/>
                <w:szCs w:val="18"/>
                <w:color w:val="auto"/>
              </w:rPr>
              <w:t>Collateralized mortgage obligations - Private label</w:t>
            </w:r>
          </w:p>
        </w:tc>
        <w:tc>
          <w:tcPr>
            <w:tcW w:w="3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64,910</w:t>
            </w:r>
          </w:p>
        </w:tc>
        <w:tc>
          <w:tcPr>
            <w:tcW w:w="5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(4,475 )</w:t>
            </w:r>
          </w:p>
        </w:tc>
        <w:tc>
          <w:tcPr>
            <w:tcW w:w="5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60,435</w:t>
            </w:r>
          </w:p>
        </w:tc>
      </w:tr>
      <w:tr>
        <w:trPr>
          <w:trHeight w:val="236"/>
        </w:trPr>
        <w:tc>
          <w:tcPr>
            <w:tcW w:w="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199,065</w:t>
            </w: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957</w:t>
            </w: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(13,243 )</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186,779</w:t>
            </w: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w w:val="91"/>
              </w:rPr>
              <w:t>Equity investment securities:</w:t>
            </w:r>
          </w:p>
        </w:tc>
        <w:tc>
          <w:tcPr>
            <w:tcW w:w="2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Common stock - financial services industry</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206</w:t>
            </w: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206</w:t>
            </w:r>
          </w:p>
        </w:tc>
      </w:tr>
      <w:tr>
        <w:trPr>
          <w:trHeight w:val="237"/>
        </w:trPr>
        <w:tc>
          <w:tcPr>
            <w:tcW w:w="20" w:type="dxa"/>
            <w:vAlign w:val="bottom"/>
            <w:tcBorders>
              <w:bottom w:val="single" w:sz="8" w:color="auto"/>
            </w:tcBorders>
            <w:shd w:val="clear" w:color="auto" w:fill="CFF0FC"/>
          </w:tcPr>
          <w:p>
            <w:pPr>
              <w:spacing w:after="0"/>
              <w:rPr>
                <w:sz w:val="20"/>
                <w:szCs w:val="20"/>
                <w:color w:val="auto"/>
              </w:rPr>
            </w:pPr>
          </w:p>
        </w:tc>
        <w:tc>
          <w:tcPr>
            <w:tcW w:w="4300" w:type="dxa"/>
            <w:vAlign w:val="bottom"/>
            <w:tcBorders>
              <w:bottom w:val="single" w:sz="8" w:color="auto"/>
            </w:tcBorders>
            <w:gridSpan w:val="3"/>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206</w:t>
            </w:r>
          </w:p>
        </w:tc>
        <w:tc>
          <w:tcPr>
            <w:tcW w:w="5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206</w:t>
            </w:r>
          </w:p>
        </w:tc>
      </w:tr>
      <w:tr>
        <w:trPr>
          <w:trHeight w:val="237"/>
        </w:trPr>
        <w:tc>
          <w:tcPr>
            <w:tcW w:w="43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Total available-for-sale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199,271</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957</w:t>
            </w: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(13,243 )</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186,985</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4320" w:type="dxa"/>
            <w:vAlign w:val="bottom"/>
            <w:gridSpan w:val="4"/>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Held-to-Maturity Portfolio</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189"/>
        </w:trPr>
        <w:tc>
          <w:tcPr>
            <w:tcW w:w="432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Debt investment securities: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agencies and GSEs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3,842</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(265 )</w:t>
            </w:r>
          </w:p>
        </w:tc>
        <w:tc>
          <w:tcPr>
            <w:tcW w:w="5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3,577</w:t>
            </w:r>
          </w:p>
        </w:tc>
      </w:tr>
      <w:tr>
        <w:trPr>
          <w:trHeight w:val="237"/>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Arial" w:cs="Arial" w:eastAsia="Arial" w:hAnsi="Arial"/>
                <w:sz w:val="18"/>
                <w:szCs w:val="18"/>
                <w:color w:val="auto"/>
              </w:rPr>
              <w:t>State and political subdivisions</w:t>
            </w:r>
          </w:p>
        </w:tc>
        <w:tc>
          <w:tcPr>
            <w:tcW w:w="3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15,859</w:t>
            </w:r>
          </w:p>
        </w:tc>
        <w:tc>
          <w:tcPr>
            <w:tcW w:w="50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(1,865 )</w:t>
            </w:r>
          </w:p>
        </w:tc>
        <w:tc>
          <w:tcPr>
            <w:tcW w:w="5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14,006</w:t>
            </w:r>
          </w:p>
        </w:tc>
      </w:tr>
      <w:tr>
        <w:trPr>
          <w:trHeight w:val="249"/>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Corporate</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45,577</w:t>
            </w:r>
          </w:p>
        </w:tc>
        <w:tc>
          <w:tcPr>
            <w:tcW w:w="5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w:t>
            </w:r>
          </w:p>
        </w:tc>
        <w:tc>
          <w:tcPr>
            <w:tcW w:w="7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(2,703 )</w:t>
            </w:r>
          </w:p>
        </w:tc>
        <w:tc>
          <w:tcPr>
            <w:tcW w:w="5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42,879</w:t>
            </w:r>
          </w:p>
        </w:tc>
      </w:tr>
      <w:tr>
        <w:trPr>
          <w:trHeight w:val="237"/>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Arial" w:cs="Arial" w:eastAsia="Arial" w:hAnsi="Arial"/>
                <w:sz w:val="18"/>
                <w:szCs w:val="18"/>
                <w:color w:val="auto"/>
              </w:rPr>
              <w:t>Asset backed securities</w:t>
            </w:r>
          </w:p>
        </w:tc>
        <w:tc>
          <w:tcPr>
            <w:tcW w:w="3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18,667</w:t>
            </w:r>
          </w:p>
        </w:tc>
        <w:tc>
          <w:tcPr>
            <w:tcW w:w="50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(1,073 )</w:t>
            </w:r>
          </w:p>
        </w:tc>
        <w:tc>
          <w:tcPr>
            <w:tcW w:w="5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17,594</w:t>
            </w:r>
          </w:p>
        </w:tc>
      </w:tr>
      <w:tr>
        <w:trPr>
          <w:trHeight w:val="249"/>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Residential mortgage-backed - US agency</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7,416</w:t>
            </w:r>
          </w:p>
        </w:tc>
        <w:tc>
          <w:tcPr>
            <w:tcW w:w="5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(636 )</w:t>
            </w:r>
          </w:p>
        </w:tc>
        <w:tc>
          <w:tcPr>
            <w:tcW w:w="5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6,783</w:t>
            </w:r>
          </w:p>
        </w:tc>
      </w:tr>
      <w:tr>
        <w:trPr>
          <w:trHeight w:val="237"/>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Arial" w:cs="Arial" w:eastAsia="Arial" w:hAnsi="Arial"/>
                <w:sz w:val="18"/>
                <w:szCs w:val="18"/>
                <w:color w:val="auto"/>
              </w:rPr>
              <w:t>Collateralized mortgage obligations - US agency</w:t>
            </w:r>
          </w:p>
        </w:tc>
        <w:tc>
          <w:tcPr>
            <w:tcW w:w="3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14,843</w:t>
            </w:r>
          </w:p>
        </w:tc>
        <w:tc>
          <w:tcPr>
            <w:tcW w:w="50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(1,192 )</w:t>
            </w:r>
          </w:p>
        </w:tc>
        <w:tc>
          <w:tcPr>
            <w:tcW w:w="5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13,651</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300" w:type="dxa"/>
            <w:vAlign w:val="bottom"/>
            <w:tcBorders>
              <w:bottom w:val="single" w:sz="8" w:color="auto"/>
            </w:tcBorders>
            <w:gridSpan w:val="3"/>
            <w:shd w:val="clear" w:color="auto" w:fill="CFF0FC"/>
          </w:tcPr>
          <w:p>
            <w:pPr>
              <w:ind w:left="180"/>
              <w:spacing w:after="0"/>
              <w:rPr>
                <w:sz w:val="20"/>
                <w:szCs w:val="20"/>
                <w:color w:val="auto"/>
              </w:rPr>
            </w:pPr>
            <w:r>
              <w:rPr>
                <w:rFonts w:ascii="Arial" w:cs="Arial" w:eastAsia="Arial" w:hAnsi="Arial"/>
                <w:sz w:val="18"/>
                <w:szCs w:val="18"/>
                <w:color w:val="auto"/>
              </w:rPr>
              <w:t>Collateralized mortgage obligations - Private label</w:t>
            </w:r>
          </w:p>
        </w:tc>
        <w:tc>
          <w:tcPr>
            <w:tcW w:w="3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95,462</w:t>
            </w:r>
          </w:p>
        </w:tc>
        <w:tc>
          <w:tcPr>
            <w:tcW w:w="5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w:t>
            </w:r>
          </w:p>
        </w:tc>
        <w:tc>
          <w:tcPr>
            <w:tcW w:w="7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(4,337 )</w:t>
            </w:r>
          </w:p>
        </w:tc>
        <w:tc>
          <w:tcPr>
            <w:tcW w:w="5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91,132</w:t>
            </w:r>
          </w:p>
        </w:tc>
      </w:tr>
      <w:tr>
        <w:trPr>
          <w:trHeight w:val="237"/>
        </w:trPr>
        <w:tc>
          <w:tcPr>
            <w:tcW w:w="20" w:type="dxa"/>
            <w:vAlign w:val="bottom"/>
          </w:tcPr>
          <w:p>
            <w:pPr>
              <w:spacing w:after="0"/>
              <w:rPr>
                <w:sz w:val="20"/>
                <w:szCs w:val="20"/>
                <w:color w:val="auto"/>
              </w:rPr>
            </w:pPr>
          </w:p>
        </w:tc>
        <w:tc>
          <w:tcPr>
            <w:tcW w:w="430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201,666</w:t>
            </w:r>
          </w:p>
        </w:tc>
        <w:tc>
          <w:tcPr>
            <w:tcW w:w="50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(12,071 )</w:t>
            </w:r>
          </w:p>
        </w:tc>
        <w:tc>
          <w:tcPr>
            <w:tcW w:w="5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189,622</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300" w:type="dxa"/>
            <w:vAlign w:val="bottom"/>
            <w:tcBorders>
              <w:bottom w:val="single" w:sz="8" w:color="auto"/>
            </w:tcBorders>
            <w:gridSpan w:val="3"/>
            <w:shd w:val="clear" w:color="auto" w:fill="CFF0FC"/>
          </w:tcPr>
          <w:p>
            <w:pPr>
              <w:ind w:left="180"/>
              <w:spacing w:after="0"/>
              <w:rPr>
                <w:sz w:val="20"/>
                <w:szCs w:val="20"/>
                <w:color w:val="auto"/>
              </w:rPr>
            </w:pPr>
            <w:r>
              <w:rPr>
                <w:rFonts w:ascii="Arial" w:cs="Arial" w:eastAsia="Arial" w:hAnsi="Arial"/>
                <w:sz w:val="18"/>
                <w:szCs w:val="18"/>
                <w:color w:val="auto"/>
              </w:rPr>
              <w:t>Less: Allowance for credit losses</w:t>
            </w:r>
          </w:p>
        </w:tc>
        <w:tc>
          <w:tcPr>
            <w:tcW w:w="3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450</w:t>
            </w:r>
          </w:p>
        </w:tc>
        <w:tc>
          <w:tcPr>
            <w:tcW w:w="5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3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Total held-to-maturity</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201,216</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w:t>
            </w: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(12,071 )</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189,622</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13</w:t>
            </w:r>
            <w:r>
              <w:rPr>
                <w:rFonts w:ascii="Arial" w:cs="Arial" w:eastAsia="Arial" w:hAnsi="Arial"/>
                <w:sz w:val="18"/>
                <w:szCs w:val="18"/>
                <w:color w:val="auto"/>
              </w:rPr>
              <w:t xml:space="preserve"> -</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 2022</w:t>
            </w: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Gross</w:t>
            </w:r>
          </w:p>
        </w:tc>
        <w:tc>
          <w:tcPr>
            <w:tcW w:w="7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Gross</w:t>
            </w:r>
          </w:p>
        </w:tc>
        <w:tc>
          <w:tcPr>
            <w:tcW w:w="5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Estimated</w:t>
            </w:r>
          </w:p>
        </w:tc>
      </w:tr>
      <w:tr>
        <w:trPr>
          <w:trHeight w:val="242"/>
        </w:trPr>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Amortized</w:t>
            </w:r>
          </w:p>
        </w:tc>
        <w:tc>
          <w:tcPr>
            <w:tcW w:w="5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Unrealized</w:t>
            </w:r>
          </w:p>
        </w:tc>
        <w:tc>
          <w:tcPr>
            <w:tcW w:w="76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5"/>
              </w:rPr>
              <w:t>Unrealized</w:t>
            </w:r>
          </w:p>
        </w:tc>
        <w:tc>
          <w:tcPr>
            <w:tcW w:w="5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Fair</w:t>
            </w:r>
          </w:p>
        </w:tc>
      </w:tr>
      <w:tr>
        <w:trPr>
          <w:trHeight w:val="250"/>
        </w:trPr>
        <w:tc>
          <w:tcPr>
            <w:tcW w:w="43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Cost</w:t>
            </w:r>
          </w:p>
        </w:tc>
        <w:tc>
          <w:tcPr>
            <w:tcW w:w="5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Gains</w:t>
            </w:r>
          </w:p>
        </w:tc>
        <w:tc>
          <w:tcPr>
            <w:tcW w:w="7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Losses</w:t>
            </w: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Value</w:t>
            </w:r>
          </w:p>
        </w:tc>
      </w:tr>
      <w:tr>
        <w:trPr>
          <w:trHeight w:val="243"/>
        </w:trPr>
        <w:tc>
          <w:tcPr>
            <w:tcW w:w="4300" w:type="dxa"/>
            <w:vAlign w:val="bottom"/>
            <w:gridSpan w:val="4"/>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Available-for-Sale Portfolio</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189"/>
        </w:trPr>
        <w:tc>
          <w:tcPr>
            <w:tcW w:w="430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Debt investment securities: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2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agencies and GSEs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32,533</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(3,206 )</w:t>
            </w:r>
          </w:p>
        </w:tc>
        <w:tc>
          <w:tcPr>
            <w:tcW w:w="5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29,364</w:t>
            </w:r>
          </w:p>
        </w:tc>
      </w:tr>
      <w:tr>
        <w:trPr>
          <w:trHeight w:val="237"/>
        </w:trPr>
        <w:tc>
          <w:tcPr>
            <w:tcW w:w="20" w:type="dxa"/>
            <w:vAlign w:val="bottom"/>
          </w:tcPr>
          <w:p>
            <w:pPr>
              <w:spacing w:after="0"/>
              <w:rPr>
                <w:sz w:val="20"/>
                <w:szCs w:val="20"/>
                <w:color w:val="auto"/>
              </w:rPr>
            </w:pP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State and political subdivisions</w:t>
            </w:r>
          </w:p>
        </w:tc>
        <w:tc>
          <w:tcPr>
            <w:tcW w:w="40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48,002</w:t>
            </w:r>
          </w:p>
        </w:tc>
        <w:tc>
          <w:tcPr>
            <w:tcW w:w="54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384</w:t>
            </w:r>
          </w:p>
        </w:tc>
        <w:tc>
          <w:tcPr>
            <w:tcW w:w="7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(3,001 )</w:t>
            </w:r>
          </w:p>
        </w:tc>
        <w:tc>
          <w:tcPr>
            <w:tcW w:w="5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45,385</w:t>
            </w:r>
          </w:p>
        </w:tc>
      </w:tr>
      <w:tr>
        <w:trPr>
          <w:trHeight w:val="249"/>
        </w:trPr>
        <w:tc>
          <w:tcPr>
            <w:tcW w:w="20" w:type="dxa"/>
            <w:vAlign w:val="bottom"/>
            <w:shd w:val="clear" w:color="auto" w:fill="CFF0FC"/>
          </w:tcPr>
          <w:p>
            <w:pPr>
              <w:spacing w:after="0"/>
              <w:rPr>
                <w:sz w:val="21"/>
                <w:szCs w:val="21"/>
                <w:color w:val="auto"/>
              </w:rPr>
            </w:pPr>
          </w:p>
        </w:tc>
        <w:tc>
          <w:tcPr>
            <w:tcW w:w="42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Corporate</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11,803</w:t>
            </w:r>
          </w:p>
        </w:tc>
        <w:tc>
          <w:tcPr>
            <w:tcW w:w="5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676</w:t>
            </w:r>
          </w:p>
        </w:tc>
        <w:tc>
          <w:tcPr>
            <w:tcW w:w="7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(650 )</w:t>
            </w: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11,829</w:t>
            </w:r>
          </w:p>
        </w:tc>
      </w:tr>
      <w:tr>
        <w:trPr>
          <w:trHeight w:val="237"/>
        </w:trPr>
        <w:tc>
          <w:tcPr>
            <w:tcW w:w="20" w:type="dxa"/>
            <w:vAlign w:val="bottom"/>
          </w:tcPr>
          <w:p>
            <w:pPr>
              <w:spacing w:after="0"/>
              <w:rPr>
                <w:sz w:val="20"/>
                <w:szCs w:val="20"/>
                <w:color w:val="auto"/>
              </w:rPr>
            </w:pP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Asset backed securities</w:t>
            </w:r>
          </w:p>
        </w:tc>
        <w:tc>
          <w:tcPr>
            <w:tcW w:w="40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16,059</w:t>
            </w:r>
          </w:p>
        </w:tc>
        <w:tc>
          <w:tcPr>
            <w:tcW w:w="54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(659 )</w:t>
            </w:r>
          </w:p>
        </w:tc>
        <w:tc>
          <w:tcPr>
            <w:tcW w:w="5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15,400</w:t>
            </w:r>
          </w:p>
        </w:tc>
      </w:tr>
      <w:tr>
        <w:trPr>
          <w:trHeight w:val="249"/>
        </w:trPr>
        <w:tc>
          <w:tcPr>
            <w:tcW w:w="20" w:type="dxa"/>
            <w:vAlign w:val="bottom"/>
            <w:shd w:val="clear" w:color="auto" w:fill="CFF0FC"/>
          </w:tcPr>
          <w:p>
            <w:pPr>
              <w:spacing w:after="0"/>
              <w:rPr>
                <w:sz w:val="21"/>
                <w:szCs w:val="21"/>
                <w:color w:val="auto"/>
              </w:rPr>
            </w:pPr>
          </w:p>
        </w:tc>
        <w:tc>
          <w:tcPr>
            <w:tcW w:w="42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Residential mortgage-backed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17,982</w:t>
            </w:r>
          </w:p>
        </w:tc>
        <w:tc>
          <w:tcPr>
            <w:tcW w:w="5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(1,582 )</w:t>
            </w: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16,400</w:t>
            </w:r>
          </w:p>
        </w:tc>
      </w:tr>
      <w:tr>
        <w:trPr>
          <w:trHeight w:val="237"/>
        </w:trPr>
        <w:tc>
          <w:tcPr>
            <w:tcW w:w="20" w:type="dxa"/>
            <w:vAlign w:val="bottom"/>
          </w:tcPr>
          <w:p>
            <w:pPr>
              <w:spacing w:after="0"/>
              <w:rPr>
                <w:sz w:val="20"/>
                <w:szCs w:val="20"/>
                <w:color w:val="auto"/>
              </w:rPr>
            </w:pP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Collateralized mortgage obligations - US agency</w:t>
            </w:r>
          </w:p>
        </w:tc>
        <w:tc>
          <w:tcPr>
            <w:tcW w:w="40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13,070</w:t>
            </w:r>
          </w:p>
        </w:tc>
        <w:tc>
          <w:tcPr>
            <w:tcW w:w="54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(1,362 )</w:t>
            </w:r>
          </w:p>
        </w:tc>
        <w:tc>
          <w:tcPr>
            <w:tcW w:w="5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11,708</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280" w:type="dxa"/>
            <w:vAlign w:val="bottom"/>
            <w:tcBorders>
              <w:bottom w:val="single" w:sz="8" w:color="auto"/>
            </w:tcBorders>
            <w:gridSpan w:val="3"/>
            <w:shd w:val="clear" w:color="auto" w:fill="CFF0FC"/>
          </w:tcPr>
          <w:p>
            <w:pPr>
              <w:ind w:left="180"/>
              <w:spacing w:after="0"/>
              <w:rPr>
                <w:sz w:val="20"/>
                <w:szCs w:val="20"/>
                <w:color w:val="auto"/>
              </w:rPr>
            </w:pPr>
            <w:r>
              <w:rPr>
                <w:rFonts w:ascii="Arial" w:cs="Arial" w:eastAsia="Arial" w:hAnsi="Arial"/>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65,781</w:t>
            </w:r>
          </w:p>
        </w:tc>
        <w:tc>
          <w:tcPr>
            <w:tcW w:w="5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w:t>
            </w:r>
          </w:p>
        </w:tc>
        <w:tc>
          <w:tcPr>
            <w:tcW w:w="7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(4,355 )</w:t>
            </w:r>
          </w:p>
        </w:tc>
        <w:tc>
          <w:tcPr>
            <w:tcW w:w="5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61,434</w:t>
            </w:r>
          </w:p>
        </w:tc>
      </w:tr>
      <w:tr>
        <w:trPr>
          <w:trHeight w:val="236"/>
        </w:trPr>
        <w:tc>
          <w:tcPr>
            <w:tcW w:w="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205,230</w:t>
            </w: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1,105</w:t>
            </w:r>
          </w:p>
        </w:tc>
        <w:tc>
          <w:tcPr>
            <w:tcW w:w="7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(14,815 )</w:t>
            </w: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191,520</w:t>
            </w: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w w:val="91"/>
              </w:rPr>
              <w:t>Equity investment securities:</w:t>
            </w:r>
          </w:p>
        </w:tc>
        <w:tc>
          <w:tcPr>
            <w:tcW w:w="2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Common stock - financial services industry</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206</w:t>
            </w: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206</w:t>
            </w:r>
          </w:p>
        </w:tc>
      </w:tr>
      <w:tr>
        <w:trPr>
          <w:trHeight w:val="236"/>
        </w:trPr>
        <w:tc>
          <w:tcPr>
            <w:tcW w:w="20" w:type="dxa"/>
            <w:vAlign w:val="bottom"/>
            <w:tcBorders>
              <w:bottom w:val="single" w:sz="8" w:color="auto"/>
            </w:tcBorders>
            <w:shd w:val="clear" w:color="auto" w:fill="CFF0FC"/>
          </w:tcPr>
          <w:p>
            <w:pPr>
              <w:spacing w:after="0"/>
              <w:rPr>
                <w:sz w:val="20"/>
                <w:szCs w:val="20"/>
                <w:color w:val="auto"/>
              </w:rPr>
            </w:pPr>
          </w:p>
        </w:tc>
        <w:tc>
          <w:tcPr>
            <w:tcW w:w="4280" w:type="dxa"/>
            <w:vAlign w:val="bottom"/>
            <w:tcBorders>
              <w:bottom w:val="single" w:sz="8" w:color="auto"/>
            </w:tcBorders>
            <w:gridSpan w:val="3"/>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206</w:t>
            </w:r>
          </w:p>
        </w:tc>
        <w:tc>
          <w:tcPr>
            <w:tcW w:w="5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206</w:t>
            </w:r>
          </w:p>
        </w:tc>
      </w:tr>
      <w:tr>
        <w:trPr>
          <w:trHeight w:val="236"/>
        </w:trPr>
        <w:tc>
          <w:tcPr>
            <w:tcW w:w="43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Total available-for-sale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205,436</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1,105</w:t>
            </w:r>
          </w:p>
        </w:tc>
        <w:tc>
          <w:tcPr>
            <w:tcW w:w="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(14,815 )</w:t>
            </w: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191,726</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7"/>
        </w:trPr>
        <w:tc>
          <w:tcPr>
            <w:tcW w:w="430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rPr>
              <w:t>Held-to-Maturity Portfolio</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95"/>
        </w:trPr>
        <w:tc>
          <w:tcPr>
            <w:tcW w:w="20" w:type="dxa"/>
            <w:vAlign w:val="bottom"/>
            <w:shd w:val="clear" w:color="auto" w:fill="CFF0FC"/>
          </w:tcPr>
          <w:p>
            <w:pPr>
              <w:spacing w:after="0"/>
              <w:rPr>
                <w:sz w:val="16"/>
                <w:szCs w:val="16"/>
                <w:color w:val="auto"/>
              </w:rPr>
            </w:pPr>
          </w:p>
        </w:tc>
        <w:tc>
          <w:tcPr>
            <w:tcW w:w="4280" w:type="dxa"/>
            <w:vAlign w:val="bottom"/>
            <w:gridSpan w:val="3"/>
            <w:shd w:val="clear" w:color="auto" w:fill="CFF0FC"/>
          </w:tcPr>
          <w:p>
            <w:pPr>
              <w:spacing w:after="0" w:line="195" w:lineRule="exact"/>
              <w:rPr>
                <w:sz w:val="20"/>
                <w:szCs w:val="20"/>
                <w:color w:val="auto"/>
              </w:rPr>
            </w:pPr>
            <w:r>
              <w:rPr>
                <w:rFonts w:ascii="Arial" w:cs="Arial" w:eastAsia="Arial" w:hAnsi="Arial"/>
                <w:sz w:val="18"/>
                <w:szCs w:val="18"/>
                <w:color w:val="auto"/>
              </w:rPr>
              <w:t>Debt investment securities:</w:t>
            </w:r>
          </w:p>
        </w:tc>
        <w:tc>
          <w:tcPr>
            <w:tcW w:w="4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960" w:type="dxa"/>
            <w:vAlign w:val="bottom"/>
            <w:tcBorders>
              <w:top w:val="single" w:sz="8" w:color="auto"/>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18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2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180" w:type="dxa"/>
            <w:vAlign w:val="bottom"/>
            <w:tcBorders>
              <w:top w:val="single" w:sz="8" w:color="CFF0FC"/>
            </w:tcBorders>
            <w:shd w:val="clear" w:color="auto" w:fill="CFF0FC"/>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US Treasury, agencies and GSEs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3,852</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(280 )</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3,572</w:t>
            </w:r>
          </w:p>
        </w:tc>
      </w:tr>
      <w:tr>
        <w:trPr>
          <w:trHeight w:val="249"/>
        </w:trPr>
        <w:tc>
          <w:tcPr>
            <w:tcW w:w="20" w:type="dxa"/>
            <w:vAlign w:val="bottom"/>
            <w:shd w:val="clear" w:color="auto" w:fill="CFF0FC"/>
          </w:tcPr>
          <w:p>
            <w:pPr>
              <w:spacing w:after="0"/>
              <w:rPr>
                <w:sz w:val="21"/>
                <w:szCs w:val="21"/>
                <w:color w:val="auto"/>
              </w:rPr>
            </w:pPr>
          </w:p>
        </w:tc>
        <w:tc>
          <w:tcPr>
            <w:tcW w:w="42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State and political subdivisions</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15,211</w:t>
            </w:r>
          </w:p>
        </w:tc>
        <w:tc>
          <w:tcPr>
            <w:tcW w:w="5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(2,340 )</w:t>
            </w: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12,871</w:t>
            </w:r>
          </w:p>
        </w:tc>
      </w:tr>
      <w:tr>
        <w:trPr>
          <w:trHeight w:val="237"/>
        </w:trPr>
        <w:tc>
          <w:tcPr>
            <w:tcW w:w="20" w:type="dxa"/>
            <w:vAlign w:val="bottom"/>
          </w:tcPr>
          <w:p>
            <w:pPr>
              <w:spacing w:after="0"/>
              <w:rPr>
                <w:sz w:val="20"/>
                <w:szCs w:val="20"/>
                <w:color w:val="auto"/>
              </w:rPr>
            </w:pP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Corporate</w:t>
            </w:r>
          </w:p>
        </w:tc>
        <w:tc>
          <w:tcPr>
            <w:tcW w:w="40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45,086</w:t>
            </w:r>
          </w:p>
        </w:tc>
        <w:tc>
          <w:tcPr>
            <w:tcW w:w="54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(2,586 )</w:t>
            </w:r>
          </w:p>
        </w:tc>
        <w:tc>
          <w:tcPr>
            <w:tcW w:w="5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42,502</w:t>
            </w:r>
          </w:p>
        </w:tc>
      </w:tr>
      <w:tr>
        <w:trPr>
          <w:trHeight w:val="249"/>
        </w:trPr>
        <w:tc>
          <w:tcPr>
            <w:tcW w:w="20" w:type="dxa"/>
            <w:vAlign w:val="bottom"/>
            <w:shd w:val="clear" w:color="auto" w:fill="CFF0FC"/>
          </w:tcPr>
          <w:p>
            <w:pPr>
              <w:spacing w:after="0"/>
              <w:rPr>
                <w:sz w:val="21"/>
                <w:szCs w:val="21"/>
                <w:color w:val="auto"/>
              </w:rPr>
            </w:pPr>
          </w:p>
        </w:tc>
        <w:tc>
          <w:tcPr>
            <w:tcW w:w="42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Asset backed securities</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19,158</w:t>
            </w:r>
          </w:p>
        </w:tc>
        <w:tc>
          <w:tcPr>
            <w:tcW w:w="5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(1,291 )</w:t>
            </w: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17,867</w:t>
            </w:r>
          </w:p>
        </w:tc>
      </w:tr>
      <w:tr>
        <w:trPr>
          <w:trHeight w:val="237"/>
        </w:trPr>
        <w:tc>
          <w:tcPr>
            <w:tcW w:w="20" w:type="dxa"/>
            <w:vAlign w:val="bottom"/>
          </w:tcPr>
          <w:p>
            <w:pPr>
              <w:spacing w:after="0"/>
              <w:rPr>
                <w:sz w:val="20"/>
                <w:szCs w:val="20"/>
                <w:color w:val="auto"/>
              </w:rPr>
            </w:pP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Residential mortgage-backed - US agency</w:t>
            </w:r>
          </w:p>
        </w:tc>
        <w:tc>
          <w:tcPr>
            <w:tcW w:w="40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7,489</w:t>
            </w:r>
          </w:p>
        </w:tc>
        <w:tc>
          <w:tcPr>
            <w:tcW w:w="54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(739 )</w:t>
            </w:r>
          </w:p>
        </w:tc>
        <w:tc>
          <w:tcPr>
            <w:tcW w:w="5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6,750</w:t>
            </w:r>
          </w:p>
        </w:tc>
      </w:tr>
      <w:tr>
        <w:trPr>
          <w:trHeight w:val="249"/>
        </w:trPr>
        <w:tc>
          <w:tcPr>
            <w:tcW w:w="20" w:type="dxa"/>
            <w:vAlign w:val="bottom"/>
            <w:shd w:val="clear" w:color="auto" w:fill="CFF0FC"/>
          </w:tcPr>
          <w:p>
            <w:pPr>
              <w:spacing w:after="0"/>
              <w:rPr>
                <w:sz w:val="21"/>
                <w:szCs w:val="21"/>
                <w:color w:val="auto"/>
              </w:rPr>
            </w:pPr>
          </w:p>
        </w:tc>
        <w:tc>
          <w:tcPr>
            <w:tcW w:w="42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Collateralized mortgage obligations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15,109</w:t>
            </w:r>
          </w:p>
        </w:tc>
        <w:tc>
          <w:tcPr>
            <w:tcW w:w="5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(1,251 )</w:t>
            </w: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13,858</w:t>
            </w:r>
          </w:p>
        </w:tc>
      </w:tr>
      <w:tr>
        <w:trPr>
          <w:trHeight w:val="237"/>
        </w:trPr>
        <w:tc>
          <w:tcPr>
            <w:tcW w:w="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Collateralized mortgage obligations - Private label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88,497</w:t>
            </w: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(4,430 )</w:t>
            </w: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84,071</w:t>
            </w:r>
          </w:p>
        </w:tc>
      </w:tr>
      <w:tr>
        <w:trPr>
          <w:trHeight w:val="277"/>
        </w:trPr>
        <w:tc>
          <w:tcPr>
            <w:tcW w:w="4300" w:type="dxa"/>
            <w:vAlign w:val="bottom"/>
            <w:tcBorders>
              <w:bottom w:val="single" w:sz="8" w:color="auto"/>
            </w:tcBorders>
            <w:gridSpan w:val="4"/>
            <w:shd w:val="clear" w:color="auto" w:fill="CFF0FC"/>
          </w:tcPr>
          <w:p>
            <w:pPr>
              <w:ind w:left="20"/>
              <w:spacing w:after="0"/>
              <w:rPr>
                <w:sz w:val="20"/>
                <w:szCs w:val="20"/>
                <w:color w:val="auto"/>
              </w:rPr>
            </w:pPr>
            <w:r>
              <w:rPr>
                <w:rFonts w:ascii="Arial" w:cs="Arial" w:eastAsia="Arial" w:hAnsi="Arial"/>
                <w:sz w:val="18"/>
                <w:szCs w:val="18"/>
                <w:color w:val="auto"/>
              </w:rPr>
              <w:t>Total held-to-maturity</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194,402</w:t>
            </w:r>
          </w:p>
        </w:tc>
        <w:tc>
          <w:tcPr>
            <w:tcW w:w="54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w:t>
            </w:r>
          </w:p>
        </w:tc>
        <w:tc>
          <w:tcPr>
            <w:tcW w:w="76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(12,917 )</w:t>
            </w:r>
          </w:p>
        </w:tc>
        <w:tc>
          <w:tcPr>
            <w:tcW w:w="5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181,491</w:t>
            </w: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amortized cost and estimated fair value of debt investments at March 31, 2023 by contractual maturity are shown below. Expected maturities may differ from contractual maturities because borrowers may have the right to call or prepay obligations with or without penalties.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Available-for-Sale</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Held-to-Maturity</w:t>
            </w:r>
          </w:p>
        </w:tc>
        <w:tc>
          <w:tcPr>
            <w:tcW w:w="940" w:type="dxa"/>
            <w:vAlign w:val="bottom"/>
            <w:tcBorders>
              <w:bottom w:val="single" w:sz="8" w:color="auto"/>
            </w:tcBorders>
          </w:tcPr>
          <w:p>
            <w:pPr>
              <w:spacing w:after="0"/>
              <w:rPr>
                <w:sz w:val="20"/>
                <w:szCs w:val="20"/>
                <w:color w:val="auto"/>
              </w:rPr>
            </w:pPr>
          </w:p>
        </w:tc>
      </w:tr>
      <w:tr>
        <w:trPr>
          <w:trHeight w:val="230"/>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Amortized</w:t>
            </w:r>
          </w:p>
        </w:tc>
        <w:tc>
          <w:tcPr>
            <w:tcW w:w="7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w w:val="97"/>
              </w:rPr>
              <w:t>Estimated</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Amortized</w:t>
            </w:r>
          </w:p>
        </w:tc>
        <w:tc>
          <w:tcPr>
            <w:tcW w:w="7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w w:val="97"/>
              </w:rPr>
              <w:t>Estimated</w:t>
            </w:r>
          </w:p>
        </w:tc>
      </w:tr>
      <w:tr>
        <w:trPr>
          <w:trHeight w:val="24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Cost</w:t>
            </w:r>
          </w:p>
        </w:tc>
        <w:tc>
          <w:tcPr>
            <w:tcW w:w="7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Fair Value</w:t>
            </w:r>
          </w:p>
        </w:tc>
        <w:tc>
          <w:tcPr>
            <w:tcW w:w="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Cost</w:t>
            </w:r>
          </w:p>
        </w:tc>
        <w:tc>
          <w:tcPr>
            <w:tcW w:w="7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Fair Value</w:t>
            </w:r>
          </w:p>
        </w:tc>
      </w:tr>
      <w:tr>
        <w:trPr>
          <w:trHeight w:val="24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in one year or less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7,059</w:t>
            </w:r>
          </w:p>
        </w:tc>
        <w:tc>
          <w:tcPr>
            <w:tcW w:w="72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7,636</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1,131</w:t>
            </w:r>
          </w:p>
        </w:tc>
        <w:tc>
          <w:tcPr>
            <w:tcW w:w="72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1,114</w:t>
            </w: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3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9,760</w:t>
            </w:r>
          </w:p>
        </w:tc>
        <w:tc>
          <w:tcPr>
            <w:tcW w:w="7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9,528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17,335</w:t>
            </w:r>
          </w:p>
        </w:tc>
        <w:tc>
          <w:tcPr>
            <w:tcW w:w="7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16,898</w:t>
            </w:r>
          </w:p>
        </w:tc>
      </w:tr>
      <w:tr>
        <w:trPr>
          <w:trHeight w:val="24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after five years through ten years</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39,087</w:t>
            </w:r>
          </w:p>
        </w:tc>
        <w:tc>
          <w:tcPr>
            <w:tcW w:w="7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36,222</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41,600</w:t>
            </w:r>
          </w:p>
        </w:tc>
        <w:tc>
          <w:tcPr>
            <w:tcW w:w="7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38,624</w:t>
            </w:r>
          </w:p>
        </w:tc>
      </w:tr>
      <w:tr>
        <w:trPr>
          <w:trHeight w:val="237"/>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Due after ten years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50,535</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47,526</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23,879</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21,420</w:t>
            </w:r>
          </w:p>
        </w:tc>
      </w:tr>
      <w:tr>
        <w:trPr>
          <w:trHeight w:val="243"/>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Sub-total</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106,441</w:t>
            </w:r>
          </w:p>
        </w:tc>
        <w:tc>
          <w:tcPr>
            <w:tcW w:w="7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100,912</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83,945</w:t>
            </w:r>
          </w:p>
        </w:tc>
        <w:tc>
          <w:tcPr>
            <w:tcW w:w="7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78,056</w:t>
            </w: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Residential mortgage-backed - US agency</w:t>
            </w:r>
          </w:p>
        </w:tc>
        <w:tc>
          <w:tcPr>
            <w:tcW w:w="3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17,439</w:t>
            </w:r>
          </w:p>
        </w:tc>
        <w:tc>
          <w:tcPr>
            <w:tcW w:w="7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16,172</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7,416</w:t>
            </w:r>
          </w:p>
        </w:tc>
        <w:tc>
          <w:tcPr>
            <w:tcW w:w="7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6,783</w:t>
            </w:r>
          </w:p>
        </w:tc>
      </w:tr>
      <w:tr>
        <w:trPr>
          <w:trHeight w:val="24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Collateralized mortgage obligations - US agency</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10,275</w:t>
            </w:r>
          </w:p>
        </w:tc>
        <w:tc>
          <w:tcPr>
            <w:tcW w:w="7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9,260</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14,843</w:t>
            </w:r>
          </w:p>
        </w:tc>
        <w:tc>
          <w:tcPr>
            <w:tcW w:w="7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13,651</w:t>
            </w:r>
          </w:p>
        </w:tc>
      </w:tr>
      <w:tr>
        <w:trPr>
          <w:trHeight w:val="237"/>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Collateralized mortgage obligations - Private label</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64,910</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60,435</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95,462</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91,132</w:t>
            </w:r>
          </w:p>
        </w:tc>
      </w:tr>
      <w:tr>
        <w:trPr>
          <w:trHeight w:val="276"/>
        </w:trPr>
        <w:tc>
          <w:tcPr>
            <w:tcW w:w="466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Totals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199,065</w:t>
            </w:r>
          </w:p>
        </w:tc>
        <w:tc>
          <w:tcPr>
            <w:tcW w:w="72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186,779</w:t>
            </w:r>
          </w:p>
        </w:tc>
        <w:tc>
          <w:tcPr>
            <w:tcW w:w="52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201,666</w:t>
            </w:r>
          </w:p>
        </w:tc>
        <w:tc>
          <w:tcPr>
            <w:tcW w:w="72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189,622</w:t>
            </w:r>
          </w:p>
        </w:tc>
      </w:tr>
      <w:tr>
        <w:trPr>
          <w:trHeight w:val="419"/>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14</w:t>
            </w:r>
            <w:r>
              <w:rPr>
                <w:rFonts w:ascii="Arial" w:cs="Arial" w:eastAsia="Arial" w:hAnsi="Arial"/>
                <w:sz w:val="18"/>
                <w:szCs w:val="18"/>
                <w:color w:val="auto"/>
              </w:rPr>
              <w:t xml:space="preserve"> -</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4" w:name="page15"/>
    <w:bookmarkEnd w:id="14"/>
    <w:p>
      <w:pPr>
        <w:jc w:val="both"/>
        <w:spacing w:after="0" w:line="260" w:lineRule="auto"/>
        <w:rPr>
          <w:sz w:val="20"/>
          <w:szCs w:val="20"/>
          <w:color w:val="auto"/>
        </w:rPr>
      </w:pPr>
      <w:r>
        <w:rPr>
          <w:rFonts w:ascii="Arial" w:cs="Arial" w:eastAsia="Arial" w:hAnsi="Arial"/>
          <w:sz w:val="20"/>
          <w:szCs w:val="20"/>
          <w:color w:val="auto"/>
        </w:rPr>
        <w:t>The Company’s investment securities’ gross unrealized losses and fair value, aggregated by investment category and length of time that individual securities have been in a continuous unrealized loss position,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March 31, 2023</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69"/>
        </w:trPr>
        <w:tc>
          <w:tcPr>
            <w:tcW w:w="2660" w:type="dxa"/>
            <w:vAlign w:val="bottom"/>
          </w:tcPr>
          <w:p>
            <w:pPr>
              <w:spacing w:after="0"/>
              <w:rPr>
                <w:sz w:val="14"/>
                <w:szCs w:val="14"/>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Less than Twelve Months</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4"/>
                <w:szCs w:val="14"/>
                <w:color w:val="auto"/>
                <w:w w:val="95"/>
              </w:rPr>
              <w:t>Twelve Months or More</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64"/>
        </w:trPr>
        <w:tc>
          <w:tcPr>
            <w:tcW w:w="26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Number of</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266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Individual</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Fair</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Individual</w:t>
            </w: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Fair</w:t>
            </w:r>
          </w:p>
        </w:tc>
        <w:tc>
          <w:tcPr>
            <w:tcW w:w="12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Individual</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Fair</w:t>
            </w:r>
          </w:p>
        </w:tc>
      </w:tr>
      <w:tr>
        <w:trPr>
          <w:trHeight w:val="181"/>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Securities</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Losses</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Value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Securities</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Losses</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Securities</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Losses</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Value</w:t>
            </w:r>
          </w:p>
        </w:tc>
      </w:tr>
      <w:tr>
        <w:trPr>
          <w:trHeight w:val="169"/>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b w:val="1"/>
                <w:bCs w:val="1"/>
                <w:i w:val="1"/>
                <w:iCs w:val="1"/>
                <w:color w:val="auto"/>
              </w:rPr>
              <w:t>Available-for-Sale Portfolio</w:t>
            </w:r>
          </w:p>
        </w:tc>
        <w:tc>
          <w:tcPr>
            <w:tcW w:w="8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r>
      <w:tr>
        <w:trPr>
          <w:trHeight w:val="176"/>
        </w:trPr>
        <w:tc>
          <w:tcPr>
            <w:tcW w:w="2660" w:type="dxa"/>
            <w:vAlign w:val="bottom"/>
          </w:tcPr>
          <w:p>
            <w:pPr>
              <w:ind w:left="20"/>
              <w:spacing w:after="0"/>
              <w:rPr>
                <w:sz w:val="20"/>
                <w:szCs w:val="20"/>
                <w:color w:val="auto"/>
              </w:rPr>
            </w:pPr>
            <w:r>
              <w:rPr>
                <w:rFonts w:ascii="Arial" w:cs="Arial" w:eastAsia="Arial" w:hAnsi="Arial"/>
                <w:sz w:val="14"/>
                <w:szCs w:val="14"/>
                <w:color w:val="auto"/>
              </w:rPr>
              <w:t>US Treasury, agencies and GSEs</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(1 )</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1,998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(3,002 )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26,380</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(3,003 )</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28,378</w:t>
            </w:r>
          </w:p>
        </w:tc>
      </w:tr>
      <w:tr>
        <w:trPr>
          <w:trHeight w:val="175"/>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State and political subdivisions</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(9 )</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512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(2,294 )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29,064</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(2,303 )</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29,576</w:t>
            </w:r>
          </w:p>
        </w:tc>
      </w:tr>
      <w:tr>
        <w:trPr>
          <w:trHeight w:val="176"/>
        </w:trPr>
        <w:tc>
          <w:tcPr>
            <w:tcW w:w="2660" w:type="dxa"/>
            <w:vAlign w:val="bottom"/>
          </w:tcPr>
          <w:p>
            <w:pPr>
              <w:ind w:left="20"/>
              <w:spacing w:after="0"/>
              <w:rPr>
                <w:sz w:val="20"/>
                <w:szCs w:val="20"/>
                <w:color w:val="auto"/>
              </w:rPr>
            </w:pPr>
            <w:r>
              <w:rPr>
                <w:rFonts w:ascii="Arial" w:cs="Arial" w:eastAsia="Arial" w:hAnsi="Arial"/>
                <w:sz w:val="14"/>
                <w:szCs w:val="14"/>
                <w:color w:val="auto"/>
              </w:rPr>
              <w:t>Corporate</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(3 )</w:t>
            </w:r>
          </w:p>
        </w:tc>
        <w:tc>
          <w:tcPr>
            <w:tcW w:w="2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1,697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(592 )</w:t>
            </w:r>
          </w:p>
        </w:tc>
        <w:tc>
          <w:tcPr>
            <w:tcW w:w="16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5,140</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(595 )</w:t>
            </w:r>
          </w:p>
        </w:tc>
        <w:tc>
          <w:tcPr>
            <w:tcW w:w="2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6,837</w:t>
            </w:r>
          </w:p>
        </w:tc>
      </w:tr>
      <w:tr>
        <w:trPr>
          <w:trHeight w:val="175"/>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 backed securities</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(116 )</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4,384</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(469 )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10,454</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(585 )</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14,838</w:t>
            </w:r>
          </w:p>
        </w:tc>
      </w:tr>
      <w:tr>
        <w:trPr>
          <w:trHeight w:val="176"/>
        </w:trPr>
        <w:tc>
          <w:tcPr>
            <w:tcW w:w="2660" w:type="dxa"/>
            <w:vAlign w:val="bottom"/>
          </w:tcPr>
          <w:p>
            <w:pPr>
              <w:ind w:left="20"/>
              <w:spacing w:after="0"/>
              <w:rPr>
                <w:sz w:val="20"/>
                <w:szCs w:val="20"/>
                <w:color w:val="auto"/>
              </w:rPr>
            </w:pPr>
            <w:r>
              <w:rPr>
                <w:rFonts w:ascii="Arial" w:cs="Arial" w:eastAsia="Arial" w:hAnsi="Arial"/>
                <w:sz w:val="14"/>
                <w:szCs w:val="14"/>
                <w:color w:val="auto"/>
                <w:w w:val="99"/>
              </w:rPr>
              <w:t>Residential mortgage-backed - US agency</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(8 )</w:t>
            </w:r>
          </w:p>
        </w:tc>
        <w:tc>
          <w:tcPr>
            <w:tcW w:w="2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628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4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(1,259 )</w:t>
            </w:r>
          </w:p>
        </w:tc>
        <w:tc>
          <w:tcPr>
            <w:tcW w:w="16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15,544</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(1,267 )</w:t>
            </w:r>
          </w:p>
        </w:tc>
        <w:tc>
          <w:tcPr>
            <w:tcW w:w="2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16,172</w:t>
            </w:r>
          </w:p>
        </w:tc>
      </w:tr>
      <w:tr>
        <w:trPr>
          <w:trHeight w:val="143"/>
        </w:trPr>
        <w:tc>
          <w:tcPr>
            <w:tcW w:w="26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Collateralized mortgage obligations - US</w:t>
            </w:r>
          </w:p>
        </w:tc>
        <w:tc>
          <w:tcPr>
            <w:tcW w:w="8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81"/>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agency</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(214 )</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3,374</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(801 )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5,886</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(1,015 )</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9,260</w:t>
            </w: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4"/>
                <w:szCs w:val="14"/>
                <w:color w:val="auto"/>
              </w:rPr>
              <w:t>Collateralized mortgage obligations -</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1"/>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Private label</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(424 )</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8,021</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29</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(4,051 )</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48,666</w:t>
            </w:r>
          </w:p>
        </w:tc>
        <w:tc>
          <w:tcPr>
            <w:tcW w:w="10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35</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(4,475 )</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56,687</w:t>
            </w:r>
          </w:p>
        </w:tc>
      </w:tr>
      <w:tr>
        <w:trPr>
          <w:trHeight w:val="209"/>
        </w:trPr>
        <w:tc>
          <w:tcPr>
            <w:tcW w:w="26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Totals</w:t>
            </w: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18</w:t>
            </w:r>
          </w:p>
        </w:tc>
        <w:tc>
          <w:tcPr>
            <w:tcW w:w="3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(775 )</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20,614</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(12,468 )</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94"/>
              </w:rPr>
              <w:t>141,134</w:t>
            </w:r>
          </w:p>
        </w:tc>
        <w:tc>
          <w:tcPr>
            <w:tcW w:w="1000" w:type="dxa"/>
            <w:vAlign w:val="bottom"/>
            <w:tcBorders>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(13,243 )</w:t>
            </w:r>
          </w:p>
        </w:tc>
        <w:tc>
          <w:tcPr>
            <w:tcW w:w="2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161,748</w:t>
            </w:r>
          </w:p>
        </w:tc>
      </w:tr>
      <w:tr>
        <w:trPr>
          <w:trHeight w:val="156"/>
        </w:trPr>
        <w:tc>
          <w:tcPr>
            <w:tcW w:w="2660" w:type="dxa"/>
            <w:vAlign w:val="bottom"/>
          </w:tcPr>
          <w:p>
            <w:pPr>
              <w:ind w:left="20"/>
              <w:spacing w:after="0" w:line="156" w:lineRule="exact"/>
              <w:rPr>
                <w:sz w:val="20"/>
                <w:szCs w:val="20"/>
                <w:color w:val="auto"/>
              </w:rPr>
            </w:pPr>
            <w:r>
              <w:rPr>
                <w:rFonts w:ascii="Arial" w:cs="Arial" w:eastAsia="Arial" w:hAnsi="Arial"/>
                <w:sz w:val="14"/>
                <w:szCs w:val="14"/>
                <w:b w:val="1"/>
                <w:bCs w:val="1"/>
                <w:i w:val="1"/>
                <w:iCs w:val="1"/>
                <w:color w:val="auto"/>
              </w:rPr>
              <w:t>Held-to-Maturity Portfolio</w:t>
            </w: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5"/>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b w:val="1"/>
                <w:bCs w:val="1"/>
                <w:i w:val="1"/>
                <w:iCs w:val="1"/>
                <w:color w:val="auto"/>
              </w:rPr>
              <w:t>US Treasury, agencies and GSEs</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(265 )</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3,576</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(265 )</w:t>
            </w:r>
          </w:p>
        </w:tc>
        <w:tc>
          <w:tcPr>
            <w:tcW w:w="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3,576</w:t>
            </w:r>
          </w:p>
        </w:tc>
      </w:tr>
      <w:tr>
        <w:trPr>
          <w:trHeight w:val="176"/>
        </w:trPr>
        <w:tc>
          <w:tcPr>
            <w:tcW w:w="2660" w:type="dxa"/>
            <w:vAlign w:val="bottom"/>
          </w:tcPr>
          <w:p>
            <w:pPr>
              <w:ind w:left="20"/>
              <w:spacing w:after="0"/>
              <w:rPr>
                <w:sz w:val="20"/>
                <w:szCs w:val="20"/>
                <w:color w:val="auto"/>
              </w:rPr>
            </w:pPr>
            <w:r>
              <w:rPr>
                <w:rFonts w:ascii="Arial" w:cs="Arial" w:eastAsia="Arial" w:hAnsi="Arial"/>
                <w:sz w:val="14"/>
                <w:szCs w:val="14"/>
                <w:color w:val="auto"/>
              </w:rPr>
              <w:t>State and political subdivisions</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(131 )</w:t>
            </w:r>
          </w:p>
        </w:tc>
        <w:tc>
          <w:tcPr>
            <w:tcW w:w="2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2,557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4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(1,734 )</w:t>
            </w:r>
          </w:p>
        </w:tc>
        <w:tc>
          <w:tcPr>
            <w:tcW w:w="16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10,620</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(1,865 )</w:t>
            </w:r>
          </w:p>
        </w:tc>
        <w:tc>
          <w:tcPr>
            <w:tcW w:w="2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13,177</w:t>
            </w:r>
          </w:p>
        </w:tc>
      </w:tr>
      <w:tr>
        <w:trPr>
          <w:trHeight w:val="175"/>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Corporate</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(696 )</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13,045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(2,007 )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22,886</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41</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(2,703 )</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35,931</w:t>
            </w:r>
          </w:p>
        </w:tc>
      </w:tr>
      <w:tr>
        <w:trPr>
          <w:trHeight w:val="176"/>
        </w:trPr>
        <w:tc>
          <w:tcPr>
            <w:tcW w:w="2660" w:type="dxa"/>
            <w:vAlign w:val="bottom"/>
          </w:tcPr>
          <w:p>
            <w:pPr>
              <w:ind w:left="20"/>
              <w:spacing w:after="0"/>
              <w:rPr>
                <w:sz w:val="20"/>
                <w:szCs w:val="20"/>
                <w:color w:val="auto"/>
              </w:rPr>
            </w:pPr>
            <w:r>
              <w:rPr>
                <w:rFonts w:ascii="Arial" w:cs="Arial" w:eastAsia="Arial" w:hAnsi="Arial"/>
                <w:sz w:val="14"/>
                <w:szCs w:val="14"/>
                <w:color w:val="auto"/>
              </w:rPr>
              <w:t>Asset backed securities</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(353 )</w:t>
            </w:r>
          </w:p>
        </w:tc>
        <w:tc>
          <w:tcPr>
            <w:tcW w:w="2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7,571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(720 )</w:t>
            </w:r>
          </w:p>
        </w:tc>
        <w:tc>
          <w:tcPr>
            <w:tcW w:w="16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5,651</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(1,073 )</w:t>
            </w:r>
          </w:p>
        </w:tc>
        <w:tc>
          <w:tcPr>
            <w:tcW w:w="2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13,222</w:t>
            </w:r>
          </w:p>
        </w:tc>
      </w:tr>
      <w:tr>
        <w:trPr>
          <w:trHeight w:val="176"/>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Residential mortgage-backed - US agency</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(54 )</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2,267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(582 )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3,606</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(636 )</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5,873</w:t>
            </w: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4"/>
                <w:szCs w:val="14"/>
                <w:color w:val="auto"/>
              </w:rPr>
              <w:t>Collateralized mortgage obligations - US</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1"/>
        </w:trPr>
        <w:tc>
          <w:tcPr>
            <w:tcW w:w="2660" w:type="dxa"/>
            <w:vAlign w:val="bottom"/>
          </w:tcPr>
          <w:p>
            <w:pPr>
              <w:ind w:left="20"/>
              <w:spacing w:after="0"/>
              <w:rPr>
                <w:sz w:val="20"/>
                <w:szCs w:val="20"/>
                <w:color w:val="auto"/>
              </w:rPr>
            </w:pPr>
            <w:r>
              <w:rPr>
                <w:rFonts w:ascii="Arial" w:cs="Arial" w:eastAsia="Arial" w:hAnsi="Arial"/>
                <w:sz w:val="14"/>
                <w:szCs w:val="14"/>
                <w:color w:val="auto"/>
              </w:rPr>
              <w:t>agency</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(152 )</w:t>
            </w:r>
          </w:p>
        </w:tc>
        <w:tc>
          <w:tcPr>
            <w:tcW w:w="2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4,766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(1,040 )</w:t>
            </w:r>
          </w:p>
        </w:tc>
        <w:tc>
          <w:tcPr>
            <w:tcW w:w="16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8,885</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(1,192 )</w:t>
            </w:r>
          </w:p>
        </w:tc>
        <w:tc>
          <w:tcPr>
            <w:tcW w:w="2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13,651</w:t>
            </w:r>
          </w:p>
        </w:tc>
      </w:tr>
      <w:tr>
        <w:trPr>
          <w:trHeight w:val="143"/>
        </w:trPr>
        <w:tc>
          <w:tcPr>
            <w:tcW w:w="26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Collateralized mortgage obligations -</w:t>
            </w:r>
          </w:p>
        </w:tc>
        <w:tc>
          <w:tcPr>
            <w:tcW w:w="8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81"/>
        </w:trPr>
        <w:tc>
          <w:tcPr>
            <w:tcW w:w="26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Private label</w:t>
            </w: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22</w:t>
            </w:r>
          </w:p>
        </w:tc>
        <w:tc>
          <w:tcPr>
            <w:tcW w:w="3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(1,328 )</w:t>
            </w: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36,162</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4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(3,009 )</w:t>
            </w: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39,587</w:t>
            </w:r>
          </w:p>
        </w:tc>
        <w:tc>
          <w:tcPr>
            <w:tcW w:w="1000" w:type="dxa"/>
            <w:vAlign w:val="bottom"/>
            <w:tcBorders>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50</w:t>
            </w:r>
          </w:p>
        </w:tc>
        <w:tc>
          <w:tcPr>
            <w:tcW w:w="2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(4,337 )</w:t>
            </w:r>
          </w:p>
        </w:tc>
        <w:tc>
          <w:tcPr>
            <w:tcW w:w="2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75,749</w:t>
            </w:r>
          </w:p>
        </w:tc>
      </w:tr>
      <w:tr>
        <w:trPr>
          <w:trHeight w:val="16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Totals</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(2,979 )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69,944</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82</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(9,092 )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91,235</w:t>
            </w:r>
          </w:p>
        </w:tc>
        <w:tc>
          <w:tcPr>
            <w:tcW w:w="10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140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(12,071 )</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161,179</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99"/>
        </w:trPr>
        <w:tc>
          <w:tcPr>
            <w:tcW w:w="26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December 31, 2022</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69"/>
        </w:trPr>
        <w:tc>
          <w:tcPr>
            <w:tcW w:w="2660" w:type="dxa"/>
            <w:vAlign w:val="bottom"/>
          </w:tcPr>
          <w:p>
            <w:pPr>
              <w:spacing w:after="0"/>
              <w:rPr>
                <w:sz w:val="14"/>
                <w:szCs w:val="14"/>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Less than Twelve Months</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4"/>
                <w:szCs w:val="14"/>
                <w:color w:val="auto"/>
                <w:w w:val="95"/>
              </w:rPr>
              <w:t>Twelve Months or More</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64"/>
        </w:trPr>
        <w:tc>
          <w:tcPr>
            <w:tcW w:w="26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Number of</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5"/>
        </w:trPr>
        <w:tc>
          <w:tcPr>
            <w:tcW w:w="266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Individual</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Fair</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Individual</w:t>
            </w: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Fair</w:t>
            </w:r>
          </w:p>
        </w:tc>
        <w:tc>
          <w:tcPr>
            <w:tcW w:w="12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Individual</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Fair</w:t>
            </w:r>
          </w:p>
        </w:tc>
      </w:tr>
      <w:tr>
        <w:trPr>
          <w:trHeight w:val="181"/>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Securities</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Losses</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Value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Securities</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Losses</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Securities</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Losses</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Value</w:t>
            </w:r>
          </w:p>
        </w:tc>
      </w:tr>
      <w:tr>
        <w:trPr>
          <w:trHeight w:val="169"/>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b w:val="1"/>
                <w:bCs w:val="1"/>
                <w:i w:val="1"/>
                <w:iCs w:val="1"/>
                <w:color w:val="auto"/>
              </w:rPr>
              <w:t>Available-for-Sale Portfolio</w:t>
            </w:r>
          </w:p>
        </w:tc>
        <w:tc>
          <w:tcPr>
            <w:tcW w:w="8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r>
      <w:tr>
        <w:trPr>
          <w:trHeight w:val="176"/>
        </w:trPr>
        <w:tc>
          <w:tcPr>
            <w:tcW w:w="2660" w:type="dxa"/>
            <w:vAlign w:val="bottom"/>
          </w:tcPr>
          <w:p>
            <w:pPr>
              <w:ind w:left="20"/>
              <w:spacing w:after="0"/>
              <w:rPr>
                <w:sz w:val="20"/>
                <w:szCs w:val="20"/>
                <w:color w:val="auto"/>
              </w:rPr>
            </w:pPr>
            <w:r>
              <w:rPr>
                <w:rFonts w:ascii="Arial" w:cs="Arial" w:eastAsia="Arial" w:hAnsi="Arial"/>
                <w:sz w:val="14"/>
                <w:szCs w:val="14"/>
                <w:color w:val="auto"/>
              </w:rPr>
              <w:t>US Treasury, agencies and GSEs</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(3,206 )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26,167</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(3,206 )</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26,167</w:t>
            </w:r>
          </w:p>
        </w:tc>
      </w:tr>
      <w:tr>
        <w:trPr>
          <w:trHeight w:val="175"/>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State and political subdivisions</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(830 )</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12,601</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(2,171 )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20,128</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27</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(3,001 )</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32,729</w:t>
            </w:r>
          </w:p>
        </w:tc>
      </w:tr>
      <w:tr>
        <w:trPr>
          <w:trHeight w:val="175"/>
        </w:trPr>
        <w:tc>
          <w:tcPr>
            <w:tcW w:w="2660" w:type="dxa"/>
            <w:vAlign w:val="bottom"/>
          </w:tcPr>
          <w:p>
            <w:pPr>
              <w:ind w:left="20"/>
              <w:spacing w:after="0"/>
              <w:rPr>
                <w:sz w:val="20"/>
                <w:szCs w:val="20"/>
                <w:color w:val="auto"/>
              </w:rPr>
            </w:pPr>
            <w:r>
              <w:rPr>
                <w:rFonts w:ascii="Arial" w:cs="Arial" w:eastAsia="Arial" w:hAnsi="Arial"/>
                <w:sz w:val="14"/>
                <w:szCs w:val="14"/>
                <w:color w:val="auto"/>
              </w:rPr>
              <w:t>Corporate</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(269 )</w:t>
            </w:r>
          </w:p>
        </w:tc>
        <w:tc>
          <w:tcPr>
            <w:tcW w:w="2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5,720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(381 )</w:t>
            </w:r>
          </w:p>
        </w:tc>
        <w:tc>
          <w:tcPr>
            <w:tcW w:w="16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1,319</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(650 )</w:t>
            </w:r>
          </w:p>
        </w:tc>
        <w:tc>
          <w:tcPr>
            <w:tcW w:w="2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7,039</w:t>
            </w:r>
          </w:p>
        </w:tc>
      </w:tr>
      <w:tr>
        <w:trPr>
          <w:trHeight w:val="175"/>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 backed securities</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(148 )</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5,473</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(511 )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9,926</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(659 )</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15,399</w:t>
            </w:r>
          </w:p>
        </w:tc>
      </w:tr>
      <w:tr>
        <w:trPr>
          <w:trHeight w:val="175"/>
        </w:trPr>
        <w:tc>
          <w:tcPr>
            <w:tcW w:w="2660" w:type="dxa"/>
            <w:vAlign w:val="bottom"/>
          </w:tcPr>
          <w:p>
            <w:pPr>
              <w:ind w:left="20"/>
              <w:spacing w:after="0"/>
              <w:rPr>
                <w:sz w:val="20"/>
                <w:szCs w:val="20"/>
                <w:color w:val="auto"/>
              </w:rPr>
            </w:pPr>
            <w:r>
              <w:rPr>
                <w:rFonts w:ascii="Arial" w:cs="Arial" w:eastAsia="Arial" w:hAnsi="Arial"/>
                <w:sz w:val="14"/>
                <w:szCs w:val="14"/>
                <w:color w:val="auto"/>
                <w:w w:val="99"/>
              </w:rPr>
              <w:t>Residential mortgage-backed - US agency</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(131 )</w:t>
            </w:r>
          </w:p>
        </w:tc>
        <w:tc>
          <w:tcPr>
            <w:tcW w:w="2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2,747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(1,451 )</w:t>
            </w:r>
          </w:p>
        </w:tc>
        <w:tc>
          <w:tcPr>
            <w:tcW w:w="16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13,653</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(1,582 )</w:t>
            </w:r>
          </w:p>
        </w:tc>
        <w:tc>
          <w:tcPr>
            <w:tcW w:w="2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16,400</w:t>
            </w:r>
          </w:p>
        </w:tc>
      </w:tr>
      <w:tr>
        <w:trPr>
          <w:trHeight w:val="143"/>
        </w:trPr>
        <w:tc>
          <w:tcPr>
            <w:tcW w:w="26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Collateralized mortgage obligations - US</w:t>
            </w:r>
          </w:p>
        </w:tc>
        <w:tc>
          <w:tcPr>
            <w:tcW w:w="8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81"/>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agency</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(238 )</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4,009</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(1,124 )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7,700</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(1,362 )</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11,709</w:t>
            </w: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4"/>
                <w:szCs w:val="14"/>
                <w:color w:val="auto"/>
              </w:rPr>
              <w:t>Collateralized mortgage obligations -</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1"/>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Private label</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(1,684 )</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20,429</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19</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(2,671 )</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33,707</w:t>
            </w:r>
          </w:p>
        </w:tc>
        <w:tc>
          <w:tcPr>
            <w:tcW w:w="10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34</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(4,355 )</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54,136</w:t>
            </w:r>
          </w:p>
        </w:tc>
      </w:tr>
      <w:tr>
        <w:trPr>
          <w:trHeight w:val="209"/>
        </w:trPr>
        <w:tc>
          <w:tcPr>
            <w:tcW w:w="26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Totals</w:t>
            </w: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53</w:t>
            </w:r>
          </w:p>
        </w:tc>
        <w:tc>
          <w:tcPr>
            <w:tcW w:w="3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(3,300 )</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50,979</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(11,515 )</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94"/>
              </w:rPr>
              <w:t>112,600</w:t>
            </w:r>
          </w:p>
        </w:tc>
        <w:tc>
          <w:tcPr>
            <w:tcW w:w="1000" w:type="dxa"/>
            <w:vAlign w:val="bottom"/>
            <w:tcBorders>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110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(14,815 )</w:t>
            </w:r>
          </w:p>
        </w:tc>
        <w:tc>
          <w:tcPr>
            <w:tcW w:w="2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163,579</w:t>
            </w:r>
          </w:p>
        </w:tc>
      </w:tr>
      <w:tr>
        <w:trPr>
          <w:trHeight w:val="156"/>
        </w:trPr>
        <w:tc>
          <w:tcPr>
            <w:tcW w:w="2660" w:type="dxa"/>
            <w:vAlign w:val="bottom"/>
          </w:tcPr>
          <w:p>
            <w:pPr>
              <w:ind w:left="20"/>
              <w:spacing w:after="0" w:line="156" w:lineRule="exact"/>
              <w:rPr>
                <w:sz w:val="20"/>
                <w:szCs w:val="20"/>
                <w:color w:val="auto"/>
              </w:rPr>
            </w:pPr>
            <w:r>
              <w:rPr>
                <w:rFonts w:ascii="Arial" w:cs="Arial" w:eastAsia="Arial" w:hAnsi="Arial"/>
                <w:sz w:val="14"/>
                <w:szCs w:val="14"/>
                <w:b w:val="1"/>
                <w:bCs w:val="1"/>
                <w:i w:val="1"/>
                <w:iCs w:val="1"/>
                <w:color w:val="auto"/>
              </w:rPr>
              <w:t>Held-to-Maturity Portfolio</w:t>
            </w: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5"/>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US Treasury, agencies and GSE's</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(280 )</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3,573</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(280 )</w:t>
            </w:r>
          </w:p>
        </w:tc>
        <w:tc>
          <w:tcPr>
            <w:tcW w:w="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3,573</w:t>
            </w:r>
          </w:p>
        </w:tc>
      </w:tr>
      <w:tr>
        <w:trPr>
          <w:trHeight w:val="175"/>
        </w:trPr>
        <w:tc>
          <w:tcPr>
            <w:tcW w:w="2660" w:type="dxa"/>
            <w:vAlign w:val="bottom"/>
          </w:tcPr>
          <w:p>
            <w:pPr>
              <w:ind w:left="20"/>
              <w:spacing w:after="0"/>
              <w:rPr>
                <w:sz w:val="20"/>
                <w:szCs w:val="20"/>
                <w:color w:val="auto"/>
              </w:rPr>
            </w:pPr>
            <w:r>
              <w:rPr>
                <w:rFonts w:ascii="Arial" w:cs="Arial" w:eastAsia="Arial" w:hAnsi="Arial"/>
                <w:sz w:val="14"/>
                <w:szCs w:val="14"/>
                <w:color w:val="auto"/>
              </w:rPr>
              <w:t>State and political subdivisions</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(871 )</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7,277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(1,469 )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5,077</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14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(2,340 )</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12,354</w:t>
            </w:r>
          </w:p>
        </w:tc>
      </w:tr>
      <w:tr>
        <w:trPr>
          <w:trHeight w:val="175"/>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Corporate</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31</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(1,786 )</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29,213</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(800 )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6,803</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40</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(2,586 )</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36,016</w:t>
            </w:r>
          </w:p>
        </w:tc>
      </w:tr>
      <w:tr>
        <w:trPr>
          <w:trHeight w:val="175"/>
        </w:trPr>
        <w:tc>
          <w:tcPr>
            <w:tcW w:w="2660" w:type="dxa"/>
            <w:vAlign w:val="bottom"/>
          </w:tcPr>
          <w:p>
            <w:pPr>
              <w:ind w:left="20"/>
              <w:spacing w:after="0"/>
              <w:rPr>
                <w:sz w:val="20"/>
                <w:szCs w:val="20"/>
                <w:color w:val="auto"/>
              </w:rPr>
            </w:pPr>
            <w:r>
              <w:rPr>
                <w:rFonts w:ascii="Arial" w:cs="Arial" w:eastAsia="Arial" w:hAnsi="Arial"/>
                <w:sz w:val="14"/>
                <w:szCs w:val="14"/>
                <w:color w:val="auto"/>
              </w:rPr>
              <w:t>Asset backed securities</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(625 )</w:t>
            </w:r>
          </w:p>
        </w:tc>
        <w:tc>
          <w:tcPr>
            <w:tcW w:w="2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9,742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(666 )</w:t>
            </w:r>
          </w:p>
        </w:tc>
        <w:tc>
          <w:tcPr>
            <w:tcW w:w="16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3,674</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(1,291 )</w:t>
            </w:r>
          </w:p>
        </w:tc>
        <w:tc>
          <w:tcPr>
            <w:tcW w:w="2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13,416</w:t>
            </w:r>
          </w:p>
        </w:tc>
      </w:tr>
      <w:tr>
        <w:trPr>
          <w:trHeight w:val="175"/>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Residential mortgage-backed - US agency</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(736 )</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6,577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107</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(739 )</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6,684</w:t>
            </w: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4"/>
                <w:szCs w:val="14"/>
                <w:color w:val="auto"/>
              </w:rPr>
              <w:t>Collateralized mortgage obligations - US</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1"/>
        </w:trPr>
        <w:tc>
          <w:tcPr>
            <w:tcW w:w="2660" w:type="dxa"/>
            <w:vAlign w:val="bottom"/>
          </w:tcPr>
          <w:p>
            <w:pPr>
              <w:ind w:left="20"/>
              <w:spacing w:after="0"/>
              <w:rPr>
                <w:sz w:val="20"/>
                <w:szCs w:val="20"/>
                <w:color w:val="auto"/>
              </w:rPr>
            </w:pPr>
            <w:r>
              <w:rPr>
                <w:rFonts w:ascii="Arial" w:cs="Arial" w:eastAsia="Arial" w:hAnsi="Arial"/>
                <w:sz w:val="14"/>
                <w:szCs w:val="14"/>
                <w:color w:val="auto"/>
              </w:rPr>
              <w:t>agency</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(1,236 )</w:t>
            </w:r>
          </w:p>
        </w:tc>
        <w:tc>
          <w:tcPr>
            <w:tcW w:w="2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12,965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(15 )</w:t>
            </w:r>
          </w:p>
        </w:tc>
        <w:tc>
          <w:tcPr>
            <w:tcW w:w="16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892</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(1,251 )</w:t>
            </w:r>
          </w:p>
        </w:tc>
        <w:tc>
          <w:tcPr>
            <w:tcW w:w="2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13,857</w:t>
            </w:r>
          </w:p>
        </w:tc>
      </w:tr>
      <w:tr>
        <w:trPr>
          <w:trHeight w:val="143"/>
        </w:trPr>
        <w:tc>
          <w:tcPr>
            <w:tcW w:w="26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Collateralized mortgage obligations -</w:t>
            </w:r>
          </w:p>
        </w:tc>
        <w:tc>
          <w:tcPr>
            <w:tcW w:w="8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81"/>
        </w:trPr>
        <w:tc>
          <w:tcPr>
            <w:tcW w:w="26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Private label</w:t>
            </w: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38</w:t>
            </w:r>
          </w:p>
        </w:tc>
        <w:tc>
          <w:tcPr>
            <w:tcW w:w="3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(2,719 )</w:t>
            </w: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58,061</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4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(1,711 )</w:t>
            </w: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12,532</w:t>
            </w:r>
          </w:p>
        </w:tc>
        <w:tc>
          <w:tcPr>
            <w:tcW w:w="1000" w:type="dxa"/>
            <w:vAlign w:val="bottom"/>
            <w:tcBorders>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46</w:t>
            </w:r>
          </w:p>
        </w:tc>
        <w:tc>
          <w:tcPr>
            <w:tcW w:w="2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(4,430 )</w:t>
            </w:r>
          </w:p>
        </w:tc>
        <w:tc>
          <w:tcPr>
            <w:tcW w:w="2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70,593</w:t>
            </w:r>
          </w:p>
        </w:tc>
      </w:tr>
      <w:tr>
        <w:trPr>
          <w:trHeight w:val="16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Totals</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(8,253 )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127,408</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29</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(4,664 )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29,085</w:t>
            </w:r>
          </w:p>
        </w:tc>
        <w:tc>
          <w:tcPr>
            <w:tcW w:w="10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133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(12,917 )</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156,493</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Excluding the effects of changes in the characteristics of individual debt securities that potentially give rise to credit losses, as described below, the fair market value of a debt security as of a particular measurement date is highly dependent upon prevailing market and economic environmental factors at the measurement date relative to the prevailing market and economic environmental factors present at the time the debt security was acquired. The most significant market and environmental factors include, but are not limited to (1) the general level of interest rates, (2) the relationship between shorter-term interest rates and longer-term interest rates (referred to as the “slope” or "shape" of the interest rate yield curve),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15</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5" w:name="page16"/>
    <w:bookmarkEnd w:id="15"/>
    <w:p>
      <w:pPr>
        <w:jc w:val="both"/>
        <w:ind w:firstLine="8"/>
        <w:spacing w:after="0" w:line="255" w:lineRule="auto"/>
        <w:tabs>
          <w:tab w:leader="none" w:pos="289" w:val="left"/>
        </w:tabs>
        <w:numPr>
          <w:ilvl w:val="0"/>
          <w:numId w:val="3"/>
        </w:numPr>
        <w:rPr>
          <w:rFonts w:ascii="Arial" w:cs="Arial" w:eastAsia="Arial" w:hAnsi="Arial"/>
          <w:sz w:val="19"/>
          <w:szCs w:val="19"/>
          <w:color w:val="auto"/>
        </w:rPr>
      </w:pPr>
      <w:r>
        <w:rPr>
          <w:rFonts w:ascii="Arial" w:cs="Arial" w:eastAsia="Arial" w:hAnsi="Arial"/>
          <w:sz w:val="19"/>
          <w:szCs w:val="19"/>
          <w:color w:val="auto"/>
        </w:rPr>
        <w:t>general bond market liquidity, (4) the recent and expected near-term volume of new issuances of similar debt securities, and (5) changes in the market values of individual loan collateral underlying mortgage-backed an asset-backed debt securities. Changes in interest rates affect the fair market values of debt securities by influencing the discount rate applied to the securities’ future expected cash flows. The higher the discount rate, the lower the resultant security fair value at the measurement date. Conversely, the lower the discount rate, the higher the resultant security fair value at the measurement date. In addition, the cumulative amount and timing of undiscounted cash flows of debt securities may also be affected by changes in interest rates. For any given level of movement in the general market and economic environmental factors described above, the magnitude of any particular debt security’s price changes will also depend heavily upon security-specific factors such as (1) the duration of the security, (2) imbedded optionality contractually granted to the issuer of the security with respect to principal prepayments, and (3) changes in the level of market premiums demanded by investors for securities with imbedded credit risk (where applicable).</w:t>
      </w:r>
    </w:p>
    <w:p>
      <w:pPr>
        <w:spacing w:after="0" w:line="29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When the fair value of any individual security categorized as available-for-sale ("AFS") or held-to-maturity ("HTM") is less than its amortized cost basis, an assessment is made as to whether or not a charge to current earnings for credit loss is required. In assessing potential credit losses, management also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and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carries all of its AFS investments at fair value with any unrealized gains or losses reported, net of income tax effects, as an adjustment to shareholders' equity and included in accumulated other comprehensive income (loss), except for the credit-related portion of debt securities’ impairment losses, if any, which are charged to earnings. The Company's ability to fully realize the value of its investments in various securities, including corporate debt securities, is dependent on the underlying creditworthiness of the issuing organization. In evaluating the debt securities portfolio (both AFS and HTM)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26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portion of the investment securities portfolio, categorized as AFS, with an aggregate amortized historical cost of $ 199.3 million, had an aggregate fair value that was less than its aggregate amortized historical cost by $13.2 million, or -6.7%, at March 31, 2023. The AFS securities portfolio, with an aggregate amortized historical cost of $205.4 million, had an aggregate fair value that was less than its aggregate amortized historical cost by $14.8 million, or -7.2%, at December 31, 2022. The resultant $1.6 million total improvement in the fair value of the AFS investment portfolio's aggregate fair value relative to its aggregate amortized historical cost, in the three months ended March 31, 2023, was primarily due to the modest decline in general interest rates that occurred in that period and did not represent any changes in credit loss estimations within the portfolio occurring during the three months ended March 31, 2023. Management evaluated the individual securities within the AFS securities portfolio and determined that there was no material credit loss in that portfolio at the adoption date of the CECL methodology on January 1, 2023 or at the reporting date of March 31, 2023. Accordingly, no transition adjustment related to the adoption of ASU 2016-13 was recorded on January 1, 2023 and no provision for credit losses was recorded for the AFS investment securities portfolio in the quarter ended March 31, 2023.</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portion of the investment securities portfolio, categorized as HTM, with an aggregate amortized historical cost of $201.7 million, had an aggregate fair value that was less than its aggregate amortized historical cost by $12.1 million, or -4.5%, at March 31, 2023. The resultant $846,000 total improvement in the aggregate fair value of the HTM investment portfolio, relative to its aggregate amortized historical cost, during the three months ended March 31, 2023, was primarily due to the modest decline in general interest rates that occurred in that period. The Company does not intend to sell these securities, nor is it more likely than not that the Company will be required to sell these securities prior to the recovery of the amortized cost. The Company does not intend to sell these securities, nor is it more likely than not that the Company will be required to sell these securities prior to the recovery of the amortized cost.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16</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6" w:name="page17"/>
    <w:bookmarkEnd w:id="16"/>
    <w:p>
      <w:pPr>
        <w:jc w:val="both"/>
        <w:spacing w:after="0" w:line="321" w:lineRule="auto"/>
        <w:rPr>
          <w:sz w:val="20"/>
          <w:szCs w:val="20"/>
          <w:color w:val="auto"/>
        </w:rPr>
      </w:pPr>
      <w:r>
        <w:rPr>
          <w:rFonts w:ascii="Arial" w:cs="Arial" w:eastAsia="Arial" w:hAnsi="Arial"/>
          <w:sz w:val="16"/>
          <w:szCs w:val="16"/>
          <w:color w:val="auto"/>
        </w:rPr>
        <w:t>As a result of the Company's adoption of ASU 2016-13, the Company established a reserve against the recorded aggregate value of the HTM investment securities portfolio in the amount of $450,000 at January 1, 2023. The reserve was determined using a discounted probability of default ("PD") - loss given default ("LGD") model consistent with the methodologies used to calculate the Company's ACL. Given that the securities classified as HTM that were subject to potential credit losses were substantially unchanged during the three months ended March 31, 2023, no provision for credit losses was recorded for the HTM investment securities portfolio in the quarter ended March 31, 2023.</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depicts a rollforward of the allowance for credit losses on investment securities classified as held-to-maturity for the three months ended March 31,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1980" w:type="dxa"/>
            <w:vAlign w:val="bottom"/>
            <w:gridSpan w:val="2"/>
          </w:tcPr>
          <w:p>
            <w:pPr>
              <w:jc w:val="center"/>
              <w:ind w:left="147"/>
              <w:spacing w:after="0"/>
              <w:rPr>
                <w:sz w:val="20"/>
                <w:szCs w:val="20"/>
                <w:color w:val="auto"/>
              </w:rPr>
            </w:pPr>
            <w:r>
              <w:rPr>
                <w:rFonts w:ascii="Arial" w:cs="Arial" w:eastAsia="Arial" w:hAnsi="Arial"/>
                <w:sz w:val="20"/>
                <w:szCs w:val="20"/>
                <w:color w:val="auto"/>
                <w:w w:val="88"/>
              </w:rPr>
              <w:t>Government Issued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center"/>
              <w:ind w:right="147"/>
              <w:spacing w:after="0"/>
              <w:rPr>
                <w:sz w:val="20"/>
                <w:szCs w:val="20"/>
                <w:color w:val="auto"/>
              </w:rPr>
            </w:pPr>
            <w:r>
              <w:rPr>
                <w:rFonts w:ascii="Arial" w:cs="Arial" w:eastAsia="Arial" w:hAnsi="Arial"/>
                <w:sz w:val="20"/>
                <w:szCs w:val="20"/>
                <w:color w:val="auto"/>
                <w:w w:val="88"/>
              </w:rPr>
              <w:t>Securities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center"/>
              <w:ind w:right="127"/>
              <w:spacing w:after="0"/>
              <w:rPr>
                <w:sz w:val="20"/>
                <w:szCs w:val="20"/>
                <w:color w:val="auto"/>
              </w:rPr>
            </w:pPr>
            <w:r>
              <w:rPr>
                <w:rFonts w:ascii="Arial" w:cs="Arial" w:eastAsia="Arial" w:hAnsi="Arial"/>
                <w:sz w:val="20"/>
                <w:szCs w:val="20"/>
                <w:color w:val="auto"/>
                <w:w w:val="89"/>
              </w:rPr>
              <w:t>and Government</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center"/>
              <w:ind w:right="147"/>
              <w:spacing w:after="0"/>
              <w:rPr>
                <w:sz w:val="20"/>
                <w:szCs w:val="20"/>
                <w:color w:val="auto"/>
              </w:rPr>
            </w:pPr>
            <w:r>
              <w:rPr>
                <w:rFonts w:ascii="Arial" w:cs="Arial" w:eastAsia="Arial" w:hAnsi="Arial"/>
                <w:sz w:val="20"/>
                <w:szCs w:val="20"/>
                <w:color w:val="auto"/>
                <w:w w:val="88"/>
              </w:rPr>
              <w:t>Issued By</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center"/>
              <w:ind w:right="127"/>
              <w:spacing w:after="0"/>
              <w:rPr>
                <w:sz w:val="20"/>
                <w:szCs w:val="20"/>
                <w:color w:val="auto"/>
              </w:rPr>
            </w:pPr>
            <w:r>
              <w:rPr>
                <w:rFonts w:ascii="Arial" w:cs="Arial" w:eastAsia="Arial" w:hAnsi="Arial"/>
                <w:sz w:val="20"/>
                <w:szCs w:val="20"/>
                <w:color w:val="auto"/>
                <w:w w:val="84"/>
              </w:rPr>
              <w:t>Sponsored</w:t>
            </w:r>
          </w:p>
        </w:tc>
        <w:tc>
          <w:tcPr>
            <w:tcW w:w="1360" w:type="dxa"/>
            <w:vAlign w:val="bottom"/>
            <w:gridSpan w:val="2"/>
          </w:tcPr>
          <w:p>
            <w:pPr>
              <w:jc w:val="center"/>
              <w:spacing w:after="0"/>
              <w:rPr>
                <w:sz w:val="20"/>
                <w:szCs w:val="20"/>
                <w:color w:val="auto"/>
              </w:rPr>
            </w:pPr>
            <w:r>
              <w:rPr>
                <w:rFonts w:ascii="Arial" w:cs="Arial" w:eastAsia="Arial" w:hAnsi="Arial"/>
                <w:sz w:val="20"/>
                <w:szCs w:val="20"/>
                <w:color w:val="auto"/>
                <w:w w:val="89"/>
              </w:rPr>
              <w:t>Mortgage and</w:t>
            </w:r>
          </w:p>
        </w:tc>
        <w:tc>
          <w:tcPr>
            <w:tcW w:w="180" w:type="dxa"/>
            <w:vAlign w:val="bottom"/>
          </w:tcPr>
          <w:p>
            <w:pPr>
              <w:spacing w:after="0"/>
              <w:rPr>
                <w:sz w:val="19"/>
                <w:szCs w:val="19"/>
                <w:color w:val="auto"/>
              </w:rPr>
            </w:pPr>
          </w:p>
        </w:tc>
        <w:tc>
          <w:tcPr>
            <w:tcW w:w="1060" w:type="dxa"/>
            <w:vAlign w:val="bottom"/>
          </w:tcPr>
          <w:p>
            <w:pPr>
              <w:jc w:val="center"/>
              <w:ind w:right="147"/>
              <w:spacing w:after="0"/>
              <w:rPr>
                <w:sz w:val="20"/>
                <w:szCs w:val="20"/>
                <w:color w:val="auto"/>
              </w:rPr>
            </w:pPr>
            <w:r>
              <w:rPr>
                <w:rFonts w:ascii="Arial" w:cs="Arial" w:eastAsia="Arial" w:hAnsi="Arial"/>
                <w:sz w:val="20"/>
                <w:szCs w:val="20"/>
                <w:color w:val="auto"/>
                <w:w w:val="86"/>
              </w:rPr>
              <w:t>State and</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center"/>
              <w:ind w:right="127"/>
              <w:spacing w:after="0"/>
              <w:rPr>
                <w:sz w:val="20"/>
                <w:szCs w:val="20"/>
                <w:color w:val="auto"/>
              </w:rPr>
            </w:pPr>
            <w:r>
              <w:rPr>
                <w:rFonts w:ascii="Arial" w:cs="Arial" w:eastAsia="Arial" w:hAnsi="Arial"/>
                <w:sz w:val="20"/>
                <w:szCs w:val="20"/>
                <w:color w:val="auto"/>
                <w:w w:val="89"/>
              </w:rPr>
              <w:t>Enterprise</w:t>
            </w:r>
          </w:p>
        </w:tc>
        <w:tc>
          <w:tcPr>
            <w:tcW w:w="1360" w:type="dxa"/>
            <w:vAlign w:val="bottom"/>
            <w:gridSpan w:val="2"/>
          </w:tcPr>
          <w:p>
            <w:pPr>
              <w:jc w:val="center"/>
              <w:spacing w:after="0"/>
              <w:rPr>
                <w:sz w:val="20"/>
                <w:szCs w:val="20"/>
                <w:color w:val="auto"/>
              </w:rPr>
            </w:pPr>
            <w:r>
              <w:rPr>
                <w:rFonts w:ascii="Arial" w:cs="Arial" w:eastAsia="Arial" w:hAnsi="Arial"/>
                <w:sz w:val="20"/>
                <w:szCs w:val="20"/>
                <w:color w:val="auto"/>
                <w:w w:val="87"/>
              </w:rPr>
              <w:t>Asset-backed</w:t>
            </w:r>
          </w:p>
        </w:tc>
        <w:tc>
          <w:tcPr>
            <w:tcW w:w="180" w:type="dxa"/>
            <w:vAlign w:val="bottom"/>
          </w:tcPr>
          <w:p>
            <w:pPr>
              <w:spacing w:after="0"/>
              <w:rPr>
                <w:sz w:val="19"/>
                <w:szCs w:val="19"/>
                <w:color w:val="auto"/>
              </w:rPr>
            </w:pPr>
          </w:p>
        </w:tc>
        <w:tc>
          <w:tcPr>
            <w:tcW w:w="1060" w:type="dxa"/>
            <w:vAlign w:val="bottom"/>
          </w:tcPr>
          <w:p>
            <w:pPr>
              <w:jc w:val="center"/>
              <w:ind w:right="147"/>
              <w:spacing w:after="0"/>
              <w:rPr>
                <w:sz w:val="20"/>
                <w:szCs w:val="20"/>
                <w:color w:val="auto"/>
              </w:rPr>
            </w:pPr>
            <w:r>
              <w:rPr>
                <w:rFonts w:ascii="Arial" w:cs="Arial" w:eastAsia="Arial" w:hAnsi="Arial"/>
                <w:sz w:val="20"/>
                <w:szCs w:val="20"/>
                <w:color w:val="auto"/>
                <w:w w:val="95"/>
              </w:rPr>
              <w:t>Political</w:t>
            </w:r>
          </w:p>
        </w:tc>
        <w:tc>
          <w:tcPr>
            <w:tcW w:w="260" w:type="dxa"/>
            <w:vAlign w:val="bottom"/>
          </w:tcPr>
          <w:p>
            <w:pPr>
              <w:spacing w:after="0"/>
              <w:rPr>
                <w:sz w:val="19"/>
                <w:szCs w:val="19"/>
                <w:color w:val="auto"/>
              </w:rPr>
            </w:pPr>
          </w:p>
        </w:tc>
        <w:tc>
          <w:tcPr>
            <w:tcW w:w="1360" w:type="dxa"/>
            <w:vAlign w:val="bottom"/>
          </w:tcPr>
          <w:p>
            <w:pPr>
              <w:jc w:val="right"/>
              <w:ind w:right="388"/>
              <w:spacing w:after="0"/>
              <w:rPr>
                <w:sz w:val="20"/>
                <w:szCs w:val="20"/>
                <w:color w:val="auto"/>
              </w:rPr>
            </w:pPr>
            <w:r>
              <w:rPr>
                <w:rFonts w:ascii="Arial" w:cs="Arial" w:eastAsia="Arial" w:hAnsi="Arial"/>
                <w:sz w:val="20"/>
                <w:szCs w:val="20"/>
                <w:color w:val="auto"/>
                <w:w w:val="96"/>
              </w:rPr>
              <w:t>Corporate</w:t>
            </w:r>
          </w:p>
        </w:tc>
      </w:tr>
      <w:tr>
        <w:trPr>
          <w:trHeight w:val="255"/>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4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87"/>
              <w:spacing w:after="0"/>
              <w:rPr>
                <w:sz w:val="20"/>
                <w:szCs w:val="20"/>
                <w:color w:val="auto"/>
              </w:rPr>
            </w:pPr>
            <w:r>
              <w:rPr>
                <w:rFonts w:ascii="Arial" w:cs="Arial" w:eastAsia="Arial" w:hAnsi="Arial"/>
                <w:sz w:val="20"/>
                <w:szCs w:val="20"/>
                <w:color w:val="auto"/>
                <w:w w:val="88"/>
              </w:rPr>
              <w:t>Securities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49"/>
              <w:spacing w:after="0"/>
              <w:rPr>
                <w:sz w:val="20"/>
                <w:szCs w:val="20"/>
                <w:color w:val="auto"/>
              </w:rPr>
            </w:pPr>
            <w:r>
              <w:rPr>
                <w:rFonts w:ascii="Arial" w:cs="Arial" w:eastAsia="Arial" w:hAnsi="Arial"/>
                <w:sz w:val="20"/>
                <w:szCs w:val="20"/>
                <w:color w:val="auto"/>
                <w:w w:val="88"/>
              </w:rPr>
              <w:t>Securities</w:t>
            </w:r>
          </w:p>
        </w:tc>
        <w:tc>
          <w:tcPr>
            <w:tcW w:w="124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20"/>
                <w:szCs w:val="20"/>
                <w:color w:val="auto"/>
                <w:w w:val="97"/>
              </w:rPr>
              <w:t>Subdivisions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68"/>
              <w:spacing w:after="0"/>
              <w:rPr>
                <w:sz w:val="20"/>
                <w:szCs w:val="20"/>
                <w:color w:val="auto"/>
              </w:rPr>
            </w:pPr>
            <w:r>
              <w:rPr>
                <w:rFonts w:ascii="Arial" w:cs="Arial" w:eastAsia="Arial" w:hAnsi="Arial"/>
                <w:sz w:val="20"/>
                <w:szCs w:val="20"/>
                <w:color w:val="auto"/>
              </w:rPr>
              <w:t>Securities</w:t>
            </w:r>
          </w:p>
        </w:tc>
      </w:tr>
      <w:tr>
        <w:trPr>
          <w:trHeight w:val="241"/>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December 31, 2022</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Adjustment for the adoption of ASU 2016-13</w:t>
            </w: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8"/>
                <w:szCs w:val="18"/>
                <w:color w:val="auto"/>
              </w:rPr>
              <w:t>409</w:t>
            </w: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credit losses</w:t>
            </w:r>
          </w:p>
        </w:tc>
        <w:tc>
          <w:tcPr>
            <w:tcW w:w="4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w w:val="97"/>
              </w:rPr>
              <w:t>Allowance on purchased financial assets with credit deterioration</w:t>
            </w: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8"/>
                <w:szCs w:val="18"/>
                <w:color w:val="auto"/>
              </w:rPr>
              <w:t>-</w:t>
            </w: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Charge-offs of securities</w:t>
            </w:r>
          </w:p>
        </w:tc>
        <w:tc>
          <w:tcPr>
            <w:tcW w:w="4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Recoveries</w:t>
            </w: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w:t>
            </w:r>
          </w:p>
        </w:tc>
      </w:tr>
      <w:tr>
        <w:trPr>
          <w:trHeight w:val="276"/>
        </w:trPr>
        <w:tc>
          <w:tcPr>
            <w:tcW w:w="50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Balance, March 31, 2023</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rPr>
              <w:t>409</w:t>
            </w:r>
          </w:p>
        </w:tc>
      </w:tr>
    </w:tbl>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monitors the credit quality of the debt securities categorized as HTM primarily through the use of NRSRO credit ratings. These assessments are made on a quarterly basis. The following table summarizes the amortized cost of debt securities categorized as HTM at March 31, 2023, aggregated by credit quality indicators:</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AAA or equivalent</w:t>
            </w:r>
          </w:p>
        </w:tc>
        <w:tc>
          <w:tcPr>
            <w:tcW w:w="106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38,247</w:t>
            </w: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w w:val="90"/>
              </w:rPr>
              <w:t>AA or equivalent, including securities issued by the United States Government or Government Sponsored Enterprises</w:t>
            </w:r>
          </w:p>
        </w:tc>
        <w:tc>
          <w:tcPr>
            <w:tcW w:w="1060" w:type="dxa"/>
            <w:vAlign w:val="bottom"/>
          </w:tcPr>
          <w:p>
            <w:pPr>
              <w:spacing w:after="0"/>
              <w:rPr>
                <w:sz w:val="20"/>
                <w:szCs w:val="20"/>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44,013</w:t>
            </w:r>
          </w:p>
        </w:tc>
      </w:tr>
      <w:tr>
        <w:trPr>
          <w:trHeight w:val="249"/>
        </w:trPr>
        <w:tc>
          <w:tcPr>
            <w:tcW w:w="8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 or equivalent</w:t>
            </w:r>
          </w:p>
        </w:tc>
        <w:tc>
          <w:tcPr>
            <w:tcW w:w="106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23,823</w:t>
            </w: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BBB or equivalent</w:t>
            </w:r>
          </w:p>
        </w:tc>
        <w:tc>
          <w:tcPr>
            <w:tcW w:w="1060" w:type="dxa"/>
            <w:vAlign w:val="bottom"/>
          </w:tcPr>
          <w:p>
            <w:pPr>
              <w:spacing w:after="0"/>
              <w:rPr>
                <w:sz w:val="20"/>
                <w:szCs w:val="20"/>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19,268</w:t>
            </w:r>
          </w:p>
        </w:tc>
      </w:tr>
      <w:tr>
        <w:trPr>
          <w:trHeight w:val="243"/>
        </w:trPr>
        <w:tc>
          <w:tcPr>
            <w:tcW w:w="8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Unrated</w:t>
            </w:r>
          </w:p>
        </w:tc>
        <w:tc>
          <w:tcPr>
            <w:tcW w:w="10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76,315</w:t>
            </w:r>
          </w:p>
        </w:tc>
      </w:tr>
      <w:tr>
        <w:trPr>
          <w:trHeight w:val="236"/>
        </w:trPr>
        <w:tc>
          <w:tcPr>
            <w:tcW w:w="8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201,666</w:t>
            </w:r>
          </w:p>
        </w:tc>
      </w:tr>
      <w:tr>
        <w:trPr>
          <w:trHeight w:val="20"/>
        </w:trPr>
        <w:tc>
          <w:tcPr>
            <w:tcW w:w="8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Gross realized gains (losses) on sales and redemptions of securities for the indicated periods are detailed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60" w:type="dxa"/>
            <w:vAlign w:val="bottom"/>
            <w:gridSpan w:val="2"/>
          </w:tcPr>
          <w:p>
            <w:pPr>
              <w:jc w:val="right"/>
              <w:ind w:right="270"/>
              <w:spacing w:after="0"/>
              <w:rPr>
                <w:sz w:val="20"/>
                <w:szCs w:val="20"/>
                <w:color w:val="auto"/>
              </w:rPr>
            </w:pPr>
            <w:r>
              <w:rPr>
                <w:rFonts w:ascii="Arial" w:cs="Arial" w:eastAsia="Arial" w:hAnsi="Arial"/>
                <w:sz w:val="18"/>
                <w:szCs w:val="18"/>
                <w:color w:val="auto"/>
              </w:rPr>
              <w:t>For the three months</w:t>
            </w:r>
          </w:p>
        </w:tc>
        <w:tc>
          <w:tcPr>
            <w:tcW w:w="1460" w:type="dxa"/>
            <w:vAlign w:val="bottom"/>
          </w:tcPr>
          <w:p>
            <w:pPr>
              <w:spacing w:after="0"/>
              <w:rPr>
                <w:sz w:val="20"/>
                <w:szCs w:val="20"/>
                <w:color w:val="auto"/>
              </w:rPr>
            </w:pPr>
          </w:p>
        </w:tc>
      </w:tr>
      <w:tr>
        <w:trPr>
          <w:trHeight w:val="250"/>
        </w:trPr>
        <w:tc>
          <w:tcPr>
            <w:tcW w:w="61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ended March 31,</w:t>
            </w:r>
          </w:p>
        </w:tc>
        <w:tc>
          <w:tcPr>
            <w:tcW w:w="1460" w:type="dxa"/>
            <w:vAlign w:val="bottom"/>
            <w:tcBorders>
              <w:bottom w:val="single" w:sz="8" w:color="auto"/>
            </w:tcBorders>
          </w:tcPr>
          <w:p>
            <w:pPr>
              <w:spacing w:after="0"/>
              <w:rPr>
                <w:sz w:val="21"/>
                <w:szCs w:val="21"/>
                <w:color w:val="auto"/>
              </w:rPr>
            </w:pPr>
          </w:p>
        </w:tc>
      </w:tr>
      <w:tr>
        <w:trPr>
          <w:trHeight w:val="237"/>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2022</w:t>
            </w:r>
          </w:p>
        </w:tc>
      </w:tr>
      <w:tr>
        <w:trPr>
          <w:trHeight w:val="243"/>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Realized gains on investments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2,021</w:t>
            </w:r>
          </w:p>
        </w:tc>
        <w:tc>
          <w:tcPr>
            <w:tcW w:w="142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r>
      <w:tr>
        <w:trPr>
          <w:trHeight w:val="237"/>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Realized losses on investments</w:t>
            </w:r>
          </w:p>
        </w:tc>
        <w:tc>
          <w:tcPr>
            <w:tcW w:w="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(1,948 )</w:t>
            </w: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(6 )</w:t>
            </w:r>
          </w:p>
        </w:tc>
      </w:tr>
      <w:tr>
        <w:trPr>
          <w:trHeight w:val="277"/>
        </w:trPr>
        <w:tc>
          <w:tcPr>
            <w:tcW w:w="612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73</w:t>
            </w:r>
          </w:p>
        </w:tc>
        <w:tc>
          <w:tcPr>
            <w:tcW w:w="142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rPr>
              <w:t>(6 )</w:t>
            </w: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March 31, 2023 and December 31, 2022, securities with a fair value of $134.6 million and $ 86.0 million, respectively, were pledged to collateralize certain municipal deposit relationships. As of the same dates, securities with a fair value of $75.5 million and $39.9 million, respectively, were pledged against certain borrowing arrangements.</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Management has reviewed its loan and mortgage-backed securities portfolios and determined that, to the best of its knowledge, only minimal exposure exists to sub-prime or other high-risk residential mortgages. With limited exceptions in the Company’s investment portfolio involving the most senior tranches of securitized bonds, the Company is not in the practice of investing in, or originating, these types of investments or loans.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17</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Note 5:  Pension and Postretirement Benefits</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Company has a noncontributory defined benefit pension plan covering most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are no future benefit accruals after this date. Participants as of June 30, 2012 will continue to earn vesting credit with respect to their frozen accrued benefits as they continue to work. 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The composition of net periodic pension plan and postretirement plan costs for the indicated periods is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6"/>
                <w:szCs w:val="16"/>
                <w:color w:val="auto"/>
              </w:rPr>
              <w:t>Pension Benefits</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Postretirement Benefits</w:t>
            </w:r>
          </w:p>
        </w:tc>
        <w:tc>
          <w:tcPr>
            <w:tcW w:w="660" w:type="dxa"/>
            <w:vAlign w:val="bottom"/>
            <w:tcBorders>
              <w:bottom w:val="single" w:sz="8" w:color="auto"/>
            </w:tcBorders>
          </w:tcPr>
          <w:p>
            <w:pPr>
              <w:spacing w:after="0"/>
              <w:rPr>
                <w:sz w:val="19"/>
                <w:szCs w:val="19"/>
                <w:color w:val="auto"/>
              </w:rPr>
            </w:pPr>
          </w:p>
        </w:tc>
      </w:tr>
      <w:tr>
        <w:trPr>
          <w:trHeight w:val="223"/>
        </w:trPr>
        <w:tc>
          <w:tcPr>
            <w:tcW w:w="47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color w:val="auto"/>
                <w:w w:val="92"/>
              </w:rPr>
              <w:t>For the three months ended March 31,</w:t>
            </w:r>
          </w:p>
        </w:tc>
        <w:tc>
          <w:tcPr>
            <w:tcW w:w="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23"/>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2023</w:t>
            </w:r>
          </w:p>
        </w:tc>
        <w:tc>
          <w:tcPr>
            <w:tcW w:w="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2022</w:t>
            </w:r>
          </w:p>
        </w:tc>
      </w:tr>
      <w:tr>
        <w:trPr>
          <w:trHeight w:val="229"/>
        </w:trPr>
        <w:tc>
          <w:tcPr>
            <w:tcW w:w="4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20"/>
        </w:trPr>
        <w:tc>
          <w:tcPr>
            <w:tcW w:w="47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520" w:type="dxa"/>
            <w:vAlign w:val="bottom"/>
          </w:tcPr>
          <w:p>
            <w:pPr>
              <w:spacing w:after="0"/>
              <w:rPr>
                <w:sz w:val="19"/>
                <w:szCs w:val="19"/>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140</w:t>
            </w:r>
          </w:p>
        </w:tc>
        <w:tc>
          <w:tcPr>
            <w:tcW w:w="32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9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3</w:t>
            </w:r>
          </w:p>
        </w:tc>
      </w:tr>
      <w:tr>
        <w:trPr>
          <w:trHeight w:val="239"/>
        </w:trPr>
        <w:tc>
          <w:tcPr>
            <w:tcW w:w="4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(241 )</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(267 )</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20"/>
        </w:trPr>
        <w:tc>
          <w:tcPr>
            <w:tcW w:w="4780" w:type="dxa"/>
            <w:vAlign w:val="bottom"/>
          </w:tcPr>
          <w:p>
            <w:pPr>
              <w:ind w:left="20"/>
              <w:spacing w:after="0"/>
              <w:rPr>
                <w:sz w:val="20"/>
                <w:szCs w:val="20"/>
                <w:color w:val="auto"/>
              </w:rPr>
            </w:pPr>
            <w:r>
              <w:rPr>
                <w:rFonts w:ascii="Arial" w:cs="Arial" w:eastAsia="Arial" w:hAnsi="Arial"/>
                <w:sz w:val="16"/>
                <w:szCs w:val="16"/>
                <w:color w:val="auto"/>
              </w:rPr>
              <w:t>Amortization of prior service credits</w:t>
            </w:r>
          </w:p>
        </w:tc>
        <w:tc>
          <w:tcPr>
            <w:tcW w:w="520" w:type="dxa"/>
            <w:vAlign w:val="bottom"/>
          </w:tcPr>
          <w:p>
            <w:pPr>
              <w:spacing w:after="0"/>
              <w:rPr>
                <w:sz w:val="19"/>
                <w:szCs w:val="19"/>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(1 )</w:t>
            </w: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33"/>
        </w:trPr>
        <w:tc>
          <w:tcPr>
            <w:tcW w:w="47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Amortization of net losses</w:t>
            </w:r>
          </w:p>
        </w:tc>
        <w:tc>
          <w:tcPr>
            <w:tcW w:w="5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57</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(1 )</w:t>
            </w:r>
          </w:p>
        </w:tc>
        <w:tc>
          <w:tcPr>
            <w:tcW w:w="9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r>
      <w:tr>
        <w:trPr>
          <w:trHeight w:val="223"/>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periodic benefit plan (benefit) cost</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(44 )</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(151 )</w:t>
            </w:r>
          </w:p>
        </w:tc>
        <w:tc>
          <w:tcPr>
            <w:tcW w:w="6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will evaluate the need for further contributions to the defined benefit pension plan during 2023. The prepaid pension asset is recorded in other assets on the consolidated statements of condition as of March 31, 2023 and December 31, 2022.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18</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Note 6:  Loans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Major classifications of loans at the indicated dates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March 31,</w:t>
            </w:r>
          </w:p>
        </w:tc>
        <w:tc>
          <w:tcPr>
            <w:tcW w:w="46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December 31,</w:t>
            </w:r>
          </w:p>
        </w:tc>
      </w:tr>
      <w:tr>
        <w:trPr>
          <w:trHeight w:val="25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r>
      <w:tr>
        <w:trPr>
          <w:trHeight w:val="243"/>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Residential mortgage loans:</w:t>
            </w:r>
          </w:p>
        </w:tc>
        <w:tc>
          <w:tcPr>
            <w:tcW w:w="26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7"/>
        </w:trPr>
        <w:tc>
          <w:tcPr>
            <w:tcW w:w="5420" w:type="dxa"/>
            <w:vAlign w:val="bottom"/>
          </w:tcPr>
          <w:p>
            <w:pPr>
              <w:ind w:left="200"/>
              <w:spacing w:after="0"/>
              <w:rPr>
                <w:sz w:val="20"/>
                <w:szCs w:val="20"/>
                <w:color w:val="auto"/>
              </w:rPr>
            </w:pPr>
            <w:r>
              <w:rPr>
                <w:rFonts w:ascii="Arial" w:cs="Arial" w:eastAsia="Arial" w:hAnsi="Arial"/>
                <w:sz w:val="18"/>
                <w:szCs w:val="18"/>
                <w:color w:val="auto"/>
              </w:rPr>
              <w:t>1-4 family first-lien residential mortgages</w:t>
            </w:r>
          </w:p>
        </w:tc>
        <w:tc>
          <w:tcPr>
            <w:tcW w:w="2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260,199</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257,656</w:t>
            </w:r>
          </w:p>
        </w:tc>
      </w:tr>
      <w:tr>
        <w:trPr>
          <w:trHeight w:val="249"/>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Construction</w:t>
            </w:r>
          </w:p>
        </w:tc>
        <w:tc>
          <w:tcPr>
            <w:tcW w:w="26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2,933</w:t>
            </w:r>
          </w:p>
        </w:tc>
        <w:tc>
          <w:tcPr>
            <w:tcW w:w="46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5,085</w:t>
            </w:r>
          </w:p>
        </w:tc>
      </w:tr>
      <w:tr>
        <w:trPr>
          <w:trHeight w:val="237"/>
        </w:trPr>
        <w:tc>
          <w:tcPr>
            <w:tcW w:w="5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Loans held-for-sale</w:t>
            </w:r>
          </w:p>
        </w:tc>
        <w:tc>
          <w:tcPr>
            <w:tcW w:w="2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r>
      <w:tr>
        <w:trPr>
          <w:trHeight w:val="237"/>
        </w:trPr>
        <w:tc>
          <w:tcPr>
            <w:tcW w:w="54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residential mortgage loans</w:t>
            </w:r>
          </w:p>
        </w:tc>
        <w:tc>
          <w:tcPr>
            <w:tcW w:w="26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263,132</w:t>
            </w:r>
          </w:p>
        </w:tc>
        <w:tc>
          <w:tcPr>
            <w:tcW w:w="4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262,760</w:t>
            </w:r>
          </w:p>
        </w:tc>
      </w:tr>
      <w:tr>
        <w:trPr>
          <w:trHeight w:val="243"/>
        </w:trPr>
        <w:tc>
          <w:tcPr>
            <w:tcW w:w="54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loans:</w:t>
            </w:r>
          </w:p>
        </w:tc>
        <w:tc>
          <w:tcPr>
            <w:tcW w:w="26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7"/>
        </w:trPr>
        <w:tc>
          <w:tcPr>
            <w:tcW w:w="5420" w:type="dxa"/>
            <w:vAlign w:val="bottom"/>
          </w:tcPr>
          <w:p>
            <w:pPr>
              <w:ind w:left="200"/>
              <w:spacing w:after="0"/>
              <w:rPr>
                <w:sz w:val="20"/>
                <w:szCs w:val="20"/>
                <w:color w:val="auto"/>
              </w:rPr>
            </w:pPr>
            <w:r>
              <w:rPr>
                <w:rFonts w:ascii="Arial" w:cs="Arial" w:eastAsia="Arial" w:hAnsi="Arial"/>
                <w:sz w:val="18"/>
                <w:szCs w:val="18"/>
                <w:color w:val="auto"/>
              </w:rPr>
              <w:t>Real estate</w:t>
            </w:r>
          </w:p>
        </w:tc>
        <w:tc>
          <w:tcPr>
            <w:tcW w:w="26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350,175</w:t>
            </w:r>
          </w:p>
        </w:tc>
        <w:tc>
          <w:tcPr>
            <w:tcW w:w="46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345,330</w:t>
            </w:r>
          </w:p>
        </w:tc>
      </w:tr>
      <w:tr>
        <w:trPr>
          <w:trHeight w:val="249"/>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Lines of credit</w:t>
            </w:r>
          </w:p>
        </w:tc>
        <w:tc>
          <w:tcPr>
            <w:tcW w:w="26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81,704</w:t>
            </w:r>
          </w:p>
        </w:tc>
        <w:tc>
          <w:tcPr>
            <w:tcW w:w="46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82,050</w:t>
            </w:r>
          </w:p>
        </w:tc>
      </w:tr>
      <w:tr>
        <w:trPr>
          <w:trHeight w:val="237"/>
        </w:trPr>
        <w:tc>
          <w:tcPr>
            <w:tcW w:w="5420" w:type="dxa"/>
            <w:vAlign w:val="bottom"/>
          </w:tcPr>
          <w:p>
            <w:pPr>
              <w:ind w:left="200"/>
              <w:spacing w:after="0"/>
              <w:rPr>
                <w:sz w:val="20"/>
                <w:szCs w:val="20"/>
                <w:color w:val="auto"/>
              </w:rPr>
            </w:pPr>
            <w:r>
              <w:rPr>
                <w:rFonts w:ascii="Arial" w:cs="Arial" w:eastAsia="Arial" w:hAnsi="Arial"/>
                <w:sz w:val="18"/>
                <w:szCs w:val="18"/>
                <w:color w:val="auto"/>
              </w:rPr>
              <w:t>Other commercial and industrial</w:t>
            </w:r>
          </w:p>
        </w:tc>
        <w:tc>
          <w:tcPr>
            <w:tcW w:w="26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84,553</w:t>
            </w:r>
          </w:p>
        </w:tc>
        <w:tc>
          <w:tcPr>
            <w:tcW w:w="46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77,273</w:t>
            </w:r>
          </w:p>
        </w:tc>
      </w:tr>
      <w:tr>
        <w:trPr>
          <w:trHeight w:val="249"/>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Paycheck Protection Program loans</w:t>
            </w:r>
          </w:p>
        </w:tc>
        <w:tc>
          <w:tcPr>
            <w:tcW w:w="26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192</w:t>
            </w:r>
          </w:p>
        </w:tc>
        <w:tc>
          <w:tcPr>
            <w:tcW w:w="46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203</w:t>
            </w:r>
          </w:p>
        </w:tc>
      </w:tr>
      <w:tr>
        <w:trPr>
          <w:trHeight w:val="237"/>
        </w:trPr>
        <w:tc>
          <w:tcPr>
            <w:tcW w:w="5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Tax exempt loans</w:t>
            </w:r>
          </w:p>
        </w:tc>
        <w:tc>
          <w:tcPr>
            <w:tcW w:w="2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4,200</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4,280</w:t>
            </w:r>
          </w:p>
        </w:tc>
      </w:tr>
      <w:tr>
        <w:trPr>
          <w:trHeight w:val="236"/>
        </w:trPr>
        <w:tc>
          <w:tcPr>
            <w:tcW w:w="54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commercial loans</w:t>
            </w:r>
          </w:p>
        </w:tc>
        <w:tc>
          <w:tcPr>
            <w:tcW w:w="26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520,824</w:t>
            </w:r>
          </w:p>
        </w:tc>
        <w:tc>
          <w:tcPr>
            <w:tcW w:w="4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509,136</w:t>
            </w:r>
          </w:p>
        </w:tc>
      </w:tr>
      <w:tr>
        <w:trPr>
          <w:trHeight w:val="243"/>
        </w:trPr>
        <w:tc>
          <w:tcPr>
            <w:tcW w:w="54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loans:</w:t>
            </w:r>
          </w:p>
        </w:tc>
        <w:tc>
          <w:tcPr>
            <w:tcW w:w="26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7"/>
        </w:trPr>
        <w:tc>
          <w:tcPr>
            <w:tcW w:w="5420" w:type="dxa"/>
            <w:vAlign w:val="bottom"/>
          </w:tcPr>
          <w:p>
            <w:pPr>
              <w:ind w:left="200"/>
              <w:spacing w:after="0"/>
              <w:rPr>
                <w:sz w:val="20"/>
                <w:szCs w:val="20"/>
                <w:color w:val="auto"/>
              </w:rPr>
            </w:pPr>
            <w:r>
              <w:rPr>
                <w:rFonts w:ascii="Arial" w:cs="Arial" w:eastAsia="Arial" w:hAnsi="Arial"/>
                <w:sz w:val="18"/>
                <w:szCs w:val="18"/>
                <w:color w:val="auto"/>
              </w:rPr>
              <w:t>Home equity and junior liens</w:t>
            </w:r>
          </w:p>
        </w:tc>
        <w:tc>
          <w:tcPr>
            <w:tcW w:w="26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34,096</w:t>
            </w:r>
          </w:p>
        </w:tc>
        <w:tc>
          <w:tcPr>
            <w:tcW w:w="46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34,007</w:t>
            </w:r>
          </w:p>
        </w:tc>
      </w:tr>
      <w:tr>
        <w:trPr>
          <w:trHeight w:val="243"/>
        </w:trPr>
        <w:tc>
          <w:tcPr>
            <w:tcW w:w="54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Other consumer</w:t>
            </w:r>
          </w:p>
        </w:tc>
        <w:tc>
          <w:tcPr>
            <w:tcW w:w="26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93,197</w:t>
            </w:r>
          </w:p>
        </w:tc>
        <w:tc>
          <w:tcPr>
            <w:tcW w:w="4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92,851</w:t>
            </w:r>
          </w:p>
        </w:tc>
      </w:tr>
      <w:tr>
        <w:trPr>
          <w:trHeight w:val="23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consumer loans</w:t>
            </w:r>
          </w:p>
        </w:tc>
        <w:tc>
          <w:tcPr>
            <w:tcW w:w="2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127,293</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126,858</w:t>
            </w:r>
          </w:p>
        </w:tc>
      </w:tr>
      <w:tr>
        <w:trPr>
          <w:trHeight w:val="243"/>
        </w:trPr>
        <w:tc>
          <w:tcPr>
            <w:tcW w:w="5420" w:type="dxa"/>
            <w:vAlign w:val="bottom"/>
            <w:tcBorders>
              <w:bottom w:val="single" w:sz="8" w:color="auto"/>
            </w:tcBorders>
            <w:shd w:val="clear" w:color="auto" w:fill="CFF0FC"/>
          </w:tcPr>
          <w:p>
            <w:pPr>
              <w:spacing w:after="0"/>
              <w:rPr>
                <w:sz w:val="21"/>
                <w:szCs w:val="21"/>
                <w:color w:val="auto"/>
              </w:rPr>
            </w:pPr>
          </w:p>
        </w:tc>
        <w:tc>
          <w:tcPr>
            <w:tcW w:w="26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spacing w:after="0"/>
              <w:rPr>
                <w:sz w:val="21"/>
                <w:szCs w:val="2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loans</w:t>
            </w:r>
          </w:p>
        </w:tc>
        <w:tc>
          <w:tcPr>
            <w:tcW w:w="2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911,249</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898,754</w:t>
            </w:r>
          </w:p>
        </w:tc>
      </w:tr>
      <w:tr>
        <w:trPr>
          <w:trHeight w:val="243"/>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deferred loan fees</w:t>
            </w:r>
          </w:p>
        </w:tc>
        <w:tc>
          <w:tcPr>
            <w:tcW w:w="26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(1,095 )</w:t>
            </w:r>
          </w:p>
        </w:tc>
        <w:tc>
          <w:tcPr>
            <w:tcW w:w="4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5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Less allowance for credit losses</w:t>
            </w:r>
          </w:p>
        </w:tc>
        <w:tc>
          <w:tcPr>
            <w:tcW w:w="2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17,869</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15,319</w:t>
            </w:r>
          </w:p>
        </w:tc>
      </w:tr>
      <w:tr>
        <w:trPr>
          <w:trHeight w:val="276"/>
        </w:trPr>
        <w:tc>
          <w:tcPr>
            <w:tcW w:w="54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Loans receivable, net</w:t>
            </w:r>
          </w:p>
        </w:tc>
        <w:tc>
          <w:tcPr>
            <w:tcW w:w="26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892,285</w:t>
            </w:r>
          </w:p>
        </w:tc>
        <w:tc>
          <w:tcPr>
            <w:tcW w:w="4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882,435</w:t>
            </w:r>
          </w:p>
        </w:tc>
      </w:tr>
    </w:tbl>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Although the Bank may sometimes purchase or fund loan participation interests outside of its primary market areas, the Bank generally originates residential mortgage, commercial, and consumer loans largely to customers throughout Oswego and Onondaga counties. Although the Bank has a diversified loan portfolio, a substantial portion of its borrowers’ abilities to honor their loan contracts is dependent upon the counties’ employment and economic conditions.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19</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9"/>
          <w:szCs w:val="19"/>
          <w:color w:val="auto"/>
        </w:rPr>
        <w:t>From time to time, the Bank acquires diversified pools of loans, originated by unrelated third parties, as part of the Company’s overall balance sheet management strategies. These acquisitions took place with nine separate transactions that occurred between 2017 and 2019 with an additional six transactions occurring in 2021. The following tables detail the purchased loan pool positions held by the Bank at March 31, 2023 and December 31, 2022 (the month/year of the earliest acquisition date is depicted in parentheses):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number of loans)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March 31, 2023</w:t>
            </w: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5"/>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Unamortize</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Cumulativ</w:t>
            </w:r>
          </w:p>
        </w:tc>
      </w:tr>
      <w:tr>
        <w:trPr>
          <w:trHeight w:val="216"/>
        </w:trPr>
        <w:tc>
          <w:tcPr>
            <w:tcW w:w="444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Original</w:t>
            </w:r>
          </w:p>
        </w:tc>
        <w:tc>
          <w:tcPr>
            <w:tcW w:w="2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Current</w:t>
            </w: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d Premium/</w:t>
            </w: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5"/>
              </w:rPr>
              <w:t>Number of</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Maturity</w:t>
            </w:r>
          </w:p>
        </w:tc>
        <w:tc>
          <w:tcPr>
            <w:tcW w:w="240" w:type="dxa"/>
            <w:vAlign w:val="bottom"/>
          </w:tcPr>
          <w:p>
            <w:pPr>
              <w:spacing w:after="0"/>
              <w:rPr>
                <w:sz w:val="18"/>
                <w:szCs w:val="18"/>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w w:val="94"/>
              </w:rPr>
              <w:t>e net</w:t>
            </w:r>
          </w:p>
        </w:tc>
      </w:tr>
      <w:tr>
        <w:trPr>
          <w:trHeight w:val="237"/>
        </w:trPr>
        <w:tc>
          <w:tcPr>
            <w:tcW w:w="4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Balance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w:t>
            </w:r>
          </w:p>
        </w:tc>
        <w:tc>
          <w:tcPr>
            <w:tcW w:w="12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(Discount)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Range</w:t>
            </w: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charge-offs</w:t>
            </w:r>
          </w:p>
        </w:tc>
      </w:tr>
      <w:tr>
        <w:trPr>
          <w:trHeight w:val="243"/>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Automobile loans (1/2017)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50,400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3,400</w:t>
            </w: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467</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0-4 years</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266</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Commercial and industrial loans (6/2019)</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6,800</w:t>
            </w:r>
          </w:p>
        </w:tc>
        <w:tc>
          <w:tcPr>
            <w:tcW w:w="2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2,000</w:t>
            </w:r>
          </w:p>
        </w:tc>
        <w:tc>
          <w:tcPr>
            <w:tcW w:w="3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 years</w:t>
            </w:r>
          </w:p>
        </w:tc>
        <w:tc>
          <w:tcPr>
            <w:tcW w:w="2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Home equity lines of credit (8/2019)</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21,900</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5,700</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178</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144</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1-27 years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Unsecured consumer loan pool 2 (11/2019)</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26,600</w:t>
            </w:r>
          </w:p>
        </w:tc>
        <w:tc>
          <w:tcPr>
            <w:tcW w:w="2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1,200</w:t>
            </w:r>
          </w:p>
        </w:tc>
        <w:tc>
          <w:tcPr>
            <w:tcW w:w="3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229</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 years</w:t>
            </w:r>
          </w:p>
        </w:tc>
        <w:tc>
          <w:tcPr>
            <w:tcW w:w="2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Residential real estate loans (12/2019)</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4,300</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3,700</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236</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49</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16-22 years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Unsecured consumer loan pool 1 (12/2019)</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5,400</w:t>
            </w:r>
          </w:p>
        </w:tc>
        <w:tc>
          <w:tcPr>
            <w:tcW w:w="2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1,400</w:t>
            </w:r>
          </w:p>
        </w:tc>
        <w:tc>
          <w:tcPr>
            <w:tcW w:w="3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 years</w:t>
            </w:r>
          </w:p>
        </w:tc>
        <w:tc>
          <w:tcPr>
            <w:tcW w:w="2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Unsecured consumer installment loans pool 3 (12/2019)</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10,300</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770</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32</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329</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0-9 years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Secured consumer installment loans pool 4 (12/2020)</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14,500</w:t>
            </w:r>
          </w:p>
        </w:tc>
        <w:tc>
          <w:tcPr>
            <w:tcW w:w="2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11,200</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(1,418 )</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516</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23-24 years</w:t>
            </w:r>
          </w:p>
        </w:tc>
        <w:tc>
          <w:tcPr>
            <w:tcW w:w="2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Unsecured consumer loans pool 5 (1/2021)</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24,400</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17,100</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(463 )</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675</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8-23 years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Commercial Line of Credit 1 (3/2021)</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11,600</w:t>
            </w:r>
          </w:p>
        </w:tc>
        <w:tc>
          <w:tcPr>
            <w:tcW w:w="2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11,300</w:t>
            </w:r>
          </w:p>
        </w:tc>
        <w:tc>
          <w:tcPr>
            <w:tcW w:w="3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 year</w:t>
            </w:r>
          </w:p>
        </w:tc>
        <w:tc>
          <w:tcPr>
            <w:tcW w:w="2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Secured consumer installment loans (11/2021)</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21,300</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19,200</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(3,159 )</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839</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18-25 years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Commercial Line of Credit 2 (11/2021)</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10,500</w:t>
            </w:r>
          </w:p>
        </w:tc>
        <w:tc>
          <w:tcPr>
            <w:tcW w:w="2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15,000</w:t>
            </w:r>
          </w:p>
        </w:tc>
        <w:tc>
          <w:tcPr>
            <w:tcW w:w="3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 year</w:t>
            </w:r>
          </w:p>
        </w:tc>
        <w:tc>
          <w:tcPr>
            <w:tcW w:w="2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Unsecured consumer loans pool 6 (11/2021)</w:t>
            </w:r>
          </w:p>
        </w:tc>
        <w:tc>
          <w:tcPr>
            <w:tcW w:w="2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22,200</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19,700</w:t>
            </w:r>
          </w:p>
        </w:tc>
        <w:tc>
          <w:tcPr>
            <w:tcW w:w="3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(2,364 )</w:t>
            </w: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537</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8-24 years</w:t>
            </w: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230,200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111,670</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(6,908 )</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3,856</w:t>
            </w: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379</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6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number of loans)</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w w:val="93"/>
              </w:rPr>
              <w:t>December 31, 2022</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15"/>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Unamortize</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Cumulativ</w:t>
            </w:r>
          </w:p>
        </w:tc>
      </w:tr>
      <w:tr>
        <w:trPr>
          <w:trHeight w:val="216"/>
        </w:trPr>
        <w:tc>
          <w:tcPr>
            <w:tcW w:w="444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Original</w:t>
            </w:r>
          </w:p>
        </w:tc>
        <w:tc>
          <w:tcPr>
            <w:tcW w:w="2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Current</w:t>
            </w: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d Premium/</w:t>
            </w: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5"/>
              </w:rPr>
              <w:t>Number of</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Maturity</w:t>
            </w:r>
          </w:p>
        </w:tc>
        <w:tc>
          <w:tcPr>
            <w:tcW w:w="240" w:type="dxa"/>
            <w:vAlign w:val="bottom"/>
          </w:tcPr>
          <w:p>
            <w:pPr>
              <w:spacing w:after="0"/>
              <w:rPr>
                <w:sz w:val="18"/>
                <w:szCs w:val="18"/>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w w:val="94"/>
              </w:rPr>
              <w:t>e net</w:t>
            </w:r>
          </w:p>
        </w:tc>
      </w:tr>
      <w:tr>
        <w:trPr>
          <w:trHeight w:val="237"/>
        </w:trPr>
        <w:tc>
          <w:tcPr>
            <w:tcW w:w="4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Balance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w:t>
            </w:r>
          </w:p>
        </w:tc>
        <w:tc>
          <w:tcPr>
            <w:tcW w:w="12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(Discount)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Range</w:t>
            </w: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charge-offs</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Automobile loans (1/2017)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50,400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4,200</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537</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0-4 years</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247</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 loans (6/2019)</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6,800</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2,100</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22</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 years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Home equity lines of credit (8/2019)</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21,900</w:t>
            </w:r>
          </w:p>
        </w:tc>
        <w:tc>
          <w:tcPr>
            <w:tcW w:w="2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6,000</w:t>
            </w:r>
          </w:p>
        </w:tc>
        <w:tc>
          <w:tcPr>
            <w:tcW w:w="3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189</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 years</w:t>
            </w:r>
          </w:p>
        </w:tc>
        <w:tc>
          <w:tcPr>
            <w:tcW w:w="2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Unsecured consumer loan pool 2 (11/2019)</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26,600</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1,500</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320</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0-2 years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Residential real estate loans (12/2019)</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4,300</w:t>
            </w:r>
          </w:p>
        </w:tc>
        <w:tc>
          <w:tcPr>
            <w:tcW w:w="2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3,900</w:t>
            </w:r>
          </w:p>
        </w:tc>
        <w:tc>
          <w:tcPr>
            <w:tcW w:w="3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240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16-22 years</w:t>
            </w:r>
          </w:p>
        </w:tc>
        <w:tc>
          <w:tcPr>
            <w:tcW w:w="2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Unsecured consumer loan pool 1 (12/2019)</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5,400</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1,600</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50</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 years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w w:val="98"/>
              </w:rPr>
              <w:t>Unsecured consumer installment loans pool 3 (12/2019)</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10,300</w:t>
            </w:r>
          </w:p>
        </w:tc>
        <w:tc>
          <w:tcPr>
            <w:tcW w:w="2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354</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0-9 years</w:t>
            </w:r>
          </w:p>
        </w:tc>
        <w:tc>
          <w:tcPr>
            <w:tcW w:w="2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63</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Secured consumer installment loans pool 4 (12/2020)</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14,500</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11,300</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(1,484 )</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518</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23-24 years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Unsecured consumer loans pool 5 (1/2021)</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24,400</w:t>
            </w:r>
          </w:p>
        </w:tc>
        <w:tc>
          <w:tcPr>
            <w:tcW w:w="2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17,300</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(485 )</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678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8-24 years</w:t>
            </w:r>
          </w:p>
        </w:tc>
        <w:tc>
          <w:tcPr>
            <w:tcW w:w="2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commercial line of credit 1 (3/2021)</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11,600</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11,400</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0-1 year</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Secured consumer installment loans (11/2021)</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21,300</w:t>
            </w:r>
          </w:p>
        </w:tc>
        <w:tc>
          <w:tcPr>
            <w:tcW w:w="2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19,700</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(3,237 )</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850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18-25 years</w:t>
            </w:r>
          </w:p>
        </w:tc>
        <w:tc>
          <w:tcPr>
            <w:tcW w:w="24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commercial line of credit 2 (11/2021)</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10,500</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15,000</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0-1 year</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Unsecured consumer loans pool 6 (11/2021)</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22,200</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20,200</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(2,441 )</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540</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8-24 years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77"/>
        </w:trPr>
        <w:tc>
          <w:tcPr>
            <w:tcW w:w="44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230,200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115,200</w:t>
            </w:r>
          </w:p>
        </w:tc>
        <w:tc>
          <w:tcPr>
            <w:tcW w:w="36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(7,004 )</w:t>
            </w: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4,063</w:t>
            </w:r>
          </w:p>
        </w:tc>
        <w:tc>
          <w:tcPr>
            <w:tcW w:w="114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310</w:t>
            </w:r>
          </w:p>
        </w:tc>
      </w:tr>
    </w:tbl>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At March 31, 2023 the ACL related to these pools was $2.1 million. As of March 31, 2023 and December 31, 2022, residential mortgage loans with a carrying value of $130.0 million and $110.3 million, respectively, have been pledged by the Company to the Federal Home Loan Bank of New York (“FHLBNY”) under a blanket collateral agreement to secure the Company’s line of credit and term borrowings.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20</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3"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i w:val="1"/>
          <w:iCs w:val="1"/>
          <w:color w:val="auto"/>
        </w:rPr>
        <w:t>Loan Origination / Risk Management</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Company’s lending policies and procedures are presented in Note 5 to the audited consolidated financial statements included in the 2022 Annual Report on Form 10-K filed with the Securities and Exchange Commission on March 31, 2023 and have not changed. As part of the execution of the Company’s overall balance sheet management strategies, the Bank will acquire participating interests in loans originated by unrelated third parties on an occasional basis. The purchase of participations in loans that are originated by third parties only occurs after the completion of thorough pre-acquisition due diligence. Loans in which the Company acquires a participating interest are determined to meet, in all material respects, the Company’s internal underwriting policies, including credit and collateral suitability thresholds, prior to acquisition. In addition, the financial condition of the originating financial institutions, which are generally retained as the ongoing loan servicing provider for participations acquired by the Bank, are analyzed prior to the acquisition of the participating interests and monitored on a regular basis thereafter for the life of those interests.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To develop and document a systematic methodology for determining the allowance for credit losses, the Company has divided the loan portfolio into three portfolio segments, each with different risk characteristics but with similar methodologies for assessing risk. Each portfolio segment is broken down into loan classes where appropriate. Loan classes contain unique measurement attributes, risk characteristics, and methods for monitoring and assessing risk that are necessary to develop the allowance for credit losses. Unique characteristics such as borrower type, loan type, collateral type, and risk characteristics define each class.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illustrates the portfolio segments and classes for the Company’s loan portfolio:</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line="216" w:lineRule="exact"/>
              <w:rPr>
                <w:sz w:val="20"/>
                <w:szCs w:val="20"/>
                <w:color w:val="auto"/>
              </w:rPr>
            </w:pPr>
            <w:r>
              <w:rPr>
                <w:rFonts w:ascii="Arial" w:cs="Arial" w:eastAsia="Arial" w:hAnsi="Arial"/>
                <w:sz w:val="20"/>
                <w:szCs w:val="20"/>
                <w:b w:val="1"/>
                <w:bCs w:val="1"/>
                <w:color w:val="auto"/>
                <w:w w:val="87"/>
              </w:rPr>
              <w:t>Portfolio Segment</w:t>
            </w:r>
          </w:p>
        </w:tc>
        <w:tc>
          <w:tcPr>
            <w:tcW w:w="1920" w:type="dxa"/>
            <w:vAlign w:val="bottom"/>
            <w:tcBorders>
              <w:top w:val="single" w:sz="8" w:color="auto"/>
            </w:tcBorders>
          </w:tcPr>
          <w:p>
            <w:pPr>
              <w:spacing w:after="0"/>
              <w:rPr>
                <w:sz w:val="18"/>
                <w:szCs w:val="18"/>
                <w:color w:val="auto"/>
              </w:rPr>
            </w:pPr>
          </w:p>
        </w:tc>
        <w:tc>
          <w:tcPr>
            <w:tcW w:w="7560" w:type="dxa"/>
            <w:vAlign w:val="bottom"/>
            <w:tcBorders>
              <w:top w:val="single" w:sz="8" w:color="auto"/>
              <w:right w:val="single" w:sz="8" w:color="auto"/>
            </w:tcBorders>
            <w:gridSpan w:val="3"/>
          </w:tcPr>
          <w:p>
            <w:pPr>
              <w:ind w:left="1200"/>
              <w:spacing w:after="0" w:line="216" w:lineRule="exact"/>
              <w:rPr>
                <w:sz w:val="20"/>
                <w:szCs w:val="20"/>
                <w:color w:val="auto"/>
              </w:rPr>
            </w:pPr>
            <w:r>
              <w:rPr>
                <w:rFonts w:ascii="Arial" w:cs="Arial" w:eastAsia="Arial" w:hAnsi="Arial"/>
                <w:sz w:val="20"/>
                <w:szCs w:val="20"/>
                <w:b w:val="1"/>
                <w:bCs w:val="1"/>
                <w:color w:val="auto"/>
              </w:rPr>
              <w:t>Class</w:t>
            </w: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920" w:type="dxa"/>
            <w:vAlign w:val="bottom"/>
            <w:tcBorders>
              <w:right w:val="single" w:sz="8" w:color="auto"/>
            </w:tcBorders>
          </w:tcPr>
          <w:p>
            <w:pPr>
              <w:spacing w:after="0" w:line="20" w:lineRule="exact"/>
              <w:rPr>
                <w:sz w:val="1"/>
                <w:szCs w:val="1"/>
                <w:color w:val="auto"/>
              </w:rPr>
            </w:pPr>
          </w:p>
        </w:tc>
      </w:tr>
      <w:tr>
        <w:trPr>
          <w:trHeight w:val="538"/>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20"/>
                <w:szCs w:val="20"/>
                <w:color w:val="auto"/>
              </w:rPr>
              <w:t>Residential Mortgage Loans</w:t>
            </w:r>
          </w:p>
        </w:tc>
        <w:tc>
          <w:tcPr>
            <w:tcW w:w="7560" w:type="dxa"/>
            <w:vAlign w:val="bottom"/>
            <w:tcBorders>
              <w:right w:val="single" w:sz="8" w:color="auto"/>
            </w:tcBorders>
            <w:gridSpan w:val="3"/>
          </w:tcPr>
          <w:p>
            <w:pPr>
              <w:ind w:left="1200"/>
              <w:spacing w:after="0"/>
              <w:rPr>
                <w:sz w:val="20"/>
                <w:szCs w:val="20"/>
                <w:color w:val="auto"/>
              </w:rPr>
            </w:pPr>
            <w:r>
              <w:rPr>
                <w:rFonts w:ascii="Arial" w:cs="Arial" w:eastAsia="Arial" w:hAnsi="Arial"/>
                <w:sz w:val="20"/>
                <w:szCs w:val="20"/>
                <w:color w:val="auto"/>
              </w:rPr>
              <w:t>1-4 family first-lien residential mortgages</w:t>
            </w:r>
          </w:p>
        </w:tc>
      </w:tr>
      <w:tr>
        <w:trPr>
          <w:trHeight w:val="257"/>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560" w:type="dxa"/>
            <w:vAlign w:val="bottom"/>
            <w:tcBorders>
              <w:right w:val="single" w:sz="8" w:color="auto"/>
            </w:tcBorders>
            <w:gridSpan w:val="3"/>
          </w:tcPr>
          <w:p>
            <w:pPr>
              <w:ind w:left="1200"/>
              <w:spacing w:after="0"/>
              <w:rPr>
                <w:sz w:val="20"/>
                <w:szCs w:val="20"/>
                <w:color w:val="auto"/>
              </w:rPr>
            </w:pPr>
            <w:r>
              <w:rPr>
                <w:rFonts w:ascii="Arial" w:cs="Arial" w:eastAsia="Arial" w:hAnsi="Arial"/>
                <w:sz w:val="20"/>
                <w:szCs w:val="20"/>
                <w:color w:val="auto"/>
              </w:rPr>
              <w:t>Construction</w:t>
            </w:r>
          </w:p>
        </w:tc>
      </w:tr>
      <w:tr>
        <w:trPr>
          <w:trHeight w:val="513"/>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20"/>
                <w:szCs w:val="20"/>
                <w:color w:val="auto"/>
              </w:rPr>
              <w:t>Commercial Loans</w:t>
            </w:r>
          </w:p>
        </w:tc>
        <w:tc>
          <w:tcPr>
            <w:tcW w:w="7560" w:type="dxa"/>
            <w:vAlign w:val="bottom"/>
            <w:tcBorders>
              <w:right w:val="single" w:sz="8" w:color="auto"/>
            </w:tcBorders>
            <w:gridSpan w:val="3"/>
          </w:tcPr>
          <w:p>
            <w:pPr>
              <w:ind w:left="1200"/>
              <w:spacing w:after="0"/>
              <w:rPr>
                <w:sz w:val="20"/>
                <w:szCs w:val="20"/>
                <w:color w:val="auto"/>
              </w:rPr>
            </w:pPr>
            <w:r>
              <w:rPr>
                <w:rFonts w:ascii="Arial" w:cs="Arial" w:eastAsia="Arial" w:hAnsi="Arial"/>
                <w:sz w:val="20"/>
                <w:szCs w:val="20"/>
                <w:color w:val="auto"/>
              </w:rPr>
              <w:t>Real estate</w:t>
            </w:r>
          </w:p>
        </w:tc>
      </w:tr>
      <w:tr>
        <w:trPr>
          <w:trHeight w:val="257"/>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560" w:type="dxa"/>
            <w:vAlign w:val="bottom"/>
            <w:tcBorders>
              <w:right w:val="single" w:sz="8" w:color="auto"/>
            </w:tcBorders>
            <w:gridSpan w:val="3"/>
          </w:tcPr>
          <w:p>
            <w:pPr>
              <w:ind w:left="1200"/>
              <w:spacing w:after="0"/>
              <w:rPr>
                <w:sz w:val="20"/>
                <w:szCs w:val="20"/>
                <w:color w:val="auto"/>
              </w:rPr>
            </w:pPr>
            <w:r>
              <w:rPr>
                <w:rFonts w:ascii="Arial" w:cs="Arial" w:eastAsia="Arial" w:hAnsi="Arial"/>
                <w:sz w:val="20"/>
                <w:szCs w:val="20"/>
                <w:color w:val="auto"/>
              </w:rPr>
              <w:t>Lines of credit</w:t>
            </w:r>
          </w:p>
        </w:tc>
      </w:tr>
      <w:tr>
        <w:trPr>
          <w:trHeight w:val="256"/>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560" w:type="dxa"/>
            <w:vAlign w:val="bottom"/>
            <w:tcBorders>
              <w:right w:val="single" w:sz="8" w:color="auto"/>
            </w:tcBorders>
            <w:gridSpan w:val="3"/>
          </w:tcPr>
          <w:p>
            <w:pPr>
              <w:ind w:left="1200"/>
              <w:spacing w:after="0"/>
              <w:rPr>
                <w:sz w:val="20"/>
                <w:szCs w:val="20"/>
                <w:color w:val="auto"/>
              </w:rPr>
            </w:pPr>
            <w:r>
              <w:rPr>
                <w:rFonts w:ascii="Arial" w:cs="Arial" w:eastAsia="Arial" w:hAnsi="Arial"/>
                <w:sz w:val="20"/>
                <w:szCs w:val="20"/>
                <w:color w:val="auto"/>
              </w:rPr>
              <w:t>Other commercial and industrial</w:t>
            </w:r>
          </w:p>
        </w:tc>
      </w:tr>
      <w:tr>
        <w:trPr>
          <w:trHeight w:val="257"/>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560" w:type="dxa"/>
            <w:vAlign w:val="bottom"/>
            <w:tcBorders>
              <w:right w:val="single" w:sz="8" w:color="auto"/>
            </w:tcBorders>
            <w:gridSpan w:val="3"/>
          </w:tcPr>
          <w:p>
            <w:pPr>
              <w:ind w:left="1200"/>
              <w:spacing w:after="0"/>
              <w:rPr>
                <w:sz w:val="20"/>
                <w:szCs w:val="20"/>
                <w:color w:val="auto"/>
              </w:rPr>
            </w:pPr>
            <w:r>
              <w:rPr>
                <w:rFonts w:ascii="Arial" w:cs="Arial" w:eastAsia="Arial" w:hAnsi="Arial"/>
                <w:sz w:val="20"/>
                <w:szCs w:val="20"/>
                <w:color w:val="auto"/>
              </w:rPr>
              <w:t>Tax exempt loans</w:t>
            </w:r>
          </w:p>
        </w:tc>
      </w:tr>
      <w:tr>
        <w:trPr>
          <w:trHeight w:val="513"/>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20"/>
                <w:szCs w:val="20"/>
                <w:color w:val="auto"/>
              </w:rPr>
              <w:t>Consumer Loans</w:t>
            </w:r>
          </w:p>
        </w:tc>
        <w:tc>
          <w:tcPr>
            <w:tcW w:w="7560" w:type="dxa"/>
            <w:vAlign w:val="bottom"/>
            <w:tcBorders>
              <w:right w:val="single" w:sz="8" w:color="auto"/>
            </w:tcBorders>
            <w:gridSpan w:val="3"/>
          </w:tcPr>
          <w:p>
            <w:pPr>
              <w:ind w:left="1200"/>
              <w:spacing w:after="0"/>
              <w:rPr>
                <w:sz w:val="20"/>
                <w:szCs w:val="20"/>
                <w:color w:val="auto"/>
              </w:rPr>
            </w:pPr>
            <w:r>
              <w:rPr>
                <w:rFonts w:ascii="Arial" w:cs="Arial" w:eastAsia="Arial" w:hAnsi="Arial"/>
                <w:sz w:val="20"/>
                <w:szCs w:val="20"/>
                <w:color w:val="auto"/>
              </w:rPr>
              <w:t>Home equity and junior liens</w:t>
            </w:r>
          </w:p>
        </w:tc>
      </w:tr>
      <w:tr>
        <w:trPr>
          <w:trHeight w:val="261"/>
        </w:trPr>
        <w:tc>
          <w:tcPr>
            <w:tcW w:w="140" w:type="dxa"/>
            <w:vAlign w:val="bottom"/>
            <w:tcBorders>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7560" w:type="dxa"/>
            <w:vAlign w:val="bottom"/>
            <w:tcBorders>
              <w:bottom w:val="single" w:sz="8" w:color="auto"/>
              <w:right w:val="single" w:sz="8" w:color="auto"/>
            </w:tcBorders>
            <w:gridSpan w:val="3"/>
          </w:tcPr>
          <w:p>
            <w:pPr>
              <w:ind w:left="1200"/>
              <w:spacing w:after="0"/>
              <w:rPr>
                <w:sz w:val="20"/>
                <w:szCs w:val="20"/>
                <w:color w:val="auto"/>
              </w:rPr>
            </w:pPr>
            <w:r>
              <w:rPr>
                <w:rFonts w:ascii="Arial" w:cs="Arial" w:eastAsia="Arial" w:hAnsi="Arial"/>
                <w:sz w:val="20"/>
                <w:szCs w:val="20"/>
                <w:color w:val="auto"/>
              </w:rPr>
              <w:t>Other consumer</w:t>
            </w:r>
          </w:p>
        </w:tc>
      </w:tr>
      <w:tr>
        <w:trPr>
          <w:trHeight w:val="66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560" w:type="dxa"/>
            <w:vAlign w:val="bottom"/>
            <w:gridSpan w:val="3"/>
          </w:tcPr>
          <w:p>
            <w:pPr>
              <w:ind w:left="1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21</w:t>
            </w:r>
            <w:r>
              <w:rPr>
                <w:rFonts w:ascii="Arial" w:cs="Arial" w:eastAsia="Arial" w:hAnsi="Arial"/>
                <w:sz w:val="18"/>
                <w:szCs w:val="18"/>
                <w:color w:val="auto"/>
              </w:rPr>
              <w:t xml:space="preserve"> -</w:t>
            </w:r>
          </w:p>
        </w:tc>
      </w:tr>
      <w:tr>
        <w:trPr>
          <w:trHeight w:val="115"/>
        </w:trPr>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21" w:name="page22"/>
    <w:bookmarkEnd w:id="21"/>
    <w:p>
      <w:pPr>
        <w:spacing w:after="0" w:line="260" w:lineRule="auto"/>
        <w:rPr>
          <w:sz w:val="20"/>
          <w:szCs w:val="20"/>
          <w:color w:val="auto"/>
        </w:rPr>
      </w:pPr>
      <w:r>
        <w:rPr>
          <w:rFonts w:ascii="Arial" w:cs="Arial" w:eastAsia="Arial" w:hAnsi="Arial"/>
          <w:sz w:val="20"/>
          <w:szCs w:val="20"/>
          <w:color w:val="auto"/>
        </w:rPr>
        <w:t>The following tables present the classes of the loan portfolio, summarized by the aggregate pass rating and the classified ratings of special mention, substandard and doubtful within the Company's internal risk rating system as of the dates indicated: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80" w:type="dxa"/>
            <w:vAlign w:val="bottom"/>
            <w:gridSpan w:val="2"/>
            <w:vMerge w:val="restart"/>
          </w:tcPr>
          <w:p>
            <w:pPr>
              <w:jc w:val="right"/>
              <w:spacing w:after="0"/>
              <w:rPr>
                <w:sz w:val="20"/>
                <w:szCs w:val="20"/>
                <w:color w:val="auto"/>
              </w:rPr>
            </w:pPr>
            <w:r>
              <w:rPr>
                <w:rFonts w:ascii="Arial" w:cs="Arial" w:eastAsia="Arial" w:hAnsi="Arial"/>
                <w:sz w:val="16"/>
                <w:szCs w:val="16"/>
                <w:color w:val="auto"/>
                <w:w w:val="93"/>
              </w:rPr>
              <w:t>Term Loans By Origination Year</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Loans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converted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w w:val="96"/>
              </w:rPr>
              <w:t>to term</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2021</w:t>
            </w: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Prior</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Loans</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loans</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29"/>
        </w:trPr>
        <w:tc>
          <w:tcPr>
            <w:tcW w:w="2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8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0"/>
              <w:spacing w:after="0"/>
              <w:rPr>
                <w:sz w:val="20"/>
                <w:szCs w:val="20"/>
                <w:color w:val="auto"/>
              </w:rPr>
            </w:pPr>
            <w:r>
              <w:rPr>
                <w:rFonts w:ascii="Arial" w:cs="Arial" w:eastAsia="Arial" w:hAnsi="Arial"/>
                <w:sz w:val="16"/>
                <w:szCs w:val="16"/>
                <w:color w:val="auto"/>
              </w:rPr>
              <w:t>Pass</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  11,883</w:t>
            </w:r>
          </w:p>
        </w:tc>
        <w:tc>
          <w:tcPr>
            <w:tcW w:w="840" w:type="dxa"/>
            <w:vAlign w:val="bottom"/>
          </w:tcPr>
          <w:p>
            <w:pPr>
              <w:jc w:val="right"/>
              <w:spacing w:after="0"/>
              <w:rPr>
                <w:sz w:val="20"/>
                <w:szCs w:val="20"/>
                <w:color w:val="auto"/>
              </w:rPr>
            </w:pPr>
            <w:r>
              <w:rPr>
                <w:rFonts w:ascii="Arial" w:cs="Arial" w:eastAsia="Arial" w:hAnsi="Arial"/>
                <w:sz w:val="16"/>
                <w:szCs w:val="16"/>
                <w:color w:val="auto"/>
              </w:rPr>
              <w:t>$  85,601</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  59,801</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  30,138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52,830</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  92,276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$ 332,529</w:t>
            </w: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Special Mention</w:t>
            </w: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6,852</w:t>
            </w: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454</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1,019</w:t>
            </w: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8,325</w:t>
            </w:r>
          </w:p>
        </w:tc>
        <w:tc>
          <w:tcPr>
            <w:tcW w:w="0" w:type="dxa"/>
            <w:vAlign w:val="bottom"/>
          </w:tcPr>
          <w:p>
            <w:pPr>
              <w:spacing w:after="0"/>
              <w:rPr>
                <w:sz w:val="1"/>
                <w:szCs w:val="1"/>
                <w:color w:val="auto"/>
              </w:rPr>
            </w:pPr>
          </w:p>
        </w:tc>
      </w:tr>
      <w:tr>
        <w:trPr>
          <w:trHeight w:val="220"/>
        </w:trPr>
        <w:tc>
          <w:tcPr>
            <w:tcW w:w="2620" w:type="dxa"/>
            <w:vAlign w:val="bottom"/>
          </w:tcPr>
          <w:p>
            <w:pPr>
              <w:ind w:left="200"/>
              <w:spacing w:after="0"/>
              <w:rPr>
                <w:sz w:val="20"/>
                <w:szCs w:val="20"/>
                <w:color w:val="auto"/>
              </w:rPr>
            </w:pPr>
            <w:r>
              <w:rPr>
                <w:rFonts w:ascii="Arial" w:cs="Arial" w:eastAsia="Arial" w:hAnsi="Arial"/>
                <w:sz w:val="16"/>
                <w:szCs w:val="16"/>
                <w:color w:val="auto"/>
              </w:rPr>
              <w:t>Substandard</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500</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1,682</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739</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396</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5,646</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8,963</w:t>
            </w:r>
          </w:p>
        </w:tc>
        <w:tc>
          <w:tcPr>
            <w:tcW w:w="0" w:type="dxa"/>
            <w:vAlign w:val="bottom"/>
          </w:tcPr>
          <w:p>
            <w:pPr>
              <w:spacing w:after="0"/>
              <w:rPr>
                <w:sz w:val="1"/>
                <w:szCs w:val="1"/>
                <w:color w:val="auto"/>
              </w:rPr>
            </w:pPr>
          </w:p>
        </w:tc>
      </w:tr>
      <w:tr>
        <w:trPr>
          <w:trHeight w:val="233"/>
        </w:trPr>
        <w:tc>
          <w:tcPr>
            <w:tcW w:w="26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Doubtful</w:t>
            </w:r>
          </w:p>
        </w:tc>
        <w:tc>
          <w:tcPr>
            <w:tcW w:w="8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358</w:t>
            </w:r>
          </w:p>
        </w:tc>
        <w:tc>
          <w:tcPr>
            <w:tcW w:w="3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Commercial Real Estate</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11,883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92,953</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61,937</w:t>
            </w: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30,877</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53,226</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99,299</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350,175</w:t>
            </w: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Lines of Credit:</w:t>
            </w:r>
          </w:p>
        </w:tc>
        <w:tc>
          <w:tcPr>
            <w:tcW w:w="8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0"/>
              <w:spacing w:after="0"/>
              <w:rPr>
                <w:sz w:val="20"/>
                <w:szCs w:val="20"/>
                <w:color w:val="auto"/>
              </w:rPr>
            </w:pPr>
            <w:r>
              <w:rPr>
                <w:rFonts w:ascii="Arial" w:cs="Arial" w:eastAsia="Arial" w:hAnsi="Arial"/>
                <w:sz w:val="16"/>
                <w:szCs w:val="16"/>
                <w:color w:val="auto"/>
              </w:rPr>
              <w:t>Pass</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42,726</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34,475</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77,201</w:t>
            </w: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Special Mention</w:t>
            </w: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1,328</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555</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20"/>
        </w:trPr>
        <w:tc>
          <w:tcPr>
            <w:tcW w:w="2620" w:type="dxa"/>
            <w:vAlign w:val="bottom"/>
          </w:tcPr>
          <w:p>
            <w:pPr>
              <w:ind w:left="200"/>
              <w:spacing w:after="0"/>
              <w:rPr>
                <w:sz w:val="20"/>
                <w:szCs w:val="20"/>
                <w:color w:val="auto"/>
              </w:rPr>
            </w:pPr>
            <w:r>
              <w:rPr>
                <w:rFonts w:ascii="Arial" w:cs="Arial" w:eastAsia="Arial" w:hAnsi="Arial"/>
                <w:sz w:val="16"/>
                <w:szCs w:val="16"/>
                <w:color w:val="auto"/>
              </w:rPr>
              <w:t>Substandard</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1,235</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1,355</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33"/>
        </w:trPr>
        <w:tc>
          <w:tcPr>
            <w:tcW w:w="26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Doubtful</w:t>
            </w:r>
          </w:p>
        </w:tc>
        <w:tc>
          <w:tcPr>
            <w:tcW w:w="8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30</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Commercial Lines of Credit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45,289</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36,415</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81,704</w:t>
            </w: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Commercial and Industrial:</w:t>
            </w:r>
          </w:p>
        </w:tc>
        <w:tc>
          <w:tcPr>
            <w:tcW w:w="8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0"/>
              <w:spacing w:after="0"/>
              <w:rPr>
                <w:sz w:val="20"/>
                <w:szCs w:val="20"/>
                <w:color w:val="auto"/>
              </w:rPr>
            </w:pPr>
            <w:r>
              <w:rPr>
                <w:rFonts w:ascii="Arial" w:cs="Arial" w:eastAsia="Arial" w:hAnsi="Arial"/>
                <w:sz w:val="16"/>
                <w:szCs w:val="16"/>
                <w:color w:val="auto"/>
              </w:rPr>
              <w:t>Pass</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10,190</w:t>
            </w:r>
          </w:p>
        </w:tc>
        <w:tc>
          <w:tcPr>
            <w:tcW w:w="840" w:type="dxa"/>
            <w:vAlign w:val="bottom"/>
          </w:tcPr>
          <w:p>
            <w:pPr>
              <w:jc w:val="right"/>
              <w:spacing w:after="0"/>
              <w:rPr>
                <w:sz w:val="20"/>
                <w:szCs w:val="20"/>
                <w:color w:val="auto"/>
              </w:rPr>
            </w:pPr>
            <w:r>
              <w:rPr>
                <w:rFonts w:ascii="Arial" w:cs="Arial" w:eastAsia="Arial" w:hAnsi="Arial"/>
                <w:sz w:val="16"/>
                <w:szCs w:val="16"/>
                <w:color w:val="auto"/>
              </w:rPr>
              <w:t>21,029</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9,163</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6,714</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9,845</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14,291</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2,513</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73,745</w:t>
            </w: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Special Mention</w:t>
            </w: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973</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1,651</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212</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1,243</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w:t>
            </w: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4,290</w:t>
            </w:r>
          </w:p>
        </w:tc>
        <w:tc>
          <w:tcPr>
            <w:tcW w:w="0" w:type="dxa"/>
            <w:vAlign w:val="bottom"/>
          </w:tcPr>
          <w:p>
            <w:pPr>
              <w:spacing w:after="0"/>
              <w:rPr>
                <w:sz w:val="1"/>
                <w:szCs w:val="1"/>
                <w:color w:val="auto"/>
              </w:rPr>
            </w:pPr>
          </w:p>
        </w:tc>
      </w:tr>
      <w:tr>
        <w:trPr>
          <w:trHeight w:val="220"/>
        </w:trPr>
        <w:tc>
          <w:tcPr>
            <w:tcW w:w="2620" w:type="dxa"/>
            <w:vAlign w:val="bottom"/>
          </w:tcPr>
          <w:p>
            <w:pPr>
              <w:ind w:left="200"/>
              <w:spacing w:after="0"/>
              <w:rPr>
                <w:sz w:val="20"/>
                <w:szCs w:val="20"/>
                <w:color w:val="auto"/>
              </w:rPr>
            </w:pPr>
            <w:r>
              <w:rPr>
                <w:rFonts w:ascii="Arial" w:cs="Arial" w:eastAsia="Arial" w:hAnsi="Arial"/>
                <w:sz w:val="16"/>
                <w:szCs w:val="16"/>
                <w:color w:val="auto"/>
              </w:rPr>
              <w:t>Substandard</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746</w:t>
            </w:r>
          </w:p>
        </w:tc>
        <w:tc>
          <w:tcPr>
            <w:tcW w:w="840" w:type="dxa"/>
            <w:vAlign w:val="bottom"/>
          </w:tcPr>
          <w:p>
            <w:pPr>
              <w:jc w:val="right"/>
              <w:spacing w:after="0"/>
              <w:rPr>
                <w:sz w:val="20"/>
                <w:szCs w:val="20"/>
                <w:color w:val="auto"/>
              </w:rPr>
            </w:pPr>
            <w:r>
              <w:rPr>
                <w:rFonts w:ascii="Arial" w:cs="Arial" w:eastAsia="Arial" w:hAnsi="Arial"/>
                <w:sz w:val="16"/>
                <w:szCs w:val="16"/>
                <w:color w:val="auto"/>
              </w:rPr>
              <w:t>1,701</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513</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644</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304</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2,347</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6,255</w:t>
            </w:r>
          </w:p>
        </w:tc>
        <w:tc>
          <w:tcPr>
            <w:tcW w:w="0" w:type="dxa"/>
            <w:vAlign w:val="bottom"/>
          </w:tcPr>
          <w:p>
            <w:pPr>
              <w:spacing w:after="0"/>
              <w:rPr>
                <w:sz w:val="1"/>
                <w:szCs w:val="1"/>
                <w:color w:val="auto"/>
              </w:rPr>
            </w:pPr>
          </w:p>
        </w:tc>
      </w:tr>
      <w:tr>
        <w:trPr>
          <w:trHeight w:val="233"/>
        </w:trPr>
        <w:tc>
          <w:tcPr>
            <w:tcW w:w="26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Doubtful</w:t>
            </w:r>
          </w:p>
        </w:tc>
        <w:tc>
          <w:tcPr>
            <w:tcW w:w="8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263</w:t>
            </w: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6"/>
                <w:szCs w:val="16"/>
                <w:color w:val="auto"/>
              </w:rPr>
              <w:t>Total Other Commercial and</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Industrial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11,909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22,865</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11,327</w:t>
            </w: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7,833</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11,392</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16,714</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2,513</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84,553</w:t>
            </w: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Paycheck Protection Program Loans</w:t>
            </w:r>
          </w:p>
        </w:tc>
        <w:tc>
          <w:tcPr>
            <w:tcW w:w="8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60"/>
              <w:spacing w:after="0"/>
              <w:rPr>
                <w:sz w:val="20"/>
                <w:szCs w:val="20"/>
                <w:color w:val="auto"/>
              </w:rPr>
            </w:pPr>
            <w:r>
              <w:rPr>
                <w:rFonts w:ascii="Arial" w:cs="Arial" w:eastAsia="Arial" w:hAnsi="Arial"/>
                <w:sz w:val="16"/>
                <w:szCs w:val="16"/>
                <w:color w:val="auto"/>
              </w:rPr>
              <w:t>Pass</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192</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Special Mention</w:t>
            </w: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20" w:type="dxa"/>
            <w:vAlign w:val="bottom"/>
          </w:tcPr>
          <w:p>
            <w:pPr>
              <w:ind w:left="260"/>
              <w:spacing w:after="0"/>
              <w:rPr>
                <w:sz w:val="20"/>
                <w:szCs w:val="20"/>
                <w:color w:val="auto"/>
              </w:rPr>
            </w:pPr>
            <w:r>
              <w:rPr>
                <w:rFonts w:ascii="Arial" w:cs="Arial" w:eastAsia="Arial" w:hAnsi="Arial"/>
                <w:sz w:val="16"/>
                <w:szCs w:val="16"/>
                <w:color w:val="auto"/>
              </w:rPr>
              <w:t>Substandard</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6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Doubtful</w:t>
            </w:r>
          </w:p>
        </w:tc>
        <w:tc>
          <w:tcPr>
            <w:tcW w:w="8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6"/>
                <w:szCs w:val="16"/>
                <w:color w:val="auto"/>
              </w:rPr>
              <w:t>Total Paycheck Protection Program</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Loans</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192</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 Exempt Loans</w:t>
            </w:r>
          </w:p>
        </w:tc>
        <w:tc>
          <w:tcPr>
            <w:tcW w:w="8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60"/>
              <w:spacing w:after="0"/>
              <w:rPr>
                <w:sz w:val="20"/>
                <w:szCs w:val="20"/>
                <w:color w:val="auto"/>
              </w:rPr>
            </w:pPr>
            <w:r>
              <w:rPr>
                <w:rFonts w:ascii="Arial" w:cs="Arial" w:eastAsia="Arial" w:hAnsi="Arial"/>
                <w:sz w:val="16"/>
                <w:szCs w:val="16"/>
                <w:color w:val="auto"/>
              </w:rPr>
              <w:t>Pass</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196</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3,998</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4,200</w:t>
            </w: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Special Mention</w:t>
            </w: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20" w:type="dxa"/>
            <w:vAlign w:val="bottom"/>
          </w:tcPr>
          <w:p>
            <w:pPr>
              <w:ind w:left="260"/>
              <w:spacing w:after="0"/>
              <w:rPr>
                <w:sz w:val="20"/>
                <w:szCs w:val="20"/>
                <w:color w:val="auto"/>
              </w:rPr>
            </w:pPr>
            <w:r>
              <w:rPr>
                <w:rFonts w:ascii="Arial" w:cs="Arial" w:eastAsia="Arial" w:hAnsi="Arial"/>
                <w:sz w:val="16"/>
                <w:szCs w:val="16"/>
                <w:color w:val="auto"/>
              </w:rPr>
              <w:t>Substandard</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6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Doubtful</w:t>
            </w:r>
          </w:p>
        </w:tc>
        <w:tc>
          <w:tcPr>
            <w:tcW w:w="8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Tax Exempt Loans</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196</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3,998</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22</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80" w:type="dxa"/>
            <w:vAlign w:val="bottom"/>
            <w:gridSpan w:val="4"/>
            <w:vMerge w:val="restart"/>
          </w:tcPr>
          <w:p>
            <w:pPr>
              <w:jc w:val="right"/>
              <w:spacing w:after="0"/>
              <w:rPr>
                <w:sz w:val="20"/>
                <w:szCs w:val="20"/>
                <w:color w:val="auto"/>
              </w:rPr>
            </w:pPr>
            <w:r>
              <w:rPr>
                <w:rFonts w:ascii="Arial" w:cs="Arial" w:eastAsia="Arial" w:hAnsi="Arial"/>
                <w:sz w:val="16"/>
                <w:szCs w:val="16"/>
                <w:color w:val="auto"/>
                <w:w w:val="93"/>
              </w:rPr>
              <w:t>Term Loans By Origination Year</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Loans</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converted</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w w:val="96"/>
              </w:rPr>
              <w:t>to term</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Prior</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Loans</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loans</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6"/>
                <w:szCs w:val="16"/>
                <w:color w:val="auto"/>
              </w:rPr>
              <w:t>1-4 family first-lien residential</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6"/>
                <w:szCs w:val="16"/>
                <w:color w:val="auto"/>
              </w:rPr>
              <w:t>mortgages: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2,838</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33,954</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54,992</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43,171</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19,320</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93"/>
              </w:rPr>
              <w:t>102,825</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93"/>
              </w:rPr>
              <w:t>257,100</w:t>
            </w:r>
          </w:p>
        </w:tc>
        <w:tc>
          <w:tcPr>
            <w:tcW w:w="0" w:type="dxa"/>
            <w:vAlign w:val="bottom"/>
          </w:tcPr>
          <w:p>
            <w:pPr>
              <w:spacing w:after="0"/>
              <w:rPr>
                <w:sz w:val="1"/>
                <w:szCs w:val="1"/>
                <w:color w:val="auto"/>
              </w:rPr>
            </w:pPr>
          </w:p>
        </w:tc>
      </w:tr>
      <w:tr>
        <w:trPr>
          <w:trHeight w:val="220"/>
        </w:trPr>
        <w:tc>
          <w:tcPr>
            <w:tcW w:w="2620" w:type="dxa"/>
            <w:vAlign w:val="bottom"/>
          </w:tcPr>
          <w:p>
            <w:pPr>
              <w:ind w:left="200"/>
              <w:spacing w:after="0"/>
              <w:rPr>
                <w:sz w:val="20"/>
                <w:szCs w:val="20"/>
                <w:color w:val="auto"/>
              </w:rPr>
            </w:pPr>
            <w:r>
              <w:rPr>
                <w:rFonts w:ascii="Arial" w:cs="Arial" w:eastAsia="Arial" w:hAnsi="Arial"/>
                <w:sz w:val="16"/>
                <w:szCs w:val="16"/>
                <w:color w:val="auto"/>
              </w:rPr>
              <w:t>Special Mention</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19"/>
                <w:szCs w:val="19"/>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281</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26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621</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Substandard</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172</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223</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993</w:t>
            </w: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154</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520</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06"/>
        </w:trPr>
        <w:tc>
          <w:tcPr>
            <w:tcW w:w="2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1-4 family first-lien residential</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mortgages</w:t>
            </w: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2,838</w:t>
            </w: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33,954</w:t>
            </w: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55,066</w:t>
            </w: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43,778</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19,604</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3"/>
              </w:rPr>
              <w:t>104,959</w:t>
            </w: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3"/>
              </w:rPr>
              <w:t>260,199</w:t>
            </w: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Pass</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938</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1,995</w:t>
            </w:r>
          </w:p>
        </w:tc>
        <w:tc>
          <w:tcPr>
            <w:tcW w:w="3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220"/>
        </w:trPr>
        <w:tc>
          <w:tcPr>
            <w:tcW w:w="2620" w:type="dxa"/>
            <w:vAlign w:val="bottom"/>
          </w:tcPr>
          <w:p>
            <w:pPr>
              <w:ind w:left="200"/>
              <w:spacing w:after="0"/>
              <w:rPr>
                <w:sz w:val="20"/>
                <w:szCs w:val="20"/>
                <w:color w:val="auto"/>
              </w:rPr>
            </w:pPr>
            <w:r>
              <w:rPr>
                <w:rFonts w:ascii="Arial" w:cs="Arial" w:eastAsia="Arial" w:hAnsi="Arial"/>
                <w:sz w:val="16"/>
                <w:szCs w:val="16"/>
                <w:color w:val="auto"/>
              </w:rPr>
              <w:t>Special Mention</w:t>
            </w:r>
          </w:p>
        </w:tc>
        <w:tc>
          <w:tcPr>
            <w:tcW w:w="14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Substandard</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 Construction</w:t>
            </w: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938</w:t>
            </w: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1,995</w:t>
            </w: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Arial" w:cs="Arial" w:eastAsia="Arial" w:hAnsi="Arial"/>
                <w:sz w:val="16"/>
                <w:szCs w:val="16"/>
                <w:color w:val="auto"/>
              </w:rPr>
              <w:t>Home Equity and Junior Liens: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6,607</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2,247</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1,643</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1,034</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714</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2,585</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17,598</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827</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33,255</w:t>
            </w:r>
          </w:p>
        </w:tc>
        <w:tc>
          <w:tcPr>
            <w:tcW w:w="0" w:type="dxa"/>
            <w:vAlign w:val="bottom"/>
          </w:tcPr>
          <w:p>
            <w:pPr>
              <w:spacing w:after="0"/>
              <w:rPr>
                <w:sz w:val="1"/>
                <w:szCs w:val="1"/>
                <w:color w:val="auto"/>
              </w:rPr>
            </w:pPr>
          </w:p>
        </w:tc>
      </w:tr>
      <w:tr>
        <w:trPr>
          <w:trHeight w:val="220"/>
        </w:trPr>
        <w:tc>
          <w:tcPr>
            <w:tcW w:w="2620" w:type="dxa"/>
            <w:vAlign w:val="bottom"/>
          </w:tcPr>
          <w:p>
            <w:pPr>
              <w:ind w:left="200"/>
              <w:spacing w:after="0"/>
              <w:rPr>
                <w:sz w:val="20"/>
                <w:szCs w:val="20"/>
                <w:color w:val="auto"/>
              </w:rPr>
            </w:pPr>
            <w:r>
              <w:rPr>
                <w:rFonts w:ascii="Arial" w:cs="Arial" w:eastAsia="Arial" w:hAnsi="Arial"/>
                <w:sz w:val="16"/>
                <w:szCs w:val="16"/>
                <w:color w:val="auto"/>
              </w:rPr>
              <w:t>Special Mention</w:t>
            </w:r>
          </w:p>
        </w:tc>
        <w:tc>
          <w:tcPr>
            <w:tcW w:w="14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Substandard</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71</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w:t>
            </w: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624</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 Home Equity and Junior Liens</w:t>
            </w: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6,607</w:t>
            </w: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2,247</w:t>
            </w: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1,714</w:t>
            </w: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1,034</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714</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2,719</w:t>
            </w: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18,227</w:t>
            </w: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834</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34,096</w:t>
            </w: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Arial" w:cs="Arial" w:eastAsia="Arial" w:hAnsi="Arial"/>
                <w:sz w:val="16"/>
                <w:szCs w:val="16"/>
                <w:color w:val="auto"/>
              </w:rPr>
              <w:t>Other Consumer:</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Pass</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78,540</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4,975</w:t>
            </w:r>
          </w:p>
        </w:tc>
        <w:tc>
          <w:tcPr>
            <w:tcW w:w="3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3,645</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1,767</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2,294</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1,509</w:t>
            </w: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335</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93,065</w:t>
            </w:r>
          </w:p>
        </w:tc>
        <w:tc>
          <w:tcPr>
            <w:tcW w:w="0" w:type="dxa"/>
            <w:vAlign w:val="bottom"/>
          </w:tcPr>
          <w:p>
            <w:pPr>
              <w:spacing w:after="0"/>
              <w:rPr>
                <w:sz w:val="1"/>
                <w:szCs w:val="1"/>
                <w:color w:val="auto"/>
              </w:rPr>
            </w:pPr>
          </w:p>
        </w:tc>
      </w:tr>
      <w:tr>
        <w:trPr>
          <w:trHeight w:val="220"/>
        </w:trPr>
        <w:tc>
          <w:tcPr>
            <w:tcW w:w="2620" w:type="dxa"/>
            <w:vAlign w:val="bottom"/>
          </w:tcPr>
          <w:p>
            <w:pPr>
              <w:ind w:left="200"/>
              <w:spacing w:after="0"/>
              <w:rPr>
                <w:sz w:val="20"/>
                <w:szCs w:val="20"/>
                <w:color w:val="auto"/>
              </w:rPr>
            </w:pPr>
            <w:r>
              <w:rPr>
                <w:rFonts w:ascii="Arial" w:cs="Arial" w:eastAsia="Arial" w:hAnsi="Arial"/>
                <w:sz w:val="16"/>
                <w:szCs w:val="16"/>
                <w:color w:val="auto"/>
              </w:rPr>
              <w:t>Special Mention</w:t>
            </w:r>
          </w:p>
        </w:tc>
        <w:tc>
          <w:tcPr>
            <w:tcW w:w="14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Substandard</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3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34</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w:t>
            </w: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 Other Consumer</w:t>
            </w: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78,540</w:t>
            </w: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5,029</w:t>
            </w: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3,679</w:t>
            </w: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1,767</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2,299</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1,548</w:t>
            </w: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335</w:t>
            </w: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93,197</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Deferred Loan Fees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(2,758 )</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317</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182</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748</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(1,095 )</w:t>
            </w:r>
          </w:p>
        </w:tc>
        <w:tc>
          <w:tcPr>
            <w:tcW w:w="0" w:type="dxa"/>
            <w:vAlign w:val="bottom"/>
          </w:tcPr>
          <w:p>
            <w:pPr>
              <w:spacing w:after="0"/>
              <w:rPr>
                <w:sz w:val="1"/>
                <w:szCs w:val="1"/>
                <w:color w:val="auto"/>
              </w:rPr>
            </w:pPr>
          </w:p>
        </w:tc>
      </w:tr>
      <w:tr>
        <w:trPr>
          <w:trHeight w:val="263"/>
        </w:trPr>
        <w:tc>
          <w:tcPr>
            <w:tcW w:w="2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93"/>
              </w:rPr>
              <w:t>109,957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159,299</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93"/>
              </w:rPr>
              <w:t>134,040</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85,859</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87,401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3"/>
              </w:rPr>
              <w:t>229,985</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66,364</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37,249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3"/>
              </w:rPr>
              <w:t>910,154</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Management has reviewed its loan portfolio and determined that, to the best of its knowledge, no material exposure exists to sub-prime or other high-risk residential mortgages. The Company is not in the practice of originating these types of loans.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Nonaccrual and Past Due Loans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Loans are placed on nonaccrual when the contractual payment of principal and interest has become 90 days past due or</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management has serious doubts about further collectability of principal or interest, even though the loan may be currently performing.</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Loans are considered past due if the required principal and interest payments have not been received within thirty days of the payment due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23</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23" w:name="page24"/>
    <w:bookmarkEnd w:id="23"/>
    <w:p>
      <w:pPr>
        <w:spacing w:after="0" w:line="260" w:lineRule="auto"/>
        <w:rPr>
          <w:sz w:val="20"/>
          <w:szCs w:val="20"/>
          <w:color w:val="auto"/>
        </w:rPr>
      </w:pPr>
      <w:r>
        <w:rPr>
          <w:rFonts w:ascii="Arial" w:cs="Arial" w:eastAsia="Arial" w:hAnsi="Arial"/>
          <w:sz w:val="20"/>
          <w:szCs w:val="20"/>
          <w:color w:val="auto"/>
        </w:rPr>
        <w:t>An aging analysis of past due loans, not including net deferred loan costs, segregated by portfolio segment and class of loans, as of March 31, 2023 and December 31, 2022, are detailed in the following tables: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w w:val="94"/>
              </w:rPr>
              <w:t>As of March 31, 2023</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473"/>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91"/>
              </w:rPr>
              <w:t>30-59 Days</w:t>
            </w:r>
          </w:p>
        </w:tc>
        <w:tc>
          <w:tcPr>
            <w:tcW w:w="26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91"/>
              </w:rPr>
              <w:t>60-89 Days</w:t>
            </w:r>
          </w:p>
        </w:tc>
        <w:tc>
          <w:tcPr>
            <w:tcW w:w="32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90 Days</w:t>
            </w:r>
          </w:p>
        </w:tc>
        <w:tc>
          <w:tcPr>
            <w:tcW w:w="32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Total Loans</w:t>
            </w:r>
          </w:p>
        </w:tc>
      </w:tr>
      <w:tr>
        <w:trPr>
          <w:trHeight w:val="250"/>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Past Due</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Past Due</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and Over</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Past Due</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Receivable</w:t>
            </w:r>
          </w:p>
        </w:tc>
      </w:tr>
      <w:tr>
        <w:trPr>
          <w:trHeight w:val="24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Residential mortgage loans: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1-4 family first-lien residential mortgages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790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1,196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3,508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256,691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260,199</w:t>
            </w:r>
          </w:p>
        </w:tc>
      </w:tr>
      <w:tr>
        <w:trPr>
          <w:trHeight w:val="249"/>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2,933</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2,933</w:t>
            </w:r>
          </w:p>
        </w:tc>
      </w:tr>
      <w:tr>
        <w:trPr>
          <w:trHeight w:val="237"/>
        </w:trPr>
        <w:tc>
          <w:tcPr>
            <w:tcW w:w="3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Loans held-for-sale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residential mortgage loans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1,522</w:t>
            </w: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790</w:t>
            </w:r>
          </w:p>
        </w:tc>
        <w:tc>
          <w:tcPr>
            <w:tcW w:w="3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1,196</w:t>
            </w: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3,508</w:t>
            </w:r>
          </w:p>
        </w:tc>
        <w:tc>
          <w:tcPr>
            <w:tcW w:w="3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259,624</w:t>
            </w: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263,132</w:t>
            </w:r>
          </w:p>
        </w:tc>
      </w:tr>
      <w:tr>
        <w:trPr>
          <w:trHeight w:val="236"/>
        </w:trPr>
        <w:tc>
          <w:tcPr>
            <w:tcW w:w="3880" w:type="dxa"/>
            <w:vAlign w:val="bottom"/>
          </w:tcPr>
          <w:p>
            <w:pPr>
              <w:ind w:left="20"/>
              <w:spacing w:after="0"/>
              <w:rPr>
                <w:sz w:val="20"/>
                <w:szCs w:val="20"/>
                <w:color w:val="auto"/>
              </w:rPr>
            </w:pPr>
            <w:r>
              <w:rPr>
                <w:rFonts w:ascii="Arial" w:cs="Arial" w:eastAsia="Arial" w:hAnsi="Arial"/>
                <w:sz w:val="18"/>
                <w:szCs w:val="18"/>
                <w:color w:val="auto"/>
              </w:rPr>
              <w:t>Commercial loans: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9"/>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916</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839</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6,946</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8,701</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341,474</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350,175</w:t>
            </w: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Lines of credit</w:t>
            </w:r>
          </w:p>
        </w:tc>
        <w:tc>
          <w:tcPr>
            <w:tcW w:w="1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462</w:t>
            </w:r>
          </w:p>
        </w:tc>
        <w:tc>
          <w:tcPr>
            <w:tcW w:w="2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354</w:t>
            </w:r>
          </w:p>
        </w:tc>
        <w:tc>
          <w:tcPr>
            <w:tcW w:w="3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2,663</w:t>
            </w:r>
          </w:p>
        </w:tc>
        <w:tc>
          <w:tcPr>
            <w:tcW w:w="3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3,479</w:t>
            </w:r>
          </w:p>
        </w:tc>
        <w:tc>
          <w:tcPr>
            <w:tcW w:w="3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78,225</w:t>
            </w:r>
          </w:p>
        </w:tc>
        <w:tc>
          <w:tcPr>
            <w:tcW w:w="2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81,704</w:t>
            </w:r>
          </w:p>
        </w:tc>
      </w:tr>
      <w:tr>
        <w:trPr>
          <w:trHeight w:val="249"/>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commercial and industrial</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982</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6,062</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7,203</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77,350</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84,553</w:t>
            </w: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Paycheck Protection Program loans</w:t>
            </w:r>
          </w:p>
        </w:tc>
        <w:tc>
          <w:tcPr>
            <w:tcW w:w="1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192</w:t>
            </w:r>
          </w:p>
        </w:tc>
      </w:tr>
      <w:tr>
        <w:trPr>
          <w:trHeight w:val="243"/>
        </w:trPr>
        <w:tc>
          <w:tcPr>
            <w:tcW w:w="38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Tax exempt loans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4,200</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4,200</w:t>
            </w:r>
          </w:p>
        </w:tc>
      </w:tr>
      <w:tr>
        <w:trPr>
          <w:trHeight w:val="237"/>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commercial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2,360</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1,352</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15,671</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19,383</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501,441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520,824</w:t>
            </w:r>
          </w:p>
        </w:tc>
      </w:tr>
      <w:tr>
        <w:trPr>
          <w:trHeight w:val="24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loans: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Home equity and junior liens</w:t>
            </w:r>
          </w:p>
        </w:tc>
        <w:tc>
          <w:tcPr>
            <w:tcW w:w="1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33,807</w:t>
            </w:r>
          </w:p>
        </w:tc>
        <w:tc>
          <w:tcPr>
            <w:tcW w:w="2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34,096</w:t>
            </w:r>
          </w:p>
        </w:tc>
      </w:tr>
      <w:tr>
        <w:trPr>
          <w:trHeight w:val="243"/>
        </w:trPr>
        <w:tc>
          <w:tcPr>
            <w:tcW w:w="38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Other consumer</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508</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373</w:t>
            </w: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1,861</w:t>
            </w: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2,742</w:t>
            </w:r>
          </w:p>
        </w:tc>
        <w:tc>
          <w:tcPr>
            <w:tcW w:w="3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90,455</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93,197</w:t>
            </w:r>
          </w:p>
        </w:tc>
      </w:tr>
      <w:tr>
        <w:trPr>
          <w:trHeight w:val="236"/>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consumer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613</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396</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3,031</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124,262</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127,293</w:t>
            </w:r>
          </w:p>
        </w:tc>
      </w:tr>
      <w:tr>
        <w:trPr>
          <w:trHeight w:val="276"/>
        </w:trPr>
        <w:tc>
          <w:tcPr>
            <w:tcW w:w="38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4,495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2,538</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18,889</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25,922</w:t>
            </w:r>
          </w:p>
        </w:tc>
        <w:tc>
          <w:tcPr>
            <w:tcW w:w="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885,327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911,249</w:t>
            </w:r>
          </w:p>
        </w:tc>
      </w:tr>
      <w:tr>
        <w:trPr>
          <w:trHeight w:val="466"/>
        </w:trPr>
        <w:tc>
          <w:tcPr>
            <w:tcW w:w="3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rPr>
              <w:t>As of December 31, 2022</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473"/>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91"/>
              </w:rPr>
              <w:t>30-59 Days</w:t>
            </w:r>
          </w:p>
        </w:tc>
        <w:tc>
          <w:tcPr>
            <w:tcW w:w="26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91"/>
              </w:rPr>
              <w:t>60-89 Days</w:t>
            </w:r>
          </w:p>
        </w:tc>
        <w:tc>
          <w:tcPr>
            <w:tcW w:w="32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90 Days</w:t>
            </w:r>
          </w:p>
        </w:tc>
        <w:tc>
          <w:tcPr>
            <w:tcW w:w="32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Total Loans</w:t>
            </w:r>
          </w:p>
        </w:tc>
      </w:tr>
      <w:tr>
        <w:trPr>
          <w:trHeight w:val="250"/>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Past Due</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Past Due</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and Over</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Past Due</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Receivable</w:t>
            </w:r>
          </w:p>
        </w:tc>
      </w:tr>
      <w:tr>
        <w:trPr>
          <w:trHeight w:val="24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Residential mortgage loans: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1-4 family first-lien residential mortgages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932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3,179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254,477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257,656</w:t>
            </w:r>
          </w:p>
        </w:tc>
      </w:tr>
      <w:tr>
        <w:trPr>
          <w:trHeight w:val="249"/>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5,085</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5,085</w:t>
            </w:r>
          </w:p>
        </w:tc>
      </w:tr>
      <w:tr>
        <w:trPr>
          <w:trHeight w:val="237"/>
        </w:trPr>
        <w:tc>
          <w:tcPr>
            <w:tcW w:w="3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Loans held-for-sale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r>
      <w:tr>
        <w:trPr>
          <w:trHeight w:val="237"/>
        </w:trPr>
        <w:tc>
          <w:tcPr>
            <w:tcW w:w="38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residential mortgage loans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1,627</w:t>
            </w: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620</w:t>
            </w:r>
          </w:p>
        </w:tc>
        <w:tc>
          <w:tcPr>
            <w:tcW w:w="3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932</w:t>
            </w: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3,179</w:t>
            </w:r>
          </w:p>
        </w:tc>
        <w:tc>
          <w:tcPr>
            <w:tcW w:w="3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259,581</w:t>
            </w: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262,760</w:t>
            </w:r>
          </w:p>
        </w:tc>
      </w:tr>
      <w:tr>
        <w:trPr>
          <w:trHeight w:val="236"/>
        </w:trPr>
        <w:tc>
          <w:tcPr>
            <w:tcW w:w="3880" w:type="dxa"/>
            <w:vAlign w:val="bottom"/>
          </w:tcPr>
          <w:p>
            <w:pPr>
              <w:ind w:left="20"/>
              <w:spacing w:after="0"/>
              <w:rPr>
                <w:sz w:val="20"/>
                <w:szCs w:val="20"/>
                <w:color w:val="auto"/>
              </w:rPr>
            </w:pPr>
            <w:r>
              <w:rPr>
                <w:rFonts w:ascii="Arial" w:cs="Arial" w:eastAsia="Arial" w:hAnsi="Arial"/>
                <w:sz w:val="18"/>
                <w:szCs w:val="18"/>
                <w:color w:val="auto"/>
              </w:rPr>
              <w:t>Commercial loans: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9"/>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4,974</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854</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3,499</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9,327</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336,003</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345,330</w:t>
            </w: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Lines of credit</w:t>
            </w:r>
          </w:p>
        </w:tc>
        <w:tc>
          <w:tcPr>
            <w:tcW w:w="1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1,280</w:t>
            </w:r>
          </w:p>
        </w:tc>
        <w:tc>
          <w:tcPr>
            <w:tcW w:w="2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1,584</w:t>
            </w:r>
          </w:p>
        </w:tc>
        <w:tc>
          <w:tcPr>
            <w:tcW w:w="3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3,162</w:t>
            </w:r>
          </w:p>
        </w:tc>
        <w:tc>
          <w:tcPr>
            <w:tcW w:w="3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78,888</w:t>
            </w:r>
          </w:p>
        </w:tc>
        <w:tc>
          <w:tcPr>
            <w:tcW w:w="2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82,050</w:t>
            </w:r>
          </w:p>
        </w:tc>
      </w:tr>
      <w:tr>
        <w:trPr>
          <w:trHeight w:val="249"/>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commercial and industrial</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4,721</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999</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1,738</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7,458</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69,815</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77,273</w:t>
            </w: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Paycheck Protection Program loans</w:t>
            </w:r>
          </w:p>
        </w:tc>
        <w:tc>
          <w:tcPr>
            <w:tcW w:w="1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203</w:t>
            </w:r>
          </w:p>
        </w:tc>
      </w:tr>
      <w:tr>
        <w:trPr>
          <w:trHeight w:val="243"/>
        </w:trPr>
        <w:tc>
          <w:tcPr>
            <w:tcW w:w="38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Tax exempt loans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4,280</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4,280</w:t>
            </w:r>
          </w:p>
        </w:tc>
      </w:tr>
      <w:tr>
        <w:trPr>
          <w:trHeight w:val="237"/>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commercial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10,975</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3,437</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5,535</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19,947</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489,189</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509,136</w:t>
            </w:r>
          </w:p>
        </w:tc>
      </w:tr>
      <w:tr>
        <w:trPr>
          <w:trHeight w:val="24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loans: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Home equity and junior liens</w:t>
            </w:r>
          </w:p>
        </w:tc>
        <w:tc>
          <w:tcPr>
            <w:tcW w:w="1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279</w:t>
            </w:r>
          </w:p>
        </w:tc>
        <w:tc>
          <w:tcPr>
            <w:tcW w:w="3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319</w:t>
            </w:r>
          </w:p>
        </w:tc>
        <w:tc>
          <w:tcPr>
            <w:tcW w:w="3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33,688</w:t>
            </w:r>
          </w:p>
        </w:tc>
        <w:tc>
          <w:tcPr>
            <w:tcW w:w="2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34,007</w:t>
            </w:r>
          </w:p>
        </w:tc>
      </w:tr>
      <w:tr>
        <w:trPr>
          <w:trHeight w:val="243"/>
        </w:trPr>
        <w:tc>
          <w:tcPr>
            <w:tcW w:w="38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Other consumer</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391</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239</w:t>
            </w: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1,904</w:t>
            </w: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2,534</w:t>
            </w:r>
          </w:p>
        </w:tc>
        <w:tc>
          <w:tcPr>
            <w:tcW w:w="3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90,317</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92,851</w:t>
            </w:r>
          </w:p>
        </w:tc>
      </w:tr>
      <w:tr>
        <w:trPr>
          <w:trHeight w:val="236"/>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consumer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414</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256</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2,183</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2,853</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124,005</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126,858</w:t>
            </w:r>
          </w:p>
        </w:tc>
      </w:tr>
      <w:tr>
        <w:trPr>
          <w:trHeight w:val="277"/>
        </w:trPr>
        <w:tc>
          <w:tcPr>
            <w:tcW w:w="38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13,016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4,313</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8,650</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25,979</w:t>
            </w:r>
          </w:p>
        </w:tc>
        <w:tc>
          <w:tcPr>
            <w:tcW w:w="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872,775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898,754</w:t>
            </w:r>
          </w:p>
        </w:tc>
      </w:tr>
      <w:tr>
        <w:trPr>
          <w:trHeight w:val="419"/>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24</w:t>
            </w:r>
            <w:r>
              <w:rPr>
                <w:rFonts w:ascii="Arial" w:cs="Arial" w:eastAsia="Arial" w:hAnsi="Arial"/>
                <w:sz w:val="18"/>
                <w:szCs w:val="18"/>
                <w:color w:val="auto"/>
              </w:rPr>
              <w:t xml:space="preserve"> -</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color w:val="auto"/>
        </w:rPr>
        <w:t>Nonaccrual loans, segregated by class of loan,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March 31,</w:t>
            </w:r>
          </w:p>
        </w:tc>
        <w:tc>
          <w:tcPr>
            <w:tcW w:w="5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December 31,</w:t>
            </w:r>
          </w:p>
        </w:tc>
      </w:tr>
      <w:tr>
        <w:trPr>
          <w:trHeight w:val="25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7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Residential mortgage loans:</w:t>
            </w:r>
          </w:p>
        </w:tc>
        <w:tc>
          <w:tcPr>
            <w:tcW w:w="27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1-4 family first-lien residential mortgages</w:t>
            </w:r>
          </w:p>
        </w:tc>
        <w:tc>
          <w:tcPr>
            <w:tcW w:w="2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1,372</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1,112</w:t>
            </w:r>
          </w:p>
        </w:tc>
      </w:tr>
      <w:tr>
        <w:trPr>
          <w:trHeight w:val="237"/>
        </w:trPr>
        <w:tc>
          <w:tcPr>
            <w:tcW w:w="5320" w:type="dxa"/>
            <w:vAlign w:val="bottom"/>
            <w:tcBorders>
              <w:bottom w:val="single" w:sz="8" w:color="auto"/>
            </w:tcBorders>
            <w:shd w:val="clear" w:color="auto" w:fill="CFF0FC"/>
          </w:tcPr>
          <w:p>
            <w:pPr>
              <w:spacing w:after="0"/>
              <w:rPr>
                <w:sz w:val="20"/>
                <w:szCs w:val="20"/>
                <w:color w:val="auto"/>
              </w:rPr>
            </w:pPr>
          </w:p>
        </w:tc>
        <w:tc>
          <w:tcPr>
            <w:tcW w:w="27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1,372</w:t>
            </w:r>
          </w:p>
        </w:tc>
        <w:tc>
          <w:tcPr>
            <w:tcW w:w="5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1,112</w:t>
            </w: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color w:val="auto"/>
              </w:rPr>
              <w:t>Commercial loans:</w:t>
            </w:r>
          </w:p>
        </w:tc>
        <w:tc>
          <w:tcPr>
            <w:tcW w:w="2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Real estate</w:t>
            </w:r>
          </w:p>
        </w:tc>
        <w:tc>
          <w:tcPr>
            <w:tcW w:w="27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6,946</w:t>
            </w:r>
          </w:p>
        </w:tc>
        <w:tc>
          <w:tcPr>
            <w:tcW w:w="5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3,504</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Lines of credit</w:t>
            </w:r>
          </w:p>
        </w:tc>
        <w:tc>
          <w:tcPr>
            <w:tcW w:w="27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6,062</w:t>
            </w:r>
          </w:p>
        </w:tc>
        <w:tc>
          <w:tcPr>
            <w:tcW w:w="5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332</w:t>
            </w:r>
          </w:p>
        </w:tc>
      </w:tr>
      <w:tr>
        <w:trPr>
          <w:trHeight w:val="243"/>
        </w:trPr>
        <w:tc>
          <w:tcPr>
            <w:tcW w:w="5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Other commercial and industrial</w:t>
            </w:r>
          </w:p>
        </w:tc>
        <w:tc>
          <w:tcPr>
            <w:tcW w:w="27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2,693</w:t>
            </w:r>
          </w:p>
        </w:tc>
        <w:tc>
          <w:tcPr>
            <w:tcW w:w="5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1,884</w:t>
            </w:r>
          </w:p>
        </w:tc>
      </w:tr>
      <w:tr>
        <w:trPr>
          <w:trHeight w:val="236"/>
        </w:trPr>
        <w:tc>
          <w:tcPr>
            <w:tcW w:w="5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15,701</w:t>
            </w:r>
          </w:p>
        </w:tc>
        <w:tc>
          <w:tcPr>
            <w:tcW w:w="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5,720</w:t>
            </w: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loans:</w:t>
            </w:r>
          </w:p>
        </w:tc>
        <w:tc>
          <w:tcPr>
            <w:tcW w:w="27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Home equity and junior liens</w:t>
            </w:r>
          </w:p>
        </w:tc>
        <w:tc>
          <w:tcPr>
            <w:tcW w:w="27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161</w:t>
            </w:r>
          </w:p>
        </w:tc>
        <w:tc>
          <w:tcPr>
            <w:tcW w:w="5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279</w:t>
            </w:r>
          </w:p>
        </w:tc>
      </w:tr>
      <w:tr>
        <w:trPr>
          <w:trHeight w:val="243"/>
        </w:trPr>
        <w:tc>
          <w:tcPr>
            <w:tcW w:w="5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Other consumer</w:t>
            </w:r>
          </w:p>
        </w:tc>
        <w:tc>
          <w:tcPr>
            <w:tcW w:w="27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1,868</w:t>
            </w:r>
          </w:p>
        </w:tc>
        <w:tc>
          <w:tcPr>
            <w:tcW w:w="5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1,904</w:t>
            </w:r>
          </w:p>
        </w:tc>
      </w:tr>
      <w:tr>
        <w:trPr>
          <w:trHeight w:val="236"/>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consumer loans</w:t>
            </w:r>
          </w:p>
        </w:tc>
        <w:tc>
          <w:tcPr>
            <w:tcW w:w="2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2,029</w:t>
            </w:r>
          </w:p>
        </w:tc>
        <w:tc>
          <w:tcPr>
            <w:tcW w:w="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2,183</w:t>
            </w:r>
          </w:p>
        </w:tc>
      </w:tr>
      <w:tr>
        <w:trPr>
          <w:trHeight w:val="277"/>
        </w:trPr>
        <w:tc>
          <w:tcPr>
            <w:tcW w:w="5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nonaccrual loans</w:t>
            </w:r>
          </w:p>
        </w:tc>
        <w:tc>
          <w:tcPr>
            <w:tcW w:w="27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19,102</w:t>
            </w:r>
          </w:p>
        </w:tc>
        <w:tc>
          <w:tcPr>
            <w:tcW w:w="5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9,015</w:t>
            </w:r>
          </w:p>
        </w:tc>
      </w:tr>
    </w:tbl>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At March 31, 2023, the Bank's 65 nonperforming loans represented 2.1% of total loans, with an aggregate outstanding balance of $19.1 million, as compared to 56 loans with an aggregate outstanding balance of $9.0 million at December 31, 2022. This increase of $10.1 million was the result of the downgrade of two significant loan relationships. The balance of nonaccrual loans related to these two relationships increased to 24 loans, with an aggregate outstanding balance of $13.0 million at March 31, 2023, as compared to five loans with an aggregate outstanding balance of $1.7 million at December 31, 2022. Management is closely monitoring all nonaccrual loans and has incorporated its current estimate of the ultimate collectability of these loans into the reported allowance for credit losses at March 31, 2023.</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When the Company modifies a loan within a portfolio segment that is individually evaluated for impairment,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25</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i w:val="1"/>
          <w:iCs w:val="1"/>
          <w:color w:val="auto"/>
        </w:rPr>
        <w:t>Impaired Loans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impaired loan information by portfolio class at December 31, 2022: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December 31, 2022</w:t>
            </w: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30"/>
        </w:trPr>
        <w:tc>
          <w:tcPr>
            <w:tcW w:w="6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Unpaid</w:t>
            </w: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2"/>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Recorded</w:t>
            </w:r>
          </w:p>
        </w:tc>
        <w:tc>
          <w:tcPr>
            <w:tcW w:w="6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Principal</w:t>
            </w:r>
          </w:p>
        </w:tc>
        <w:tc>
          <w:tcPr>
            <w:tcW w:w="5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Related</w:t>
            </w:r>
          </w:p>
        </w:tc>
      </w:tr>
      <w:tr>
        <w:trPr>
          <w:trHeight w:val="25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Investment</w:t>
            </w:r>
          </w:p>
        </w:tc>
        <w:tc>
          <w:tcPr>
            <w:tcW w:w="6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Balance</w:t>
            </w:r>
          </w:p>
        </w:tc>
        <w:tc>
          <w:tcPr>
            <w:tcW w:w="5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Allowance</w:t>
            </w:r>
          </w:p>
        </w:tc>
      </w:tr>
      <w:tr>
        <w:trPr>
          <w:trHeight w:val="24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With no related allowance recorded:</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1-4 family first-lien residential mortgages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1,048</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1,048</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5,283</w:t>
            </w:r>
          </w:p>
        </w:tc>
        <w:tc>
          <w:tcPr>
            <w:tcW w:w="6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5,386</w:t>
            </w:r>
          </w:p>
        </w:tc>
        <w:tc>
          <w:tcPr>
            <w:tcW w:w="5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Commercial lines of credit</w:t>
            </w:r>
          </w:p>
        </w:tc>
        <w:tc>
          <w:tcPr>
            <w:tcW w:w="36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2,218</w:t>
            </w:r>
          </w:p>
        </w:tc>
        <w:tc>
          <w:tcPr>
            <w:tcW w:w="64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2,218</w:t>
            </w:r>
          </w:p>
        </w:tc>
        <w:tc>
          <w:tcPr>
            <w:tcW w:w="5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commercial and industrial</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2,780</w:t>
            </w:r>
          </w:p>
        </w:tc>
        <w:tc>
          <w:tcPr>
            <w:tcW w:w="6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2,829</w:t>
            </w:r>
          </w:p>
        </w:tc>
        <w:tc>
          <w:tcPr>
            <w:tcW w:w="5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Home equity and junior liens</w:t>
            </w:r>
          </w:p>
        </w:tc>
        <w:tc>
          <w:tcPr>
            <w:tcW w:w="36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182</w:t>
            </w:r>
          </w:p>
        </w:tc>
        <w:tc>
          <w:tcPr>
            <w:tcW w:w="64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182</w:t>
            </w:r>
          </w:p>
        </w:tc>
        <w:tc>
          <w:tcPr>
            <w:tcW w:w="5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60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9"/>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With an allowance recorded:</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1-4 family first-lien residential mortgages</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450</w:t>
            </w:r>
          </w:p>
        </w:tc>
        <w:tc>
          <w:tcPr>
            <w:tcW w:w="6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450</w:t>
            </w:r>
          </w:p>
        </w:tc>
        <w:tc>
          <w:tcPr>
            <w:tcW w:w="5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91</w:t>
            </w: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2,625</w:t>
            </w:r>
          </w:p>
        </w:tc>
        <w:tc>
          <w:tcPr>
            <w:tcW w:w="64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2,625</w:t>
            </w:r>
          </w:p>
        </w:tc>
        <w:tc>
          <w:tcPr>
            <w:tcW w:w="5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346</w:t>
            </w:r>
          </w:p>
        </w:tc>
      </w:tr>
      <w:tr>
        <w:trPr>
          <w:trHeight w:val="249"/>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lines of credit</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3,059</w:t>
            </w:r>
          </w:p>
        </w:tc>
        <w:tc>
          <w:tcPr>
            <w:tcW w:w="6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3,066</w:t>
            </w:r>
          </w:p>
        </w:tc>
        <w:tc>
          <w:tcPr>
            <w:tcW w:w="5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2,957</w:t>
            </w: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Other commercial and industrial</w:t>
            </w:r>
          </w:p>
        </w:tc>
        <w:tc>
          <w:tcPr>
            <w:tcW w:w="36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1,998</w:t>
            </w:r>
          </w:p>
        </w:tc>
        <w:tc>
          <w:tcPr>
            <w:tcW w:w="64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1,998</w:t>
            </w:r>
          </w:p>
        </w:tc>
        <w:tc>
          <w:tcPr>
            <w:tcW w:w="5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1,285</w:t>
            </w:r>
          </w:p>
        </w:tc>
      </w:tr>
      <w:tr>
        <w:trPr>
          <w:trHeight w:val="249"/>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Home equity and junior liens</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536</w:t>
            </w:r>
          </w:p>
        </w:tc>
        <w:tc>
          <w:tcPr>
            <w:tcW w:w="6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536</w:t>
            </w:r>
          </w:p>
        </w:tc>
        <w:tc>
          <w:tcPr>
            <w:tcW w:w="5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114</w:t>
            </w:r>
          </w:p>
        </w:tc>
      </w:tr>
      <w:tr>
        <w:trPr>
          <w:trHeight w:val="243"/>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1-4 family first-lien residential mortgages</w:t>
            </w:r>
          </w:p>
        </w:tc>
        <w:tc>
          <w:tcPr>
            <w:tcW w:w="36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1,498</w:t>
            </w:r>
          </w:p>
        </w:tc>
        <w:tc>
          <w:tcPr>
            <w:tcW w:w="64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1,498</w:t>
            </w:r>
          </w:p>
        </w:tc>
        <w:tc>
          <w:tcPr>
            <w:tcW w:w="5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91</w:t>
            </w:r>
          </w:p>
        </w:tc>
      </w:tr>
      <w:tr>
        <w:trPr>
          <w:trHeight w:val="249"/>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7,908</w:t>
            </w:r>
          </w:p>
        </w:tc>
        <w:tc>
          <w:tcPr>
            <w:tcW w:w="6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8,011</w:t>
            </w:r>
          </w:p>
        </w:tc>
        <w:tc>
          <w:tcPr>
            <w:tcW w:w="5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346</w:t>
            </w: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Commercial lines of credit</w:t>
            </w:r>
          </w:p>
        </w:tc>
        <w:tc>
          <w:tcPr>
            <w:tcW w:w="36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5,277</w:t>
            </w:r>
          </w:p>
        </w:tc>
        <w:tc>
          <w:tcPr>
            <w:tcW w:w="64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5,284</w:t>
            </w:r>
          </w:p>
        </w:tc>
        <w:tc>
          <w:tcPr>
            <w:tcW w:w="5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2,957</w:t>
            </w:r>
          </w:p>
        </w:tc>
      </w:tr>
      <w:tr>
        <w:trPr>
          <w:trHeight w:val="249"/>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commercial and industrial</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4,778</w:t>
            </w:r>
          </w:p>
        </w:tc>
        <w:tc>
          <w:tcPr>
            <w:tcW w:w="6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4,827</w:t>
            </w:r>
          </w:p>
        </w:tc>
        <w:tc>
          <w:tcPr>
            <w:tcW w:w="5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1,285</w:t>
            </w:r>
          </w:p>
        </w:tc>
      </w:tr>
      <w:tr>
        <w:trPr>
          <w:trHeight w:val="237"/>
        </w:trPr>
        <w:tc>
          <w:tcPr>
            <w:tcW w:w="6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Home equity and junior liens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718</w:t>
            </w: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718</w:t>
            </w: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w:t>
            </w:r>
          </w:p>
        </w:tc>
      </w:tr>
      <w:tr>
        <w:trPr>
          <w:trHeight w:val="276"/>
        </w:trPr>
        <w:tc>
          <w:tcPr>
            <w:tcW w:w="602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rPr>
              <w:t>Totals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20,179</w:t>
            </w:r>
          </w:p>
        </w:tc>
        <w:tc>
          <w:tcPr>
            <w:tcW w:w="6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20,338</w:t>
            </w:r>
          </w:p>
        </w:tc>
        <w:tc>
          <w:tcPr>
            <w:tcW w:w="5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4,793</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average recorded investment in impaired loans for the periods indicated: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20" w:type="dxa"/>
            <w:vAlign w:val="bottom"/>
            <w:gridSpan w:val="2"/>
          </w:tcPr>
          <w:p>
            <w:pPr>
              <w:jc w:val="right"/>
              <w:ind w:right="199"/>
              <w:spacing w:after="0"/>
              <w:rPr>
                <w:sz w:val="20"/>
                <w:szCs w:val="20"/>
                <w:color w:val="auto"/>
              </w:rPr>
            </w:pPr>
            <w:r>
              <w:rPr>
                <w:rFonts w:ascii="Arial" w:cs="Arial" w:eastAsia="Arial" w:hAnsi="Arial"/>
                <w:sz w:val="16"/>
                <w:szCs w:val="16"/>
                <w:color w:val="auto"/>
              </w:rPr>
              <w:t>For the three months ended</w:t>
            </w:r>
          </w:p>
        </w:tc>
        <w:tc>
          <w:tcPr>
            <w:tcW w:w="860" w:type="dxa"/>
            <w:vAlign w:val="bottom"/>
          </w:tcPr>
          <w:p>
            <w:pPr>
              <w:spacing w:after="0"/>
              <w:rPr>
                <w:sz w:val="17"/>
                <w:szCs w:val="17"/>
                <w:color w:val="auto"/>
              </w:rPr>
            </w:pPr>
          </w:p>
        </w:tc>
      </w:tr>
      <w:tr>
        <w:trPr>
          <w:trHeight w:val="243"/>
        </w:trPr>
        <w:tc>
          <w:tcPr>
            <w:tcW w:w="73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color w:val="auto"/>
              </w:rPr>
              <w:t>March 31,</w:t>
            </w:r>
          </w:p>
        </w:tc>
        <w:tc>
          <w:tcPr>
            <w:tcW w:w="860" w:type="dxa"/>
            <w:vAlign w:val="bottom"/>
            <w:tcBorders>
              <w:bottom w:val="single" w:sz="8" w:color="auto"/>
            </w:tcBorders>
          </w:tcPr>
          <w:p>
            <w:pPr>
              <w:spacing w:after="0"/>
              <w:rPr>
                <w:sz w:val="21"/>
                <w:szCs w:val="21"/>
                <w:color w:val="auto"/>
              </w:rPr>
            </w:pPr>
          </w:p>
        </w:tc>
      </w:tr>
      <w:tr>
        <w:trPr>
          <w:trHeight w:val="223"/>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2023</w:t>
            </w: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2022</w:t>
            </w:r>
          </w:p>
        </w:tc>
      </w:tr>
      <w:tr>
        <w:trPr>
          <w:trHeight w:val="257"/>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1-4 family first-lien residential mortgages</w:t>
            </w:r>
          </w:p>
        </w:tc>
        <w:tc>
          <w:tcPr>
            <w:tcW w:w="5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1,494</w:t>
            </w:r>
          </w:p>
        </w:tc>
        <w:tc>
          <w:tcPr>
            <w:tcW w:w="1180" w:type="dxa"/>
            <w:vAlign w:val="bottom"/>
            <w:shd w:val="clear" w:color="auto" w:fill="CFF0FC"/>
          </w:tcPr>
          <w:p>
            <w:pPr>
              <w:jc w:val="right"/>
              <w:ind w:right="7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1,197</w:t>
            </w:r>
          </w:p>
        </w:tc>
      </w:tr>
      <w:tr>
        <w:trPr>
          <w:trHeight w:val="247"/>
        </w:trPr>
        <w:tc>
          <w:tcPr>
            <w:tcW w:w="7300" w:type="dxa"/>
            <w:vAlign w:val="bottom"/>
          </w:tcPr>
          <w:p>
            <w:pPr>
              <w:ind w:left="200"/>
              <w:spacing w:after="0"/>
              <w:rPr>
                <w:sz w:val="20"/>
                <w:szCs w:val="20"/>
                <w:color w:val="auto"/>
              </w:rPr>
            </w:pPr>
            <w:r>
              <w:rPr>
                <w:rFonts w:ascii="Arial" w:cs="Arial" w:eastAsia="Arial" w:hAnsi="Arial"/>
                <w:sz w:val="16"/>
                <w:szCs w:val="16"/>
                <w:color w:val="auto"/>
              </w:rPr>
              <w:t>Commercial real estate</w:t>
            </w:r>
          </w:p>
        </w:tc>
        <w:tc>
          <w:tcPr>
            <w:tcW w:w="560" w:type="dxa"/>
            <w:vAlign w:val="bottom"/>
          </w:tcPr>
          <w:p>
            <w:pPr>
              <w:spacing w:after="0"/>
              <w:rPr>
                <w:sz w:val="21"/>
                <w:szCs w:val="21"/>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9,192</w:t>
            </w:r>
          </w:p>
        </w:tc>
        <w:tc>
          <w:tcPr>
            <w:tcW w:w="118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7,135</w:t>
            </w:r>
          </w:p>
        </w:tc>
      </w:tr>
      <w:tr>
        <w:trPr>
          <w:trHeight w:val="266"/>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lines of credit</w:t>
            </w:r>
          </w:p>
        </w:tc>
        <w:tc>
          <w:tcPr>
            <w:tcW w:w="560" w:type="dxa"/>
            <w:vAlign w:val="bottom"/>
            <w:shd w:val="clear" w:color="auto" w:fill="CFF0FC"/>
          </w:tcPr>
          <w:p>
            <w:pPr>
              <w:spacing w:after="0"/>
              <w:rPr>
                <w:sz w:val="23"/>
                <w:szCs w:val="23"/>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3,886</w:t>
            </w:r>
          </w:p>
        </w:tc>
        <w:tc>
          <w:tcPr>
            <w:tcW w:w="1180" w:type="dxa"/>
            <w:vAlign w:val="bottom"/>
            <w:shd w:val="clear" w:color="auto" w:fill="CFF0FC"/>
          </w:tcPr>
          <w:p>
            <w:pPr>
              <w:spacing w:after="0"/>
              <w:rPr>
                <w:sz w:val="23"/>
                <w:szCs w:val="23"/>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151</w:t>
            </w:r>
          </w:p>
        </w:tc>
      </w:tr>
      <w:tr>
        <w:trPr>
          <w:trHeight w:val="247"/>
        </w:trPr>
        <w:tc>
          <w:tcPr>
            <w:tcW w:w="7300" w:type="dxa"/>
            <w:vAlign w:val="bottom"/>
          </w:tcPr>
          <w:p>
            <w:pPr>
              <w:ind w:left="200"/>
              <w:spacing w:after="0"/>
              <w:rPr>
                <w:sz w:val="20"/>
                <w:szCs w:val="20"/>
                <w:color w:val="auto"/>
              </w:rPr>
            </w:pPr>
            <w:r>
              <w:rPr>
                <w:rFonts w:ascii="Arial" w:cs="Arial" w:eastAsia="Arial" w:hAnsi="Arial"/>
                <w:sz w:val="16"/>
                <w:szCs w:val="16"/>
                <w:color w:val="auto"/>
              </w:rPr>
              <w:t>Other commercial and industrial</w:t>
            </w:r>
          </w:p>
        </w:tc>
        <w:tc>
          <w:tcPr>
            <w:tcW w:w="560" w:type="dxa"/>
            <w:vAlign w:val="bottom"/>
          </w:tcPr>
          <w:p>
            <w:pPr>
              <w:spacing w:after="0"/>
              <w:rPr>
                <w:sz w:val="21"/>
                <w:szCs w:val="21"/>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6,516</w:t>
            </w:r>
          </w:p>
        </w:tc>
        <w:tc>
          <w:tcPr>
            <w:tcW w:w="118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2,198</w:t>
            </w:r>
          </w:p>
        </w:tc>
      </w:tr>
      <w:tr>
        <w:trPr>
          <w:trHeight w:val="260"/>
        </w:trPr>
        <w:tc>
          <w:tcPr>
            <w:tcW w:w="73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Home equity and junior liens</w:t>
            </w:r>
          </w:p>
        </w:tc>
        <w:tc>
          <w:tcPr>
            <w:tcW w:w="56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717</w:t>
            </w:r>
          </w:p>
        </w:tc>
        <w:tc>
          <w:tcPr>
            <w:tcW w:w="11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631</w:t>
            </w:r>
          </w:p>
        </w:tc>
      </w:tr>
      <w:tr>
        <w:trPr>
          <w:trHeight w:val="223"/>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21,805</w:t>
            </w:r>
          </w:p>
        </w:tc>
        <w:tc>
          <w:tcPr>
            <w:tcW w:w="11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11,312</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cash basis interest income recognized on impaired loans for the periods indicated: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60" w:type="dxa"/>
            <w:vAlign w:val="bottom"/>
            <w:gridSpan w:val="2"/>
          </w:tcPr>
          <w:p>
            <w:pPr>
              <w:jc w:val="right"/>
              <w:ind w:right="239"/>
              <w:spacing w:after="0"/>
              <w:rPr>
                <w:sz w:val="20"/>
                <w:szCs w:val="20"/>
                <w:color w:val="auto"/>
              </w:rPr>
            </w:pPr>
            <w:r>
              <w:rPr>
                <w:rFonts w:ascii="Arial" w:cs="Arial" w:eastAsia="Arial" w:hAnsi="Arial"/>
                <w:sz w:val="16"/>
                <w:szCs w:val="16"/>
                <w:color w:val="auto"/>
              </w:rPr>
              <w:t>For the three months ended</w:t>
            </w:r>
          </w:p>
        </w:tc>
        <w:tc>
          <w:tcPr>
            <w:tcW w:w="820" w:type="dxa"/>
            <w:vAlign w:val="bottom"/>
          </w:tcPr>
          <w:p>
            <w:pPr>
              <w:spacing w:after="0"/>
              <w:rPr>
                <w:sz w:val="17"/>
                <w:szCs w:val="17"/>
                <w:color w:val="auto"/>
              </w:rPr>
            </w:pPr>
          </w:p>
        </w:tc>
      </w:tr>
      <w:tr>
        <w:trPr>
          <w:trHeight w:val="243"/>
        </w:trPr>
        <w:tc>
          <w:tcPr>
            <w:tcW w:w="73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color w:val="auto"/>
              </w:rPr>
              <w:t>March 31,</w:t>
            </w:r>
          </w:p>
        </w:tc>
        <w:tc>
          <w:tcPr>
            <w:tcW w:w="820" w:type="dxa"/>
            <w:vAlign w:val="bottom"/>
            <w:tcBorders>
              <w:bottom w:val="single" w:sz="8" w:color="auto"/>
            </w:tcBorders>
          </w:tcPr>
          <w:p>
            <w:pPr>
              <w:spacing w:after="0"/>
              <w:rPr>
                <w:sz w:val="21"/>
                <w:szCs w:val="21"/>
                <w:color w:val="auto"/>
              </w:rPr>
            </w:pPr>
          </w:p>
        </w:tc>
      </w:tr>
      <w:tr>
        <w:trPr>
          <w:trHeight w:val="223"/>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2023</w:t>
            </w: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2022</w:t>
            </w:r>
          </w:p>
        </w:tc>
      </w:tr>
      <w:tr>
        <w:trPr>
          <w:trHeight w:val="260"/>
        </w:trPr>
        <w:tc>
          <w:tcPr>
            <w:tcW w:w="7300" w:type="dxa"/>
            <w:vAlign w:val="bottom"/>
          </w:tcPr>
          <w:p>
            <w:pPr>
              <w:ind w:left="200"/>
              <w:spacing w:after="0"/>
              <w:rPr>
                <w:sz w:val="20"/>
                <w:szCs w:val="20"/>
                <w:color w:val="auto"/>
              </w:rPr>
            </w:pPr>
            <w:r>
              <w:rPr>
                <w:rFonts w:ascii="Arial" w:cs="Arial" w:eastAsia="Arial" w:hAnsi="Arial"/>
                <w:sz w:val="16"/>
                <w:szCs w:val="16"/>
                <w:color w:val="auto"/>
              </w:rPr>
              <w:t>1-4 family first-lien residential mortgages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15</w:t>
            </w:r>
          </w:p>
        </w:tc>
        <w:tc>
          <w:tcPr>
            <w:tcW w:w="12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16</w:t>
            </w:r>
          </w:p>
        </w:tc>
      </w:tr>
      <w:tr>
        <w:trPr>
          <w:trHeight w:val="280"/>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real estate</w:t>
            </w:r>
          </w:p>
        </w:tc>
        <w:tc>
          <w:tcPr>
            <w:tcW w:w="5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59</w:t>
            </w:r>
          </w:p>
        </w:tc>
        <w:tc>
          <w:tcPr>
            <w:tcW w:w="12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63</w:t>
            </w:r>
          </w:p>
        </w:tc>
      </w:tr>
      <w:tr>
        <w:trPr>
          <w:trHeight w:val="260"/>
        </w:trPr>
        <w:tc>
          <w:tcPr>
            <w:tcW w:w="7300" w:type="dxa"/>
            <w:vAlign w:val="bottom"/>
          </w:tcPr>
          <w:p>
            <w:pPr>
              <w:ind w:left="200"/>
              <w:spacing w:after="0"/>
              <w:rPr>
                <w:sz w:val="20"/>
                <w:szCs w:val="20"/>
                <w:color w:val="auto"/>
              </w:rPr>
            </w:pPr>
            <w:r>
              <w:rPr>
                <w:rFonts w:ascii="Arial" w:cs="Arial" w:eastAsia="Arial" w:hAnsi="Arial"/>
                <w:sz w:val="16"/>
                <w:szCs w:val="16"/>
                <w:color w:val="auto"/>
              </w:rPr>
              <w:t>Commercial lines of credit</w:t>
            </w:r>
          </w:p>
        </w:tc>
        <w:tc>
          <w:tcPr>
            <w:tcW w:w="560" w:type="dxa"/>
            <w:vAlign w:val="bottom"/>
          </w:tcPr>
          <w:p>
            <w:pPr>
              <w:spacing w:after="0"/>
              <w:rPr>
                <w:sz w:val="22"/>
                <w:szCs w:val="22"/>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122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w:t>
            </w:r>
          </w:p>
        </w:tc>
      </w:tr>
      <w:tr>
        <w:trPr>
          <w:trHeight w:val="280"/>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commercial and industrial</w:t>
            </w:r>
          </w:p>
        </w:tc>
        <w:tc>
          <w:tcPr>
            <w:tcW w:w="5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31</w:t>
            </w:r>
          </w:p>
        </w:tc>
        <w:tc>
          <w:tcPr>
            <w:tcW w:w="12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20</w:t>
            </w:r>
          </w:p>
        </w:tc>
      </w:tr>
      <w:tr>
        <w:trPr>
          <w:trHeight w:val="263"/>
        </w:trPr>
        <w:tc>
          <w:tcPr>
            <w:tcW w:w="73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Home equity and junior liens</w:t>
            </w:r>
          </w:p>
        </w:tc>
        <w:tc>
          <w:tcPr>
            <w:tcW w:w="5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w:t>
            </w:r>
          </w:p>
        </w:tc>
        <w:tc>
          <w:tcPr>
            <w:tcW w:w="1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r>
      <w:tr>
        <w:trPr>
          <w:trHeight w:val="304"/>
        </w:trPr>
        <w:tc>
          <w:tcPr>
            <w:tcW w:w="7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121</w:t>
            </w:r>
          </w:p>
        </w:tc>
        <w:tc>
          <w:tcPr>
            <w:tcW w:w="122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107</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26</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Note 7:  Allowance for Credit Losses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Management extensively reviews recent trends in historical losses, qualitative factors, including concentrations of loans to related borrowers and concentrations of loans by collateral type, and specific reserve needs on loans individually evaluated for impairment in its determination of the adequacy of the credit losses. We recorded $ 692,000 in provision for credit losses for the three month period ended March 31, 2023, as compared to $102,000 for the three month period ended March 31, 2022. The increase in provision for credit losses in the third quarter of 2023, as compared to the same three month period in 2022, primarily reflected required reserves related to year-over-year loan growth. Certain credit sensitive portfolios continue to be carefully monitored, and the Bank will consistently apply its loan classification and reserve building methodologies to the analysis of these portfolios. Please refer to the asset quality section below for a further discussion of asset quality as it relates to the credit losses.</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Summarized in the tables below are changes in the allowance for credit losses for the indicated periods and information pertaining to the allocation of the balances of the credit losses, loans receivable based on individual, and collective impairment evaluation by loan portfolio class. An allocation of a portion of the allowance to a given portfolio class does not limit the Company’s ability to absorb losses in another portfolio class.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5"/>
          </w:tcPr>
          <w:p>
            <w:pPr>
              <w:jc w:val="right"/>
              <w:ind w:right="759"/>
              <w:spacing w:after="0"/>
              <w:rPr>
                <w:sz w:val="20"/>
                <w:szCs w:val="20"/>
                <w:color w:val="auto"/>
              </w:rPr>
            </w:pPr>
            <w:r>
              <w:rPr>
                <w:rFonts w:ascii="Arial" w:cs="Arial" w:eastAsia="Arial" w:hAnsi="Arial"/>
                <w:sz w:val="16"/>
                <w:szCs w:val="16"/>
                <w:color w:val="auto"/>
              </w:rPr>
              <w:t>For the three months ended March 31, 2023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0"/>
        </w:trPr>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 family</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first-lien</w:t>
            </w:r>
          </w:p>
        </w:tc>
        <w:tc>
          <w:tcPr>
            <w:tcW w:w="360" w:type="dxa"/>
            <w:vAlign w:val="bottom"/>
          </w:tcPr>
          <w:p>
            <w:pPr>
              <w:spacing w:after="0"/>
              <w:rPr>
                <w:sz w:val="19"/>
                <w:szCs w:val="19"/>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Residential</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Other</w:t>
            </w:r>
          </w:p>
        </w:tc>
      </w:tr>
      <w:tr>
        <w:trPr>
          <w:trHeight w:val="229"/>
        </w:trPr>
        <w:tc>
          <w:tcPr>
            <w:tcW w:w="3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residential</w:t>
            </w:r>
          </w:p>
        </w:tc>
        <w:tc>
          <w:tcPr>
            <w:tcW w:w="360" w:type="dxa"/>
            <w:vAlign w:val="bottom"/>
          </w:tcPr>
          <w:p>
            <w:pPr>
              <w:spacing w:after="0"/>
              <w:rPr>
                <w:sz w:val="19"/>
                <w:szCs w:val="19"/>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construction</w:t>
            </w:r>
          </w:p>
        </w:tc>
        <w:tc>
          <w:tcPr>
            <w:tcW w:w="260" w:type="dxa"/>
            <w:vAlign w:val="bottom"/>
          </w:tcPr>
          <w:p>
            <w:pPr>
              <w:spacing w:after="0"/>
              <w:rPr>
                <w:sz w:val="19"/>
                <w:szCs w:val="19"/>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w w:val="98"/>
              </w:rPr>
              <w:t>Commercial</w:t>
            </w:r>
          </w:p>
        </w:tc>
        <w:tc>
          <w:tcPr>
            <w:tcW w:w="54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Commercial</w:t>
            </w:r>
          </w:p>
        </w:tc>
        <w:tc>
          <w:tcPr>
            <w:tcW w:w="38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commercial</w:t>
            </w:r>
          </w:p>
        </w:tc>
      </w:tr>
      <w:tr>
        <w:trPr>
          <w:trHeight w:val="24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mortgage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mortgage</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real estate</w:t>
            </w: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lines of credit</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and industrial</w:t>
            </w:r>
          </w:p>
        </w:tc>
      </w:tr>
      <w:tr>
        <w:trPr>
          <w:trHeight w:val="229"/>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Allowance for credit losses:</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0"/>
        </w:trPr>
        <w:tc>
          <w:tcPr>
            <w:tcW w:w="380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714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5,881</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3,990</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2,944</w:t>
            </w:r>
          </w:p>
        </w:tc>
      </w:tr>
      <w:tr>
        <w:trPr>
          <w:trHeight w:val="239"/>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Adoption of New Accounting Standard</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1,396</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969</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(1,744 )</w:t>
            </w: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w:t>
            </w:r>
          </w:p>
        </w:tc>
        <w:tc>
          <w:tcPr>
            <w:tcW w:w="3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w:t>
            </w:r>
          </w:p>
        </w:tc>
      </w:tr>
      <w:tr>
        <w:trPr>
          <w:trHeight w:val="220"/>
        </w:trPr>
        <w:tc>
          <w:tcPr>
            <w:tcW w:w="3800" w:type="dxa"/>
            <w:vAlign w:val="bottom"/>
          </w:tcPr>
          <w:p>
            <w:pPr>
              <w:ind w:left="200"/>
              <w:spacing w:after="0"/>
              <w:rPr>
                <w:sz w:val="20"/>
                <w:szCs w:val="20"/>
                <w:color w:val="auto"/>
              </w:rPr>
            </w:pPr>
            <w:r>
              <w:rPr>
                <w:rFonts w:ascii="Arial" w:cs="Arial" w:eastAsia="Arial" w:hAnsi="Arial"/>
                <w:sz w:val="16"/>
                <w:szCs w:val="16"/>
                <w:color w:val="auto"/>
              </w:rPr>
              <w:t>Charge-offs</w:t>
            </w:r>
          </w:p>
        </w:tc>
        <w:tc>
          <w:tcPr>
            <w:tcW w:w="28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39"/>
        </w:trPr>
        <w:tc>
          <w:tcPr>
            <w:tcW w:w="3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Recoveries</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3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w:t>
            </w:r>
          </w:p>
        </w:tc>
      </w:tr>
      <w:tr>
        <w:trPr>
          <w:trHeight w:val="223"/>
        </w:trPr>
        <w:tc>
          <w:tcPr>
            <w:tcW w:w="38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Provisions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(173 )</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(269 )</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1,045</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(1,991 )</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2,101</w:t>
            </w:r>
          </w:p>
        </w:tc>
      </w:tr>
      <w:tr>
        <w:trPr>
          <w:trHeight w:val="263"/>
        </w:trPr>
        <w:tc>
          <w:tcPr>
            <w:tcW w:w="38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Ending balance</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1,937</w:t>
            </w:r>
          </w:p>
        </w:tc>
        <w:tc>
          <w:tcPr>
            <w:tcW w:w="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700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5,182</w:t>
            </w:r>
          </w:p>
        </w:tc>
        <w:tc>
          <w:tcPr>
            <w:tcW w:w="5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2,095</w:t>
            </w: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5,081</w:t>
            </w:r>
          </w:p>
        </w:tc>
      </w:tr>
      <w:tr>
        <w:trPr>
          <w:trHeight w:val="666"/>
        </w:trPr>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gridSpan w:val="2"/>
          </w:tcPr>
          <w:p>
            <w:pPr>
              <w:jc w:val="right"/>
              <w:ind w:right="159"/>
              <w:spacing w:after="0"/>
              <w:rPr>
                <w:sz w:val="20"/>
                <w:szCs w:val="20"/>
                <w:color w:val="auto"/>
              </w:rPr>
            </w:pPr>
            <w:r>
              <w:rPr>
                <w:rFonts w:ascii="Arial" w:cs="Arial" w:eastAsia="Arial" w:hAnsi="Arial"/>
                <w:sz w:val="16"/>
                <w:szCs w:val="16"/>
                <w:color w:val="auto"/>
              </w:rPr>
              <w:t>Home equity and</w:t>
            </w:r>
          </w:p>
        </w:tc>
        <w:tc>
          <w:tcPr>
            <w:tcW w:w="260" w:type="dxa"/>
            <w:vAlign w:val="bottom"/>
          </w:tcPr>
          <w:p>
            <w:pPr>
              <w:spacing w:after="0"/>
              <w:rPr>
                <w:sz w:val="24"/>
                <w:szCs w:val="24"/>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Other</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9"/>
        </w:trPr>
        <w:tc>
          <w:tcPr>
            <w:tcW w:w="3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Tax exempt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junior liens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consumer</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3"/>
        </w:trPr>
        <w:tc>
          <w:tcPr>
            <w:tcW w:w="3800" w:type="dxa"/>
            <w:vAlign w:val="bottom"/>
          </w:tcPr>
          <w:p>
            <w:pPr>
              <w:ind w:left="20"/>
              <w:spacing w:after="0"/>
              <w:rPr>
                <w:sz w:val="20"/>
                <w:szCs w:val="20"/>
                <w:color w:val="auto"/>
              </w:rPr>
            </w:pPr>
            <w:r>
              <w:rPr>
                <w:rFonts w:ascii="Arial" w:cs="Arial" w:eastAsia="Arial" w:hAnsi="Arial"/>
                <w:sz w:val="16"/>
                <w:szCs w:val="16"/>
                <w:b w:val="1"/>
                <w:bCs w:val="1"/>
                <w:color w:val="auto"/>
              </w:rPr>
              <w:t>Allowance for credit losses: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w:t>
            </w:r>
          </w:p>
        </w:tc>
        <w:tc>
          <w:tcPr>
            <w:tcW w:w="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741</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1,046</w:t>
            </w: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15,319</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3"/>
        </w:trPr>
        <w:tc>
          <w:tcPr>
            <w:tcW w:w="3800" w:type="dxa"/>
            <w:vAlign w:val="bottom"/>
          </w:tcPr>
          <w:p>
            <w:pPr>
              <w:ind w:left="20"/>
              <w:spacing w:after="0"/>
              <w:rPr>
                <w:sz w:val="20"/>
                <w:szCs w:val="20"/>
                <w:color w:val="auto"/>
              </w:rPr>
            </w:pPr>
            <w:r>
              <w:rPr>
                <w:rFonts w:ascii="Arial" w:cs="Arial" w:eastAsia="Arial" w:hAnsi="Arial"/>
                <w:sz w:val="16"/>
                <w:szCs w:val="16"/>
                <w:color w:val="auto"/>
              </w:rPr>
              <w:t>Adoption of New Accounting Standards</w:t>
            </w:r>
          </w:p>
        </w:tc>
        <w:tc>
          <w:tcPr>
            <w:tcW w:w="28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(97 )</w:t>
            </w:r>
          </w:p>
        </w:tc>
        <w:tc>
          <w:tcPr>
            <w:tcW w:w="26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1,242</w:t>
            </w:r>
          </w:p>
        </w:tc>
        <w:tc>
          <w:tcPr>
            <w:tcW w:w="54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1,886</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3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Charge-offs</w:t>
            </w: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(83 )</w:t>
            </w: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(119 )</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3"/>
        </w:trPr>
        <w:tc>
          <w:tcPr>
            <w:tcW w:w="3800" w:type="dxa"/>
            <w:vAlign w:val="bottom"/>
          </w:tcPr>
          <w:p>
            <w:pPr>
              <w:ind w:left="200"/>
              <w:spacing w:after="0"/>
              <w:rPr>
                <w:sz w:val="20"/>
                <w:szCs w:val="20"/>
                <w:color w:val="auto"/>
              </w:rPr>
            </w:pPr>
            <w:r>
              <w:rPr>
                <w:rFonts w:ascii="Arial" w:cs="Arial" w:eastAsia="Arial" w:hAnsi="Arial"/>
                <w:sz w:val="16"/>
                <w:szCs w:val="16"/>
                <w:color w:val="auto"/>
              </w:rPr>
              <w:t>Recoveries</w:t>
            </w:r>
          </w:p>
        </w:tc>
        <w:tc>
          <w:tcPr>
            <w:tcW w:w="28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28</w:t>
            </w:r>
          </w:p>
        </w:tc>
        <w:tc>
          <w:tcPr>
            <w:tcW w:w="54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91</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6"/>
        </w:trPr>
        <w:tc>
          <w:tcPr>
            <w:tcW w:w="38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Provisions</w:t>
            </w: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(2 )</w:t>
            </w: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79</w:t>
            </w: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(98 )</w:t>
            </w:r>
          </w:p>
        </w:tc>
        <w:tc>
          <w:tcPr>
            <w:tcW w:w="5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692</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6"/>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balance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2,135</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17,869</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27</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9"/>
        </w:trPr>
        <w:tc>
          <w:tcPr>
            <w:tcW w:w="4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5"/>
          </w:tcPr>
          <w:p>
            <w:pPr>
              <w:jc w:val="right"/>
              <w:ind w:right="635"/>
              <w:spacing w:after="0"/>
              <w:rPr>
                <w:sz w:val="20"/>
                <w:szCs w:val="20"/>
                <w:color w:val="auto"/>
              </w:rPr>
            </w:pPr>
            <w:r>
              <w:rPr>
                <w:rFonts w:ascii="Arial" w:cs="Arial" w:eastAsia="Arial" w:hAnsi="Arial"/>
                <w:sz w:val="16"/>
                <w:szCs w:val="16"/>
                <w:color w:val="auto"/>
              </w:rPr>
              <w:t>For the three months ended March 31, 2022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30"/>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1-4 family</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2"/>
        </w:trPr>
        <w:tc>
          <w:tcPr>
            <w:tcW w:w="4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first-lien</w:t>
            </w:r>
          </w:p>
        </w:tc>
        <w:tc>
          <w:tcPr>
            <w:tcW w:w="260" w:type="dxa"/>
            <w:vAlign w:val="bottom"/>
          </w:tcPr>
          <w:p>
            <w:pPr>
              <w:spacing w:after="0"/>
              <w:rPr>
                <w:sz w:val="21"/>
                <w:szCs w:val="21"/>
                <w:color w:val="auto"/>
              </w:rPr>
            </w:pPr>
          </w:p>
        </w:tc>
        <w:tc>
          <w:tcPr>
            <w:tcW w:w="1140" w:type="dxa"/>
            <w:vAlign w:val="bottom"/>
          </w:tcPr>
          <w:p>
            <w:pPr>
              <w:jc w:val="right"/>
              <w:ind w:right="116"/>
              <w:spacing w:after="0"/>
              <w:rPr>
                <w:sz w:val="20"/>
                <w:szCs w:val="20"/>
                <w:color w:val="auto"/>
              </w:rPr>
            </w:pPr>
            <w:r>
              <w:rPr>
                <w:rFonts w:ascii="Arial" w:cs="Arial" w:eastAsia="Arial" w:hAnsi="Arial"/>
                <w:sz w:val="16"/>
                <w:szCs w:val="16"/>
                <w:color w:val="auto"/>
              </w:rPr>
              <w:t>Residential</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Other</w:t>
            </w:r>
          </w:p>
        </w:tc>
      </w:tr>
      <w:tr>
        <w:trPr>
          <w:trHeight w:val="243"/>
        </w:trPr>
        <w:tc>
          <w:tcPr>
            <w:tcW w:w="4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residential</w:t>
            </w:r>
          </w:p>
        </w:tc>
        <w:tc>
          <w:tcPr>
            <w:tcW w:w="260" w:type="dxa"/>
            <w:vAlign w:val="bottom"/>
          </w:tcPr>
          <w:p>
            <w:pPr>
              <w:spacing w:after="0"/>
              <w:rPr>
                <w:sz w:val="21"/>
                <w:szCs w:val="21"/>
                <w:color w:val="auto"/>
              </w:rPr>
            </w:pPr>
          </w:p>
        </w:tc>
        <w:tc>
          <w:tcPr>
            <w:tcW w:w="1140" w:type="dxa"/>
            <w:vAlign w:val="bottom"/>
          </w:tcPr>
          <w:p>
            <w:pPr>
              <w:jc w:val="right"/>
              <w:ind w:right="116"/>
              <w:spacing w:after="0"/>
              <w:rPr>
                <w:sz w:val="20"/>
                <w:szCs w:val="20"/>
                <w:color w:val="auto"/>
              </w:rPr>
            </w:pPr>
            <w:r>
              <w:rPr>
                <w:rFonts w:ascii="Arial" w:cs="Arial" w:eastAsia="Arial" w:hAnsi="Arial"/>
                <w:sz w:val="16"/>
                <w:szCs w:val="16"/>
                <w:color w:val="auto"/>
              </w:rPr>
              <w:t>construction</w:t>
            </w:r>
          </w:p>
        </w:tc>
        <w:tc>
          <w:tcPr>
            <w:tcW w:w="260" w:type="dxa"/>
            <w:vAlign w:val="bottom"/>
          </w:tcPr>
          <w:p>
            <w:pPr>
              <w:spacing w:after="0"/>
              <w:rPr>
                <w:sz w:val="21"/>
                <w:szCs w:val="21"/>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w w:val="95"/>
              </w:rPr>
              <w:t>Commercial</w:t>
            </w:r>
          </w:p>
        </w:tc>
        <w:tc>
          <w:tcPr>
            <w:tcW w:w="22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w w:val="99"/>
              </w:rPr>
              <w:t>Commercial</w:t>
            </w:r>
          </w:p>
        </w:tc>
        <w:tc>
          <w:tcPr>
            <w:tcW w:w="22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commercial</w:t>
            </w:r>
          </w:p>
        </w:tc>
      </w:tr>
      <w:tr>
        <w:trPr>
          <w:trHeight w:val="25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mortgage</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color w:val="auto"/>
              </w:rPr>
              <w:t>mortgage</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real estate</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90"/>
              </w:rPr>
              <w:t>lines of credit</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1"/>
              </w:rPr>
              <w:t>and industrial</w:t>
            </w:r>
          </w:p>
        </w:tc>
      </w:tr>
      <w:tr>
        <w:trPr>
          <w:trHeight w:val="243"/>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Allowance for credit losses:</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872</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5,308</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935</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2,762</w:t>
            </w:r>
          </w:p>
        </w:tc>
      </w:tr>
      <w:tr>
        <w:trPr>
          <w:trHeight w:val="249"/>
        </w:trPr>
        <w:tc>
          <w:tcPr>
            <w:tcW w:w="4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Charge-offs</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(17 )</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Recoveries</w:t>
            </w:r>
          </w:p>
        </w:tc>
        <w:tc>
          <w:tcPr>
            <w:tcW w:w="240" w:type="dxa"/>
            <w:vAlign w:val="bottom"/>
          </w:tcPr>
          <w:p>
            <w:pPr>
              <w:spacing w:after="0"/>
              <w:rPr>
                <w:sz w:val="20"/>
                <w:szCs w:val="20"/>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Provisions</w:t>
            </w: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(42 )</w:t>
            </w: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(10 )</w:t>
            </w: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(25 )</w:t>
            </w:r>
          </w:p>
        </w:tc>
      </w:tr>
      <w:tr>
        <w:trPr>
          <w:trHeight w:val="236"/>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830</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5,298</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1,061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2,737</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4360" w:type="dxa"/>
            <w:vAlign w:val="bottom"/>
          </w:tcPr>
          <w:p>
            <w:pPr>
              <w:ind w:left="20"/>
              <w:spacing w:after="0"/>
              <w:rPr>
                <w:sz w:val="20"/>
                <w:szCs w:val="20"/>
                <w:color w:val="auto"/>
              </w:rPr>
            </w:pPr>
            <w:r>
              <w:rPr>
                <w:rFonts w:ascii="Arial" w:cs="Arial" w:eastAsia="Arial" w:hAnsi="Arial"/>
                <w:sz w:val="16"/>
                <w:szCs w:val="16"/>
                <w:color w:val="auto"/>
              </w:rPr>
              <w:t>Ending balance: related to loans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98"/>
        </w:trPr>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156"/>
              <w:spacing w:after="0"/>
              <w:rPr>
                <w:sz w:val="20"/>
                <w:szCs w:val="20"/>
                <w:color w:val="auto"/>
              </w:rPr>
            </w:pPr>
            <w:r>
              <w:rPr>
                <w:rFonts w:ascii="Arial" w:cs="Arial" w:eastAsia="Arial" w:hAnsi="Arial"/>
                <w:sz w:val="16"/>
                <w:szCs w:val="16"/>
                <w:color w:val="auto"/>
                <w:w w:val="97"/>
              </w:rPr>
              <w:t>Home equity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155"/>
              <w:spacing w:after="0"/>
              <w:rPr>
                <w:sz w:val="20"/>
                <w:szCs w:val="20"/>
                <w:color w:val="auto"/>
              </w:rPr>
            </w:pPr>
            <w:r>
              <w:rPr>
                <w:rFonts w:ascii="Arial" w:cs="Arial" w:eastAsia="Arial" w:hAnsi="Arial"/>
                <w:sz w:val="16"/>
                <w:szCs w:val="16"/>
                <w:color w:val="auto"/>
              </w:rPr>
              <w:t>Unfunded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9"/>
        </w:trPr>
        <w:tc>
          <w:tcPr>
            <w:tcW w:w="4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color w:val="auto"/>
              </w:rPr>
              <w:t>Tax exempt</w:t>
            </w:r>
          </w:p>
        </w:tc>
        <w:tc>
          <w:tcPr>
            <w:tcW w:w="140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6"/>
                <w:szCs w:val="16"/>
                <w:color w:val="auto"/>
              </w:rPr>
              <w:t>and junior liens</w:t>
            </w:r>
          </w:p>
        </w:tc>
        <w:tc>
          <w:tcPr>
            <w:tcW w:w="14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6"/>
                <w:szCs w:val="16"/>
                <w:color w:val="auto"/>
              </w:rPr>
              <w:t>Other consumer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color w:val="auto"/>
                <w:w w:val="97"/>
              </w:rPr>
              <w:t>Commitments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color w:val="auto"/>
              </w:rPr>
              <w:t>Total</w:t>
            </w:r>
          </w:p>
        </w:tc>
      </w:tr>
      <w:tr>
        <w:trPr>
          <w:trHeight w:val="220"/>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Allowance for credit losses: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14"/>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16"/>
              <w:spacing w:after="0"/>
              <w:rPr>
                <w:sz w:val="20"/>
                <w:szCs w:val="20"/>
                <w:color w:val="auto"/>
              </w:rPr>
            </w:pPr>
            <w:r>
              <w:rPr>
                <w:rFonts w:ascii="Arial" w:cs="Arial" w:eastAsia="Arial" w:hAnsi="Arial"/>
                <w:sz w:val="16"/>
                <w:szCs w:val="16"/>
                <w:color w:val="auto"/>
              </w:rPr>
              <w:t>774</w:t>
            </w:r>
          </w:p>
        </w:tc>
        <w:tc>
          <w:tcPr>
            <w:tcW w:w="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14"/>
              <w:spacing w:after="0"/>
              <w:rPr>
                <w:sz w:val="20"/>
                <w:szCs w:val="20"/>
                <w:color w:val="auto"/>
              </w:rPr>
            </w:pPr>
            <w:r>
              <w:rPr>
                <w:rFonts w:ascii="Arial" w:cs="Arial" w:eastAsia="Arial" w:hAnsi="Arial"/>
                <w:sz w:val="16"/>
                <w:szCs w:val="16"/>
                <w:color w:val="auto"/>
              </w:rPr>
              <w:t>1,297</w:t>
            </w:r>
          </w:p>
        </w:tc>
        <w:tc>
          <w:tcPr>
            <w:tcW w:w="2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115"/>
              <w:spacing w:after="0"/>
              <w:rPr>
                <w:sz w:val="20"/>
                <w:szCs w:val="20"/>
                <w:color w:val="auto"/>
              </w:rPr>
            </w:pPr>
            <w:r>
              <w:rPr>
                <w:rFonts w:ascii="Arial" w:cs="Arial" w:eastAsia="Arial" w:hAnsi="Arial"/>
                <w:sz w:val="16"/>
                <w:szCs w:val="16"/>
                <w:color w:val="auto"/>
              </w:rPr>
              <w:t>984</w:t>
            </w:r>
          </w:p>
        </w:tc>
        <w:tc>
          <w:tcPr>
            <w:tcW w:w="2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6"/>
                <w:szCs w:val="16"/>
                <w:color w:val="auto"/>
              </w:rPr>
              <w:t>12,935</w:t>
            </w:r>
          </w:p>
        </w:tc>
      </w:tr>
      <w:tr>
        <w:trPr>
          <w:trHeight w:val="220"/>
        </w:trPr>
        <w:tc>
          <w:tcPr>
            <w:tcW w:w="4360" w:type="dxa"/>
            <w:vAlign w:val="bottom"/>
          </w:tcPr>
          <w:p>
            <w:pPr>
              <w:ind w:left="200"/>
              <w:spacing w:after="0"/>
              <w:rPr>
                <w:sz w:val="20"/>
                <w:szCs w:val="20"/>
                <w:color w:val="auto"/>
              </w:rPr>
            </w:pPr>
            <w:r>
              <w:rPr>
                <w:rFonts w:ascii="Arial" w:cs="Arial" w:eastAsia="Arial" w:hAnsi="Arial"/>
                <w:sz w:val="16"/>
                <w:szCs w:val="16"/>
                <w:color w:val="auto"/>
              </w:rPr>
              <w:t>Charge-offs</w:t>
            </w:r>
          </w:p>
        </w:tc>
        <w:tc>
          <w:tcPr>
            <w:tcW w:w="24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40" w:type="dxa"/>
            <w:vAlign w:val="bottom"/>
          </w:tcPr>
          <w:p>
            <w:pPr>
              <w:jc w:val="right"/>
              <w:ind w:right="11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6"/>
                <w:szCs w:val="16"/>
                <w:color w:val="auto"/>
              </w:rPr>
              <w:t>(29 )</w:t>
            </w:r>
          </w:p>
        </w:tc>
        <w:tc>
          <w:tcPr>
            <w:tcW w:w="22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39"/>
        </w:trPr>
        <w:tc>
          <w:tcPr>
            <w:tcW w:w="4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Recoveries</w:t>
            </w: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4"/>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16"/>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14"/>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15"/>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6"/>
                <w:szCs w:val="16"/>
                <w:color w:val="auto"/>
              </w:rPr>
              <w:t>26</w:t>
            </w:r>
          </w:p>
        </w:tc>
      </w:tr>
      <w:tr>
        <w:trPr>
          <w:trHeight w:val="223"/>
        </w:trPr>
        <w:tc>
          <w:tcPr>
            <w:tcW w:w="43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Provisions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(98 )</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color w:val="auto"/>
              </w:rPr>
              <w:t>128</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color w:val="auto"/>
              </w:rPr>
              <w:t>102</w:t>
            </w:r>
          </w:p>
        </w:tc>
      </w:tr>
      <w:tr>
        <w:trPr>
          <w:trHeight w:val="263"/>
        </w:trPr>
        <w:tc>
          <w:tcPr>
            <w:tcW w:w="43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6"/>
                <w:szCs w:val="16"/>
                <w:color w:val="auto"/>
              </w:rPr>
              <w:t>676</w:t>
            </w:r>
          </w:p>
        </w:tc>
        <w:tc>
          <w:tcPr>
            <w:tcW w:w="2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6"/>
                <w:szCs w:val="16"/>
                <w:color w:val="auto"/>
              </w:rPr>
              <w:t>1,422</w:t>
            </w:r>
          </w:p>
        </w:tc>
        <w:tc>
          <w:tcPr>
            <w:tcW w:w="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6"/>
                <w:szCs w:val="16"/>
                <w:color w:val="auto"/>
              </w:rPr>
              <w:t>989</w:t>
            </w:r>
          </w:p>
        </w:tc>
        <w:tc>
          <w:tcPr>
            <w:tcW w:w="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6"/>
                <w:szCs w:val="16"/>
                <w:color w:val="auto"/>
              </w:rPr>
              <w:t>13,017</w:t>
            </w: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methodology for determining its allowance for credit losses includes an analysis of qualitative factors that are added to the historical loss rates in arriving at the total allowance for credit losses needed for this general pool of loans. The qualitative factors include, but are not limited to, the following:</w:t>
      </w:r>
    </w:p>
    <w:p>
      <w:pPr>
        <w:spacing w:after="0" w:line="172" w:lineRule="exact"/>
        <w:rPr>
          <w:sz w:val="20"/>
          <w:szCs w:val="20"/>
          <w:color w:val="auto"/>
        </w:rPr>
      </w:pPr>
    </w:p>
    <w:p>
      <w:pPr>
        <w:ind w:left="760" w:hanging="378"/>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national and local economic trends;</w:t>
      </w:r>
    </w:p>
    <w:p>
      <w:pPr>
        <w:spacing w:after="0" w:line="15" w:lineRule="exact"/>
        <w:rPr>
          <w:rFonts w:ascii="Arial" w:cs="Arial" w:eastAsia="Arial" w:hAnsi="Arial"/>
          <w:sz w:val="20"/>
          <w:szCs w:val="20"/>
          <w:color w:val="auto"/>
        </w:rPr>
      </w:pPr>
    </w:p>
    <w:p>
      <w:pPr>
        <w:ind w:left="760" w:hanging="378"/>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rate of growth in the portfolio;</w:t>
      </w:r>
    </w:p>
    <w:p>
      <w:pPr>
        <w:ind w:left="760" w:hanging="378"/>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Trends of delinquencies and nonaccrual balances;</w:t>
      </w:r>
    </w:p>
    <w:p>
      <w:pPr>
        <w:ind w:left="760" w:hanging="378"/>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loan policy; and</w:t>
      </w:r>
    </w:p>
    <w:p>
      <w:pPr>
        <w:ind w:left="760" w:hanging="378"/>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lending management experience and related staffing.</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Each factor is assigned a value to reflect improving, stable or declining conditions based on management’s best judgment using relevant information available at the time of the evaluation. These qualitative factors, applied to each product class, make the evaluation inherently subjective, as it requires material estimates that may be susceptible to significant revision as more information becomes available. Adjustments to the factors are supported through documentation of changes in conditions in a narrative accompanying the allowance for credit losses analysis and calculation.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28</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28" w:name="page29"/>
    <w:bookmarkEnd w:id="28"/>
    <w:p>
      <w:pPr>
        <w:spacing w:after="0"/>
        <w:rPr>
          <w:sz w:val="20"/>
          <w:szCs w:val="20"/>
          <w:color w:val="auto"/>
        </w:rPr>
      </w:pPr>
      <w:r>
        <w:rPr>
          <w:rFonts w:ascii="Arial" w:cs="Arial" w:eastAsia="Arial" w:hAnsi="Arial"/>
          <w:sz w:val="19"/>
          <w:szCs w:val="19"/>
          <w:color w:val="auto"/>
        </w:rPr>
        <w:t>The allocation of the allowance for credit losses summarized on the basis of the Company’s calculation methodology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March 31, 2023</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30"/>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 family</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2"/>
        </w:trPr>
        <w:tc>
          <w:tcPr>
            <w:tcW w:w="3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first-lien</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Other</w:t>
            </w:r>
          </w:p>
        </w:tc>
      </w:tr>
      <w:tr>
        <w:trPr>
          <w:trHeight w:val="243"/>
        </w:trPr>
        <w:tc>
          <w:tcPr>
            <w:tcW w:w="3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construction</w:t>
            </w:r>
          </w:p>
        </w:tc>
        <w:tc>
          <w:tcPr>
            <w:tcW w:w="3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commercial</w:t>
            </w:r>
          </w:p>
        </w:tc>
      </w:tr>
      <w:tr>
        <w:trPr>
          <w:trHeight w:val="25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mortgage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mortgage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lines of credit</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and industrial</w:t>
            </w:r>
          </w:p>
        </w:tc>
      </w:tr>
      <w:tr>
        <w:trPr>
          <w:trHeight w:val="24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Specifically reserved</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1,301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3,478</w:t>
            </w: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Historical loss rate</w:t>
            </w: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1,579</w:t>
            </w:r>
          </w:p>
        </w:tc>
        <w:tc>
          <w:tcPr>
            <w:tcW w:w="3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537</w:t>
            </w:r>
          </w:p>
        </w:tc>
        <w:tc>
          <w:tcPr>
            <w:tcW w:w="3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2,802</w:t>
            </w:r>
          </w:p>
        </w:tc>
        <w:tc>
          <w:tcPr>
            <w:tcW w:w="32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963</w:t>
            </w:r>
          </w:p>
        </w:tc>
      </w:tr>
      <w:tr>
        <w:trPr>
          <w:trHeight w:val="243"/>
        </w:trPr>
        <w:tc>
          <w:tcPr>
            <w:tcW w:w="37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Qualitative factors</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295</w:t>
            </w: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163</w:t>
            </w: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1,754</w:t>
            </w: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601</w:t>
            </w: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640</w:t>
            </w:r>
          </w:p>
        </w:tc>
      </w:tr>
      <w:tr>
        <w:trPr>
          <w:trHeight w:val="237"/>
        </w:trPr>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1,937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700</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5,183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2,095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5,081</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59"/>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98"/>
              </w:rPr>
              <w:t>Home equity</w:t>
            </w:r>
          </w:p>
        </w:tc>
        <w:tc>
          <w:tcPr>
            <w:tcW w:w="3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Tax exempt</w:t>
            </w:r>
          </w:p>
        </w:tc>
        <w:tc>
          <w:tcPr>
            <w:tcW w:w="15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and junior liens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consumer</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Specifically reserved</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157</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5,626</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Historical loss rate</w:t>
            </w: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502</w:t>
            </w:r>
          </w:p>
        </w:tc>
        <w:tc>
          <w:tcPr>
            <w:tcW w:w="3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2,095</w:t>
            </w:r>
          </w:p>
        </w:tc>
        <w:tc>
          <w:tcPr>
            <w:tcW w:w="32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8,675</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3"/>
        </w:trPr>
        <w:tc>
          <w:tcPr>
            <w:tcW w:w="37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Qualitative factors</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64</w:t>
            </w: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3,568</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6"/>
        </w:trPr>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723</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2,135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17,869</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80"/>
        </w:trPr>
        <w:tc>
          <w:tcPr>
            <w:tcW w:w="3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March 31, 2022</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 family</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2"/>
        </w:trPr>
        <w:tc>
          <w:tcPr>
            <w:tcW w:w="3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first-lien</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Other</w:t>
            </w:r>
          </w:p>
        </w:tc>
      </w:tr>
      <w:tr>
        <w:trPr>
          <w:trHeight w:val="243"/>
        </w:trPr>
        <w:tc>
          <w:tcPr>
            <w:tcW w:w="3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construction</w:t>
            </w:r>
          </w:p>
        </w:tc>
        <w:tc>
          <w:tcPr>
            <w:tcW w:w="3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commercial</w:t>
            </w:r>
          </w:p>
        </w:tc>
      </w:tr>
      <w:tr>
        <w:trPr>
          <w:trHeight w:val="25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mortgage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mortgage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lines of credit</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and industrial</w:t>
            </w: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Specifically reserved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352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1,353</w:t>
            </w:r>
          </w:p>
        </w:tc>
      </w:tr>
      <w:tr>
        <w:trPr>
          <w:trHeight w:val="249"/>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Historical loss rate</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96</w:t>
            </w:r>
          </w:p>
        </w:tc>
      </w:tr>
      <w:tr>
        <w:trPr>
          <w:trHeight w:val="237"/>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Qualitative factors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648</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4,944</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987</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1,288</w:t>
            </w:r>
          </w:p>
        </w:tc>
      </w:tr>
      <w:tr>
        <w:trPr>
          <w:trHeight w:val="276"/>
        </w:trPr>
        <w:tc>
          <w:tcPr>
            <w:tcW w:w="37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830</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5,298</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1,061</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2,737</w:t>
            </w:r>
          </w:p>
        </w:tc>
      </w:tr>
      <w:tr>
        <w:trPr>
          <w:trHeight w:val="459"/>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98"/>
              </w:rPr>
              <w:t>Home equity</w:t>
            </w:r>
          </w:p>
        </w:tc>
        <w:tc>
          <w:tcPr>
            <w:tcW w:w="3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Tax exempt</w:t>
            </w:r>
          </w:p>
        </w:tc>
        <w:tc>
          <w:tcPr>
            <w:tcW w:w="15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and junior liens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consumer</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Unallocated</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Total</w:t>
            </w: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Specifically reserved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1,964</w:t>
            </w:r>
          </w:p>
        </w:tc>
      </w:tr>
      <w:tr>
        <w:trPr>
          <w:trHeight w:val="249"/>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Historical loss rate</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324</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1,147</w:t>
            </w: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1,680</w:t>
            </w: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Qualitative factors</w:t>
            </w: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238</w:t>
            </w:r>
          </w:p>
        </w:tc>
        <w:tc>
          <w:tcPr>
            <w:tcW w:w="3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275</w:t>
            </w:r>
          </w:p>
        </w:tc>
        <w:tc>
          <w:tcPr>
            <w:tcW w:w="32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8,384</w:t>
            </w:r>
          </w:p>
        </w:tc>
      </w:tr>
      <w:tr>
        <w:trPr>
          <w:trHeight w:val="243"/>
        </w:trPr>
        <w:tc>
          <w:tcPr>
            <w:tcW w:w="37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989</w:t>
            </w: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989</w:t>
            </w:r>
          </w:p>
        </w:tc>
      </w:tr>
      <w:tr>
        <w:trPr>
          <w:trHeight w:val="237"/>
        </w:trPr>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676</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1,422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13,017</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Foreclosed Real Estate</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is required to disclose the carrying amount of foreclosed real estate properties held as a result of obtaining physical possession of the property at each reporting period.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Number of</w:t>
            </w:r>
          </w:p>
        </w:tc>
        <w:tc>
          <w:tcPr>
            <w:tcW w:w="44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March 31,</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w w:val="93"/>
              </w:rPr>
              <w:t>December 31,</w:t>
            </w:r>
          </w:p>
        </w:tc>
      </w:tr>
      <w:tr>
        <w:trPr>
          <w:trHeight w:val="237"/>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properties</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properties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r>
      <w:tr>
        <w:trPr>
          <w:trHeight w:val="277"/>
        </w:trPr>
        <w:tc>
          <w:tcPr>
            <w:tcW w:w="374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Foreclosed real estate</w:t>
            </w:r>
          </w:p>
        </w:tc>
        <w:tc>
          <w:tcPr>
            <w:tcW w:w="29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221</w:t>
            </w: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221</w:t>
            </w:r>
          </w:p>
        </w:tc>
      </w:tr>
    </w:tbl>
    <w:p>
      <w:pPr>
        <w:spacing w:after="0" w:line="200" w:lineRule="exact"/>
        <w:rPr>
          <w:sz w:val="20"/>
          <w:szCs w:val="20"/>
          <w:color w:val="auto"/>
        </w:rPr>
      </w:pPr>
    </w:p>
    <w:p>
      <w:pPr>
        <w:spacing w:after="0" w:line="2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March 31, 2023 and December 31, 2022, the Company reported $547,000 and $542,000, respectively, in real estate loans in the process of foreclosure.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29</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Note 9:  Guarantees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does not issue any guarantees that would require liability recognition or disclosure, other than its standby letters of credit. Generally, all letters of credit, when issued have expiration dates within one year. The credit risks involved in issuing letters of credit is essentially the same as those that are involved in extending loan facilities to customers. The Company generally holds collateral and/or personal guarantees supporting these commitments. The Company had $2.9 million of standby letters of credit as of March 31, 2023. Management believes that the proceeds obtained through a liquidation of collateral and the enforcement of guarantees would be sufficient to cover the potential amount of future payments required under the corresponding guarantees. The fair value of standby letters of credit was not significant to the Company’s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Fair Value Measurements</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Accounting guidance related to fair value measurements and disclosures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Level 1 – Quoted prices (unadjusted) for identical assets or liabilities in active markets that the entity has the ability to access as of the measurement date.</w:t>
      </w:r>
    </w:p>
    <w:p>
      <w:pPr>
        <w:spacing w:after="0" w:line="16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Level 3 – Model-derived valuations in which one or more significant inputs or significant value drivers are unobservable.</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 asset’s or liability’s level within the fair value hierarchy is based on the lowest level of input that is significant to the fair value measurement.</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Company used the following methods and significant assumptions to estimate fair value: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Investment securities: The fair values of available-for-sale and marketable equity securities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holds two corporate investment securities with an amortized historical cost of $4.1 million and an aggregate fair market value of $4.7 million as of March 31, 2023. These securities have an aggregate valuation that is determined using published net asset values (NAV) derived by an analysis of the securities’ underlying assets. These securities are comprised primarily of broadly-diversified real estate holdings and are traded in secondary markets on an infrequent basis. While these securities are redeemable at least annually through tender offers made by respective issuers, the liquidation value of these securities may be below stated NAVs and also subject to restrictions as to the amount that can be redeemed at any single scheduled redemption. The Company anticipates that these securities will be redeemed by respective issuers on indeterminate future dates as a consequence of the ultimate liquidation strategies employed by the managers of these portfolios.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30</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0" w:name="page31"/>
    <w:bookmarkEnd w:id="30"/>
    <w:p>
      <w:pPr>
        <w:jc w:val="both"/>
        <w:spacing w:after="0" w:line="246" w:lineRule="auto"/>
        <w:rPr>
          <w:sz w:val="20"/>
          <w:szCs w:val="20"/>
          <w:color w:val="auto"/>
        </w:rPr>
      </w:pPr>
      <w:r>
        <w:rPr>
          <w:rFonts w:ascii="Arial" w:cs="Arial" w:eastAsia="Arial" w:hAnsi="Arial"/>
          <w:sz w:val="20"/>
          <w:szCs w:val="20"/>
          <w:color w:val="auto"/>
        </w:rPr>
        <w:t>The Company held two private equity security investments, acquired in 2022, with an aggregate value of $2.1 million at March 31, 2023, valued utilizing the unit of account (Level 2) which includes; financial metrics for the company, specific operating key performance indicators, and market-related inputs. No income or expense has been recorded related to this investment as the investment is still in early stage funding and, therefore, the investment is carried at historical cost at March 31, 2023.</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Impaired loans: Impaired loans are those loans in which the Company has measured impairment based on the fair value of the loan’s collateral or the discounted value of expected future cash flows. Fair value is generally determined based upon market value evaluations by third parties of the properties and/or estimates by management of working capital collateral or discounted cash flows based upon expected proceeds. These appraisals may include up to three approaches to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 similar assets. These measurements are classified as Level 3 within the valuation hierarchy. Impaired loans are subject to nonrecurring fair value adjustment upon initial recognition or subsequent impairment. A portion of the allowance for credit losses is allocated to impaired loans if the value of such loans is deemed to be less than the unpaid balance.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31</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1" w:name="page32"/>
    <w:bookmarkEnd w:id="31"/>
    <w:p>
      <w:pPr>
        <w:spacing w:after="0" w:line="260" w:lineRule="auto"/>
        <w:rPr>
          <w:sz w:val="20"/>
          <w:szCs w:val="20"/>
          <w:color w:val="auto"/>
        </w:rPr>
      </w:pPr>
      <w:r>
        <w:rPr>
          <w:rFonts w:ascii="Arial" w:cs="Arial" w:eastAsia="Arial" w:hAnsi="Arial"/>
          <w:sz w:val="20"/>
          <w:szCs w:val="20"/>
          <w:color w:val="auto"/>
        </w:rPr>
        <w:t>The following tables summarize assets measured at fair value on a recurring basis as of the indicated dates, segregated by the level of valuation inputs within the hierarchy utilized to measure fair value: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March 31, 2023</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Total Fair</w:t>
            </w:r>
          </w:p>
        </w:tc>
      </w:tr>
      <w:tr>
        <w:trPr>
          <w:trHeight w:val="249"/>
        </w:trPr>
        <w:tc>
          <w:tcPr>
            <w:tcW w:w="44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i w:val="1"/>
                <w:iCs w:val="1"/>
                <w:color w:val="auto"/>
              </w:rPr>
              <w:t>(In thousands)</w:t>
            </w: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Level 1</w:t>
            </w:r>
          </w:p>
        </w:tc>
        <w:tc>
          <w:tcPr>
            <w:tcW w:w="6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Level 2</w:t>
            </w:r>
          </w:p>
        </w:tc>
        <w:tc>
          <w:tcPr>
            <w:tcW w:w="7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3</w:t>
            </w: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Value</w:t>
            </w:r>
          </w:p>
        </w:tc>
      </w:tr>
      <w:tr>
        <w:trPr>
          <w:trHeight w:val="243"/>
        </w:trPr>
        <w:tc>
          <w:tcPr>
            <w:tcW w:w="4480" w:type="dxa"/>
            <w:vAlign w:val="bottom"/>
            <w:gridSpan w:val="5"/>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Available-for-Sale Portfolio</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189"/>
        </w:trPr>
        <w:tc>
          <w:tcPr>
            <w:tcW w:w="448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Debt investment securities:</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460" w:type="dxa"/>
            <w:vAlign w:val="bottom"/>
            <w:gridSpan w:val="4"/>
            <w:shd w:val="clear" w:color="auto" w:fill="CFF0FC"/>
          </w:tcPr>
          <w:p>
            <w:pPr>
              <w:ind w:left="100"/>
              <w:spacing w:after="0"/>
              <w:rPr>
                <w:sz w:val="20"/>
                <w:szCs w:val="20"/>
                <w:color w:val="auto"/>
              </w:rPr>
            </w:pPr>
            <w:r>
              <w:rPr>
                <w:rFonts w:ascii="Arial" w:cs="Arial" w:eastAsia="Arial" w:hAnsi="Arial"/>
                <w:sz w:val="18"/>
                <w:szCs w:val="18"/>
                <w:color w:val="auto"/>
              </w:rPr>
              <w:t>US Treasury, agencies and GSEs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41,562</w:t>
            </w:r>
          </w:p>
        </w:tc>
        <w:tc>
          <w:tcPr>
            <w:tcW w:w="7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41,562</w:t>
            </w:r>
          </w:p>
        </w:tc>
      </w:tr>
      <w:tr>
        <w:trPr>
          <w:trHeight w:val="237"/>
        </w:trPr>
        <w:tc>
          <w:tcPr>
            <w:tcW w:w="20" w:type="dxa"/>
            <w:vAlign w:val="bottom"/>
          </w:tcPr>
          <w:p>
            <w:pPr>
              <w:spacing w:after="0"/>
              <w:rPr>
                <w:sz w:val="20"/>
                <w:szCs w:val="20"/>
                <w:color w:val="auto"/>
              </w:rPr>
            </w:pPr>
          </w:p>
        </w:tc>
        <w:tc>
          <w:tcPr>
            <w:tcW w:w="4460" w:type="dxa"/>
            <w:vAlign w:val="bottom"/>
            <w:gridSpan w:val="4"/>
          </w:tcPr>
          <w:p>
            <w:pPr>
              <w:ind w:left="100"/>
              <w:spacing w:after="0"/>
              <w:rPr>
                <w:sz w:val="20"/>
                <w:szCs w:val="20"/>
                <w:color w:val="auto"/>
              </w:rPr>
            </w:pPr>
            <w:r>
              <w:rPr>
                <w:rFonts w:ascii="Arial" w:cs="Arial" w:eastAsia="Arial" w:hAnsi="Arial"/>
                <w:sz w:val="18"/>
                <w:szCs w:val="18"/>
                <w:color w:val="auto"/>
              </w:rPr>
              <w:t>State and political subdivisions</w:t>
            </w:r>
          </w:p>
        </w:tc>
        <w:tc>
          <w:tcPr>
            <w:tcW w:w="4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32,984</w:t>
            </w:r>
          </w:p>
        </w:tc>
        <w:tc>
          <w:tcPr>
            <w:tcW w:w="74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32,984</w:t>
            </w:r>
          </w:p>
        </w:tc>
      </w:tr>
      <w:tr>
        <w:trPr>
          <w:trHeight w:val="249"/>
        </w:trPr>
        <w:tc>
          <w:tcPr>
            <w:tcW w:w="20" w:type="dxa"/>
            <w:vAlign w:val="bottom"/>
            <w:shd w:val="clear" w:color="auto" w:fill="CFF0FC"/>
          </w:tcPr>
          <w:p>
            <w:pPr>
              <w:spacing w:after="0"/>
              <w:rPr>
                <w:sz w:val="21"/>
                <w:szCs w:val="21"/>
                <w:color w:val="auto"/>
              </w:rPr>
            </w:pPr>
          </w:p>
        </w:tc>
        <w:tc>
          <w:tcPr>
            <w:tcW w:w="4460" w:type="dxa"/>
            <w:vAlign w:val="bottom"/>
            <w:gridSpan w:val="4"/>
            <w:shd w:val="clear" w:color="auto" w:fill="CFF0FC"/>
          </w:tcPr>
          <w:p>
            <w:pPr>
              <w:ind w:left="100"/>
              <w:spacing w:after="0"/>
              <w:rPr>
                <w:sz w:val="20"/>
                <w:szCs w:val="20"/>
                <w:color w:val="auto"/>
              </w:rPr>
            </w:pPr>
            <w:r>
              <w:rPr>
                <w:rFonts w:ascii="Arial" w:cs="Arial" w:eastAsia="Arial" w:hAnsi="Arial"/>
                <w:sz w:val="18"/>
                <w:szCs w:val="18"/>
                <w:color w:val="auto"/>
              </w:rPr>
              <w:t>Corporate</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6,863</w:t>
            </w:r>
          </w:p>
        </w:tc>
        <w:tc>
          <w:tcPr>
            <w:tcW w:w="7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6,863</w:t>
            </w:r>
          </w:p>
        </w:tc>
      </w:tr>
      <w:tr>
        <w:trPr>
          <w:trHeight w:val="237"/>
        </w:trPr>
        <w:tc>
          <w:tcPr>
            <w:tcW w:w="20" w:type="dxa"/>
            <w:vAlign w:val="bottom"/>
          </w:tcPr>
          <w:p>
            <w:pPr>
              <w:spacing w:after="0"/>
              <w:rPr>
                <w:sz w:val="20"/>
                <w:szCs w:val="20"/>
                <w:color w:val="auto"/>
              </w:rPr>
            </w:pPr>
          </w:p>
        </w:tc>
        <w:tc>
          <w:tcPr>
            <w:tcW w:w="4460" w:type="dxa"/>
            <w:vAlign w:val="bottom"/>
            <w:gridSpan w:val="4"/>
          </w:tcPr>
          <w:p>
            <w:pPr>
              <w:ind w:left="100"/>
              <w:spacing w:after="0"/>
              <w:rPr>
                <w:sz w:val="20"/>
                <w:szCs w:val="20"/>
                <w:color w:val="auto"/>
              </w:rPr>
            </w:pPr>
            <w:r>
              <w:rPr>
                <w:rFonts w:ascii="Arial" w:cs="Arial" w:eastAsia="Arial" w:hAnsi="Arial"/>
                <w:sz w:val="18"/>
                <w:szCs w:val="18"/>
                <w:color w:val="auto"/>
              </w:rPr>
              <w:t>Asset backed securities</w:t>
            </w:r>
          </w:p>
        </w:tc>
        <w:tc>
          <w:tcPr>
            <w:tcW w:w="4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14,838</w:t>
            </w:r>
          </w:p>
        </w:tc>
        <w:tc>
          <w:tcPr>
            <w:tcW w:w="74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14,838</w:t>
            </w:r>
          </w:p>
        </w:tc>
      </w:tr>
      <w:tr>
        <w:trPr>
          <w:trHeight w:val="249"/>
        </w:trPr>
        <w:tc>
          <w:tcPr>
            <w:tcW w:w="20" w:type="dxa"/>
            <w:vAlign w:val="bottom"/>
            <w:shd w:val="clear" w:color="auto" w:fill="CFF0FC"/>
          </w:tcPr>
          <w:p>
            <w:pPr>
              <w:spacing w:after="0"/>
              <w:rPr>
                <w:sz w:val="21"/>
                <w:szCs w:val="21"/>
                <w:color w:val="auto"/>
              </w:rPr>
            </w:pPr>
          </w:p>
        </w:tc>
        <w:tc>
          <w:tcPr>
            <w:tcW w:w="4460" w:type="dxa"/>
            <w:vAlign w:val="bottom"/>
            <w:gridSpan w:val="4"/>
            <w:shd w:val="clear" w:color="auto" w:fill="CFF0FC"/>
          </w:tcPr>
          <w:p>
            <w:pPr>
              <w:ind w:left="100"/>
              <w:spacing w:after="0"/>
              <w:rPr>
                <w:sz w:val="20"/>
                <w:szCs w:val="20"/>
                <w:color w:val="auto"/>
              </w:rPr>
            </w:pPr>
            <w:r>
              <w:rPr>
                <w:rFonts w:ascii="Arial" w:cs="Arial" w:eastAsia="Arial" w:hAnsi="Arial"/>
                <w:sz w:val="18"/>
                <w:szCs w:val="18"/>
                <w:color w:val="auto"/>
              </w:rPr>
              <w:t>Residential mortgage-backed - US agency</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16,172</w:t>
            </w:r>
          </w:p>
        </w:tc>
        <w:tc>
          <w:tcPr>
            <w:tcW w:w="7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16,172</w:t>
            </w:r>
          </w:p>
        </w:tc>
      </w:tr>
      <w:tr>
        <w:trPr>
          <w:trHeight w:val="237"/>
        </w:trPr>
        <w:tc>
          <w:tcPr>
            <w:tcW w:w="20" w:type="dxa"/>
            <w:vAlign w:val="bottom"/>
          </w:tcPr>
          <w:p>
            <w:pPr>
              <w:spacing w:after="0"/>
              <w:rPr>
                <w:sz w:val="20"/>
                <w:szCs w:val="20"/>
                <w:color w:val="auto"/>
              </w:rPr>
            </w:pPr>
          </w:p>
        </w:tc>
        <w:tc>
          <w:tcPr>
            <w:tcW w:w="4460" w:type="dxa"/>
            <w:vAlign w:val="bottom"/>
            <w:gridSpan w:val="4"/>
          </w:tcPr>
          <w:p>
            <w:pPr>
              <w:ind w:left="100"/>
              <w:spacing w:after="0"/>
              <w:rPr>
                <w:sz w:val="20"/>
                <w:szCs w:val="20"/>
                <w:color w:val="auto"/>
              </w:rPr>
            </w:pPr>
            <w:r>
              <w:rPr>
                <w:rFonts w:ascii="Arial" w:cs="Arial" w:eastAsia="Arial" w:hAnsi="Arial"/>
                <w:sz w:val="18"/>
                <w:szCs w:val="18"/>
                <w:color w:val="auto"/>
              </w:rPr>
              <w:t>Collateralized mortgage obligations - US agency</w:t>
            </w:r>
          </w:p>
        </w:tc>
        <w:tc>
          <w:tcPr>
            <w:tcW w:w="4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9,260</w:t>
            </w:r>
          </w:p>
        </w:tc>
        <w:tc>
          <w:tcPr>
            <w:tcW w:w="74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9,260</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60" w:type="dxa"/>
            <w:vAlign w:val="bottom"/>
            <w:tcBorders>
              <w:bottom w:val="single" w:sz="8" w:color="auto"/>
            </w:tcBorders>
            <w:gridSpan w:val="4"/>
            <w:shd w:val="clear" w:color="auto" w:fill="CFF0FC"/>
          </w:tcPr>
          <w:p>
            <w:pPr>
              <w:ind w:left="100"/>
              <w:spacing w:after="0"/>
              <w:rPr>
                <w:sz w:val="20"/>
                <w:szCs w:val="20"/>
                <w:color w:val="auto"/>
              </w:rPr>
            </w:pPr>
            <w:r>
              <w:rPr>
                <w:rFonts w:ascii="Arial" w:cs="Arial" w:eastAsia="Arial" w:hAnsi="Arial"/>
                <w:sz w:val="18"/>
                <w:szCs w:val="18"/>
                <w:color w:val="auto"/>
              </w:rPr>
              <w:t>Collateralized mortgage obligations - Private label</w:t>
            </w: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60,435</w:t>
            </w:r>
          </w:p>
        </w:tc>
        <w:tc>
          <w:tcPr>
            <w:tcW w:w="7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60,435</w:t>
            </w:r>
          </w:p>
        </w:tc>
      </w:tr>
      <w:tr>
        <w:trPr>
          <w:trHeight w:val="237"/>
        </w:trPr>
        <w:tc>
          <w:tcPr>
            <w:tcW w:w="20" w:type="dxa"/>
            <w:vAlign w:val="bottom"/>
          </w:tcPr>
          <w:p>
            <w:pPr>
              <w:spacing w:after="0"/>
              <w:rPr>
                <w:sz w:val="20"/>
                <w:szCs w:val="20"/>
                <w:color w:val="auto"/>
              </w:rPr>
            </w:pPr>
          </w:p>
        </w:tc>
        <w:tc>
          <w:tcPr>
            <w:tcW w:w="4460" w:type="dxa"/>
            <w:vAlign w:val="bottom"/>
            <w:gridSpan w:val="4"/>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182,114</w:t>
            </w: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182,114</w:t>
            </w:r>
          </w:p>
        </w:tc>
      </w:tr>
      <w:tr>
        <w:trPr>
          <w:trHeight w:val="229"/>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3"/>
            <w:shd w:val="clear" w:color="auto" w:fill="CFF0FC"/>
          </w:tcPr>
          <w:p>
            <w:pPr>
              <w:spacing w:after="0" w:line="195" w:lineRule="exact"/>
              <w:rPr>
                <w:sz w:val="20"/>
                <w:szCs w:val="20"/>
                <w:color w:val="auto"/>
              </w:rPr>
            </w:pPr>
            <w:r>
              <w:rPr>
                <w:rFonts w:ascii="Arial" w:cs="Arial" w:eastAsia="Arial" w:hAnsi="Arial"/>
                <w:sz w:val="18"/>
                <w:szCs w:val="18"/>
                <w:color w:val="auto"/>
                <w:w w:val="91"/>
              </w:rPr>
              <w:t>Equity investment securities:</w:t>
            </w:r>
          </w:p>
        </w:tc>
        <w:tc>
          <w:tcPr>
            <w:tcW w:w="23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460" w:type="dxa"/>
            <w:vAlign w:val="bottom"/>
            <w:gridSpan w:val="4"/>
          </w:tcPr>
          <w:p>
            <w:pPr>
              <w:ind w:left="100"/>
              <w:spacing w:after="0"/>
              <w:rPr>
                <w:sz w:val="20"/>
                <w:szCs w:val="20"/>
                <w:color w:val="auto"/>
              </w:rPr>
            </w:pPr>
            <w:r>
              <w:rPr>
                <w:rFonts w:ascii="Arial" w:cs="Arial" w:eastAsia="Arial" w:hAnsi="Arial"/>
                <w:sz w:val="18"/>
                <w:szCs w:val="18"/>
                <w:color w:val="auto"/>
              </w:rPr>
              <w:t>Common stock - financial services industry</w:t>
            </w:r>
          </w:p>
        </w:tc>
        <w:tc>
          <w:tcPr>
            <w:tcW w:w="4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206</w:t>
            </w:r>
          </w:p>
        </w:tc>
        <w:tc>
          <w:tcPr>
            <w:tcW w:w="6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206</w:t>
            </w:r>
          </w:p>
        </w:tc>
      </w:tr>
      <w:tr>
        <w:trPr>
          <w:trHeight w:val="229"/>
        </w:trPr>
        <w:tc>
          <w:tcPr>
            <w:tcW w:w="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w w:val="89"/>
              </w:rPr>
              <w:t>Other Securities:</w:t>
            </w:r>
          </w:p>
        </w:tc>
        <w:tc>
          <w:tcPr>
            <w:tcW w:w="3240" w:type="dxa"/>
            <w:vAlign w:val="bottom"/>
            <w:tcBorders>
              <w:bottom w:val="single" w:sz="8" w:color="CFF0FC"/>
            </w:tcBorders>
            <w:gridSpan w:val="3"/>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Corporate measured at NAV</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4,665</w:t>
            </w:r>
          </w:p>
        </w:tc>
      </w:tr>
      <w:tr>
        <w:trPr>
          <w:trHeight w:val="276"/>
        </w:trPr>
        <w:tc>
          <w:tcPr>
            <w:tcW w:w="44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8"/>
                <w:szCs w:val="18"/>
                <w:color w:val="auto"/>
              </w:rPr>
              <w:t>Total available-for-sale securities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206</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182,114</w:t>
            </w:r>
          </w:p>
        </w:tc>
        <w:tc>
          <w:tcPr>
            <w:tcW w:w="74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186,985</w:t>
            </w:r>
          </w:p>
        </w:tc>
      </w:tr>
      <w:tr>
        <w:trPr>
          <w:trHeight w:val="23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44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8"/>
                <w:szCs w:val="18"/>
                <w:color w:val="auto"/>
              </w:rPr>
              <w:t>Marketable equity securities measured at NAV</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2,126</w:t>
            </w:r>
          </w:p>
        </w:tc>
      </w:tr>
      <w:tr>
        <w:trPr>
          <w:trHeight w:val="23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5"/>
        </w:trPr>
        <w:tc>
          <w:tcPr>
            <w:tcW w:w="44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Interest rate swap derivative fair value hedges</w:t>
            </w: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4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(unrealized gain carried as receivable from derivative</w:t>
            </w: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77"/>
        </w:trPr>
        <w:tc>
          <w:tcPr>
            <w:tcW w:w="44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8"/>
                <w:szCs w:val="18"/>
                <w:color w:val="auto"/>
              </w:rPr>
              <w:t>counterparties)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6,415</w:t>
            </w:r>
          </w:p>
        </w:tc>
        <w:tc>
          <w:tcPr>
            <w:tcW w:w="74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6,415</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5"/>
        </w:trPr>
        <w:tc>
          <w:tcPr>
            <w:tcW w:w="44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Interest rate swap derivative cash flow hedges</w:t>
            </w: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4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(unrealized loss carried as payable to derivative</w:t>
            </w: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77"/>
        </w:trPr>
        <w:tc>
          <w:tcPr>
            <w:tcW w:w="44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8"/>
                <w:szCs w:val="18"/>
                <w:color w:val="auto"/>
              </w:rPr>
              <w:t>counterparties)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(99 )</w:t>
            </w:r>
          </w:p>
        </w:tc>
        <w:tc>
          <w:tcPr>
            <w:tcW w:w="74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(99 )</w:t>
            </w:r>
          </w:p>
        </w:tc>
      </w:tr>
      <w:tr>
        <w:trPr>
          <w:trHeight w:val="43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32</w:t>
            </w:r>
            <w:r>
              <w:rPr>
                <w:rFonts w:ascii="Arial" w:cs="Arial" w:eastAsia="Arial" w:hAnsi="Arial"/>
                <w:sz w:val="18"/>
                <w:szCs w:val="18"/>
                <w:color w:val="auto"/>
              </w:rPr>
              <w:t xml:space="preserve"> -</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December 31, 2022</w:t>
            </w: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Total Fair</w:t>
            </w:r>
          </w:p>
        </w:tc>
      </w:tr>
      <w:tr>
        <w:trPr>
          <w:trHeight w:val="249"/>
        </w:trPr>
        <w:tc>
          <w:tcPr>
            <w:tcW w:w="44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i w:val="1"/>
                <w:iCs w:val="1"/>
                <w:color w:val="auto"/>
              </w:rPr>
              <w:t>(In thousands)</w:t>
            </w: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Level 1</w:t>
            </w:r>
          </w:p>
        </w:tc>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Level 2</w:t>
            </w:r>
          </w:p>
        </w:tc>
        <w:tc>
          <w:tcPr>
            <w:tcW w:w="8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3</w:t>
            </w: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Value</w:t>
            </w:r>
          </w:p>
        </w:tc>
      </w:tr>
      <w:tr>
        <w:trPr>
          <w:trHeight w:val="243"/>
        </w:trPr>
        <w:tc>
          <w:tcPr>
            <w:tcW w:w="4480" w:type="dxa"/>
            <w:vAlign w:val="bottom"/>
            <w:gridSpan w:val="5"/>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Available-for-Sale Portfolio</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189"/>
        </w:trPr>
        <w:tc>
          <w:tcPr>
            <w:tcW w:w="448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Debt investment securities:</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460" w:type="dxa"/>
            <w:vAlign w:val="bottom"/>
            <w:gridSpan w:val="4"/>
            <w:shd w:val="clear" w:color="auto" w:fill="CFF0FC"/>
          </w:tcPr>
          <w:p>
            <w:pPr>
              <w:ind w:left="100"/>
              <w:spacing w:after="0"/>
              <w:rPr>
                <w:sz w:val="20"/>
                <w:szCs w:val="20"/>
                <w:color w:val="auto"/>
              </w:rPr>
            </w:pPr>
            <w:r>
              <w:rPr>
                <w:rFonts w:ascii="Arial" w:cs="Arial" w:eastAsia="Arial" w:hAnsi="Arial"/>
                <w:sz w:val="18"/>
                <w:szCs w:val="18"/>
                <w:color w:val="auto"/>
              </w:rPr>
              <w:t>US Treasury, agencies and GSEs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29,364</w:t>
            </w:r>
          </w:p>
        </w:tc>
        <w:tc>
          <w:tcPr>
            <w:tcW w:w="86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29,364</w:t>
            </w:r>
          </w:p>
        </w:tc>
      </w:tr>
      <w:tr>
        <w:trPr>
          <w:trHeight w:val="237"/>
        </w:trPr>
        <w:tc>
          <w:tcPr>
            <w:tcW w:w="20" w:type="dxa"/>
            <w:vAlign w:val="bottom"/>
          </w:tcPr>
          <w:p>
            <w:pPr>
              <w:spacing w:after="0"/>
              <w:rPr>
                <w:sz w:val="20"/>
                <w:szCs w:val="20"/>
                <w:color w:val="auto"/>
              </w:rPr>
            </w:pPr>
          </w:p>
        </w:tc>
        <w:tc>
          <w:tcPr>
            <w:tcW w:w="4460" w:type="dxa"/>
            <w:vAlign w:val="bottom"/>
            <w:gridSpan w:val="4"/>
          </w:tcPr>
          <w:p>
            <w:pPr>
              <w:ind w:left="100"/>
              <w:spacing w:after="0"/>
              <w:rPr>
                <w:sz w:val="20"/>
                <w:szCs w:val="20"/>
                <w:color w:val="auto"/>
              </w:rPr>
            </w:pPr>
            <w:r>
              <w:rPr>
                <w:rFonts w:ascii="Arial" w:cs="Arial" w:eastAsia="Arial" w:hAnsi="Arial"/>
                <w:sz w:val="18"/>
                <w:szCs w:val="18"/>
                <w:color w:val="auto"/>
              </w:rPr>
              <w:t>State and political subdivisions</w:t>
            </w:r>
          </w:p>
        </w:tc>
        <w:tc>
          <w:tcPr>
            <w:tcW w:w="4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45,385</w:t>
            </w:r>
          </w:p>
        </w:tc>
        <w:tc>
          <w:tcPr>
            <w:tcW w:w="8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45,385</w:t>
            </w:r>
          </w:p>
        </w:tc>
      </w:tr>
      <w:tr>
        <w:trPr>
          <w:trHeight w:val="249"/>
        </w:trPr>
        <w:tc>
          <w:tcPr>
            <w:tcW w:w="20" w:type="dxa"/>
            <w:vAlign w:val="bottom"/>
            <w:shd w:val="clear" w:color="auto" w:fill="CFF0FC"/>
          </w:tcPr>
          <w:p>
            <w:pPr>
              <w:spacing w:after="0"/>
              <w:rPr>
                <w:sz w:val="21"/>
                <w:szCs w:val="21"/>
                <w:color w:val="auto"/>
              </w:rPr>
            </w:pPr>
          </w:p>
        </w:tc>
        <w:tc>
          <w:tcPr>
            <w:tcW w:w="4460" w:type="dxa"/>
            <w:vAlign w:val="bottom"/>
            <w:gridSpan w:val="4"/>
            <w:shd w:val="clear" w:color="auto" w:fill="CFF0FC"/>
          </w:tcPr>
          <w:p>
            <w:pPr>
              <w:ind w:left="100"/>
              <w:spacing w:after="0"/>
              <w:rPr>
                <w:sz w:val="20"/>
                <w:szCs w:val="20"/>
                <w:color w:val="auto"/>
              </w:rPr>
            </w:pPr>
            <w:r>
              <w:rPr>
                <w:rFonts w:ascii="Arial" w:cs="Arial" w:eastAsia="Arial" w:hAnsi="Arial"/>
                <w:sz w:val="18"/>
                <w:szCs w:val="18"/>
                <w:color w:val="auto"/>
              </w:rPr>
              <w:t>Corporate</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7,066</w:t>
            </w:r>
          </w:p>
        </w:tc>
        <w:tc>
          <w:tcPr>
            <w:tcW w:w="8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7,066</w:t>
            </w:r>
          </w:p>
        </w:tc>
      </w:tr>
      <w:tr>
        <w:trPr>
          <w:trHeight w:val="237"/>
        </w:trPr>
        <w:tc>
          <w:tcPr>
            <w:tcW w:w="20" w:type="dxa"/>
            <w:vAlign w:val="bottom"/>
          </w:tcPr>
          <w:p>
            <w:pPr>
              <w:spacing w:after="0"/>
              <w:rPr>
                <w:sz w:val="20"/>
                <w:szCs w:val="20"/>
                <w:color w:val="auto"/>
              </w:rPr>
            </w:pPr>
          </w:p>
        </w:tc>
        <w:tc>
          <w:tcPr>
            <w:tcW w:w="4460" w:type="dxa"/>
            <w:vAlign w:val="bottom"/>
            <w:gridSpan w:val="4"/>
          </w:tcPr>
          <w:p>
            <w:pPr>
              <w:ind w:left="100"/>
              <w:spacing w:after="0"/>
              <w:rPr>
                <w:sz w:val="20"/>
                <w:szCs w:val="20"/>
                <w:color w:val="auto"/>
              </w:rPr>
            </w:pPr>
            <w:r>
              <w:rPr>
                <w:rFonts w:ascii="Arial" w:cs="Arial" w:eastAsia="Arial" w:hAnsi="Arial"/>
                <w:sz w:val="18"/>
                <w:szCs w:val="18"/>
                <w:color w:val="auto"/>
              </w:rPr>
              <w:t>Asset backed securities</w:t>
            </w:r>
          </w:p>
        </w:tc>
        <w:tc>
          <w:tcPr>
            <w:tcW w:w="4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15,400</w:t>
            </w:r>
          </w:p>
        </w:tc>
        <w:tc>
          <w:tcPr>
            <w:tcW w:w="8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15,400</w:t>
            </w:r>
          </w:p>
        </w:tc>
      </w:tr>
      <w:tr>
        <w:trPr>
          <w:trHeight w:val="249"/>
        </w:trPr>
        <w:tc>
          <w:tcPr>
            <w:tcW w:w="20" w:type="dxa"/>
            <w:vAlign w:val="bottom"/>
            <w:shd w:val="clear" w:color="auto" w:fill="CFF0FC"/>
          </w:tcPr>
          <w:p>
            <w:pPr>
              <w:spacing w:after="0"/>
              <w:rPr>
                <w:sz w:val="21"/>
                <w:szCs w:val="21"/>
                <w:color w:val="auto"/>
              </w:rPr>
            </w:pPr>
          </w:p>
        </w:tc>
        <w:tc>
          <w:tcPr>
            <w:tcW w:w="4460" w:type="dxa"/>
            <w:vAlign w:val="bottom"/>
            <w:gridSpan w:val="4"/>
            <w:shd w:val="clear" w:color="auto" w:fill="CFF0FC"/>
          </w:tcPr>
          <w:p>
            <w:pPr>
              <w:ind w:left="100"/>
              <w:spacing w:after="0"/>
              <w:rPr>
                <w:sz w:val="20"/>
                <w:szCs w:val="20"/>
                <w:color w:val="auto"/>
              </w:rPr>
            </w:pPr>
            <w:r>
              <w:rPr>
                <w:rFonts w:ascii="Arial" w:cs="Arial" w:eastAsia="Arial" w:hAnsi="Arial"/>
                <w:sz w:val="18"/>
                <w:szCs w:val="18"/>
                <w:color w:val="auto"/>
              </w:rPr>
              <w:t>Residential mortgage-backed - US agency</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16,400</w:t>
            </w:r>
          </w:p>
        </w:tc>
        <w:tc>
          <w:tcPr>
            <w:tcW w:w="8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16,400</w:t>
            </w:r>
          </w:p>
        </w:tc>
      </w:tr>
      <w:tr>
        <w:trPr>
          <w:trHeight w:val="237"/>
        </w:trPr>
        <w:tc>
          <w:tcPr>
            <w:tcW w:w="20" w:type="dxa"/>
            <w:vAlign w:val="bottom"/>
          </w:tcPr>
          <w:p>
            <w:pPr>
              <w:spacing w:after="0"/>
              <w:rPr>
                <w:sz w:val="20"/>
                <w:szCs w:val="20"/>
                <w:color w:val="auto"/>
              </w:rPr>
            </w:pPr>
          </w:p>
        </w:tc>
        <w:tc>
          <w:tcPr>
            <w:tcW w:w="4460" w:type="dxa"/>
            <w:vAlign w:val="bottom"/>
            <w:gridSpan w:val="4"/>
          </w:tcPr>
          <w:p>
            <w:pPr>
              <w:ind w:left="100"/>
              <w:spacing w:after="0"/>
              <w:rPr>
                <w:sz w:val="20"/>
                <w:szCs w:val="20"/>
                <w:color w:val="auto"/>
              </w:rPr>
            </w:pPr>
            <w:r>
              <w:rPr>
                <w:rFonts w:ascii="Arial" w:cs="Arial" w:eastAsia="Arial" w:hAnsi="Arial"/>
                <w:sz w:val="18"/>
                <w:szCs w:val="18"/>
                <w:color w:val="auto"/>
              </w:rPr>
              <w:t>Collateralized mortgage obligations - US agency</w:t>
            </w:r>
          </w:p>
        </w:tc>
        <w:tc>
          <w:tcPr>
            <w:tcW w:w="4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11,708</w:t>
            </w:r>
          </w:p>
        </w:tc>
        <w:tc>
          <w:tcPr>
            <w:tcW w:w="8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11,708</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60" w:type="dxa"/>
            <w:vAlign w:val="bottom"/>
            <w:tcBorders>
              <w:bottom w:val="single" w:sz="8" w:color="auto"/>
            </w:tcBorders>
            <w:gridSpan w:val="4"/>
            <w:shd w:val="clear" w:color="auto" w:fill="CFF0FC"/>
          </w:tcPr>
          <w:p>
            <w:pPr>
              <w:ind w:left="100"/>
              <w:spacing w:after="0"/>
              <w:rPr>
                <w:sz w:val="20"/>
                <w:szCs w:val="20"/>
                <w:color w:val="auto"/>
              </w:rPr>
            </w:pPr>
            <w:r>
              <w:rPr>
                <w:rFonts w:ascii="Arial" w:cs="Arial" w:eastAsia="Arial" w:hAnsi="Arial"/>
                <w:sz w:val="18"/>
                <w:szCs w:val="18"/>
                <w:color w:val="auto"/>
              </w:rPr>
              <w:t>Collateralized mortgage obligations - Private label</w:t>
            </w: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61,434</w:t>
            </w:r>
          </w:p>
        </w:tc>
        <w:tc>
          <w:tcPr>
            <w:tcW w:w="8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61,434</w:t>
            </w:r>
          </w:p>
        </w:tc>
      </w:tr>
      <w:tr>
        <w:trPr>
          <w:trHeight w:val="236"/>
        </w:trPr>
        <w:tc>
          <w:tcPr>
            <w:tcW w:w="20" w:type="dxa"/>
            <w:vAlign w:val="bottom"/>
          </w:tcPr>
          <w:p>
            <w:pPr>
              <w:spacing w:after="0"/>
              <w:rPr>
                <w:sz w:val="20"/>
                <w:szCs w:val="20"/>
                <w:color w:val="auto"/>
              </w:rPr>
            </w:pPr>
          </w:p>
        </w:tc>
        <w:tc>
          <w:tcPr>
            <w:tcW w:w="4460" w:type="dxa"/>
            <w:vAlign w:val="bottom"/>
            <w:gridSpan w:val="4"/>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186,757</w:t>
            </w:r>
          </w:p>
        </w:tc>
        <w:tc>
          <w:tcPr>
            <w:tcW w:w="8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186,757</w:t>
            </w:r>
          </w:p>
        </w:tc>
      </w:tr>
      <w:tr>
        <w:trPr>
          <w:trHeight w:val="229"/>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3"/>
            <w:shd w:val="clear" w:color="auto" w:fill="CFF0FC"/>
          </w:tcPr>
          <w:p>
            <w:pPr>
              <w:spacing w:after="0" w:line="195" w:lineRule="exact"/>
              <w:rPr>
                <w:sz w:val="20"/>
                <w:szCs w:val="20"/>
                <w:color w:val="auto"/>
              </w:rPr>
            </w:pPr>
            <w:r>
              <w:rPr>
                <w:rFonts w:ascii="Arial" w:cs="Arial" w:eastAsia="Arial" w:hAnsi="Arial"/>
                <w:sz w:val="18"/>
                <w:szCs w:val="18"/>
                <w:color w:val="auto"/>
                <w:w w:val="91"/>
              </w:rPr>
              <w:t>Equity investment securities:</w:t>
            </w:r>
          </w:p>
        </w:tc>
        <w:tc>
          <w:tcPr>
            <w:tcW w:w="23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460" w:type="dxa"/>
            <w:vAlign w:val="bottom"/>
            <w:gridSpan w:val="4"/>
          </w:tcPr>
          <w:p>
            <w:pPr>
              <w:ind w:left="100"/>
              <w:spacing w:after="0"/>
              <w:rPr>
                <w:sz w:val="20"/>
                <w:szCs w:val="20"/>
                <w:color w:val="auto"/>
              </w:rPr>
            </w:pPr>
            <w:r>
              <w:rPr>
                <w:rFonts w:ascii="Arial" w:cs="Arial" w:eastAsia="Arial" w:hAnsi="Arial"/>
                <w:sz w:val="18"/>
                <w:szCs w:val="18"/>
                <w:color w:val="auto"/>
              </w:rPr>
              <w:t>Common stock - financial services industry</w:t>
            </w:r>
          </w:p>
        </w:tc>
        <w:tc>
          <w:tcPr>
            <w:tcW w:w="4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206</w:t>
            </w:r>
          </w:p>
        </w:tc>
        <w:tc>
          <w:tcPr>
            <w:tcW w:w="6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206</w:t>
            </w:r>
          </w:p>
        </w:tc>
      </w:tr>
      <w:tr>
        <w:trPr>
          <w:trHeight w:val="229"/>
        </w:trPr>
        <w:tc>
          <w:tcPr>
            <w:tcW w:w="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w w:val="89"/>
              </w:rPr>
              <w:t>Other Securities:</w:t>
            </w:r>
          </w:p>
        </w:tc>
        <w:tc>
          <w:tcPr>
            <w:tcW w:w="3240" w:type="dxa"/>
            <w:vAlign w:val="bottom"/>
            <w:tcBorders>
              <w:bottom w:val="single" w:sz="8" w:color="CFF0FC"/>
            </w:tcBorders>
            <w:gridSpan w:val="3"/>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Corporate measured at NAV</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4,763</w:t>
            </w:r>
          </w:p>
        </w:tc>
      </w:tr>
      <w:tr>
        <w:trPr>
          <w:trHeight w:val="276"/>
        </w:trPr>
        <w:tc>
          <w:tcPr>
            <w:tcW w:w="44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8"/>
                <w:szCs w:val="18"/>
                <w:color w:val="auto"/>
              </w:rPr>
              <w:t>Total available-for-sale securities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206</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186,757</w:t>
            </w:r>
          </w:p>
        </w:tc>
        <w:tc>
          <w:tcPr>
            <w:tcW w:w="86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191,726</w:t>
            </w:r>
          </w:p>
        </w:tc>
      </w:tr>
      <w:tr>
        <w:trPr>
          <w:trHeight w:val="23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7"/>
        </w:trPr>
        <w:tc>
          <w:tcPr>
            <w:tcW w:w="44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8"/>
                <w:szCs w:val="18"/>
                <w:color w:val="auto"/>
              </w:rPr>
              <w:t>Marketable equity securities measured at NAV</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1,862</w:t>
            </w:r>
          </w:p>
        </w:tc>
      </w:tr>
      <w:tr>
        <w:trPr>
          <w:trHeight w:val="23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5"/>
        </w:trPr>
        <w:tc>
          <w:tcPr>
            <w:tcW w:w="44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Interest rate swap derivative fair value hedges</w:t>
            </w: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4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(unrealized gain carried as receivable from derivative</w:t>
            </w: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77"/>
        </w:trPr>
        <w:tc>
          <w:tcPr>
            <w:tcW w:w="44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8"/>
                <w:szCs w:val="18"/>
                <w:color w:val="auto"/>
              </w:rPr>
              <w:t>counterparties)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9,717</w:t>
            </w:r>
          </w:p>
        </w:tc>
        <w:tc>
          <w:tcPr>
            <w:tcW w:w="86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9,717</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5"/>
        </w:trPr>
        <w:tc>
          <w:tcPr>
            <w:tcW w:w="44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Interest rate swap derivative cash flow hedges</w:t>
            </w: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4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(unrealized gain carried as receivable from derivative</w:t>
            </w: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77"/>
        </w:trPr>
        <w:tc>
          <w:tcPr>
            <w:tcW w:w="44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8"/>
                <w:szCs w:val="18"/>
                <w:color w:val="auto"/>
              </w:rPr>
              <w:t>counterparties)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519</w:t>
            </w:r>
          </w:p>
        </w:tc>
        <w:tc>
          <w:tcPr>
            <w:tcW w:w="86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519</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Pathfinder Bank had the following assets measured at fair value on a nonrecurring basis as of March 31, 2023 and December 31, 2022:</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March 31, 2023</w:t>
            </w:r>
          </w:p>
        </w:tc>
        <w:tc>
          <w:tcPr>
            <w:tcW w:w="7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30"/>
        </w:trPr>
        <w:tc>
          <w:tcPr>
            <w:tcW w:w="5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Total Fair</w:t>
            </w:r>
          </w:p>
        </w:tc>
      </w:tr>
      <w:tr>
        <w:trPr>
          <w:trHeight w:val="24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1</w:t>
            </w: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2</w:t>
            </w:r>
          </w:p>
        </w:tc>
        <w:tc>
          <w:tcPr>
            <w:tcW w:w="7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Level 3</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Value</w:t>
            </w: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Impaired loans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7,434</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7,434</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Foreclosed real estate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221</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221</w:t>
            </w:r>
          </w:p>
        </w:tc>
      </w:tr>
      <w:tr>
        <w:trPr>
          <w:trHeight w:val="506"/>
        </w:trPr>
        <w:tc>
          <w:tcPr>
            <w:tcW w:w="5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 2022</w:t>
            </w: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30"/>
        </w:trPr>
        <w:tc>
          <w:tcPr>
            <w:tcW w:w="5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Total Fair</w:t>
            </w:r>
          </w:p>
        </w:tc>
      </w:tr>
      <w:tr>
        <w:trPr>
          <w:trHeight w:val="24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1</w:t>
            </w: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2</w:t>
            </w:r>
          </w:p>
        </w:tc>
        <w:tc>
          <w:tcPr>
            <w:tcW w:w="7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Level 3</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Value</w:t>
            </w: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Impaired loans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2,328</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2,328</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Foreclosed real estate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221</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221</w:t>
            </w:r>
          </w:p>
        </w:tc>
      </w:tr>
    </w:tbl>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additional quantitative information about assets measured at fair value on a nonrecurring basis and for which Level 3 inputs were used to determine fair value at the indicated dates.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80" w:type="dxa"/>
            <w:vAlign w:val="bottom"/>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Quantitative Information about Level 3 Fair Value Measurements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0"/>
        </w:trPr>
        <w:tc>
          <w:tcPr>
            <w:tcW w:w="1980" w:type="dxa"/>
            <w:vAlign w:val="bottom"/>
          </w:tcPr>
          <w:p>
            <w:pPr>
              <w:spacing w:after="0"/>
              <w:rPr>
                <w:sz w:val="18"/>
                <w:szCs w:val="18"/>
                <w:color w:val="auto"/>
              </w:rPr>
            </w:pPr>
          </w:p>
        </w:tc>
        <w:tc>
          <w:tcPr>
            <w:tcW w:w="2280" w:type="dxa"/>
            <w:vAlign w:val="bottom"/>
          </w:tcPr>
          <w:p>
            <w:pPr>
              <w:jc w:val="center"/>
              <w:ind w:right="99"/>
              <w:spacing w:after="0"/>
              <w:rPr>
                <w:sz w:val="20"/>
                <w:szCs w:val="20"/>
                <w:color w:val="auto"/>
              </w:rPr>
            </w:pPr>
            <w:r>
              <w:rPr>
                <w:rFonts w:ascii="Arial" w:cs="Arial" w:eastAsia="Arial" w:hAnsi="Arial"/>
                <w:sz w:val="16"/>
                <w:szCs w:val="16"/>
                <w:color w:val="auto"/>
                <w:w w:val="92"/>
              </w:rPr>
              <w:t>Valuation</w:t>
            </w:r>
          </w:p>
        </w:tc>
        <w:tc>
          <w:tcPr>
            <w:tcW w:w="5140" w:type="dxa"/>
            <w:vAlign w:val="bottom"/>
          </w:tcPr>
          <w:p>
            <w:pPr>
              <w:jc w:val="center"/>
              <w:spacing w:after="0"/>
              <w:rPr>
                <w:sz w:val="20"/>
                <w:szCs w:val="20"/>
                <w:color w:val="auto"/>
              </w:rPr>
            </w:pPr>
            <w:r>
              <w:rPr>
                <w:rFonts w:ascii="Arial" w:cs="Arial" w:eastAsia="Arial" w:hAnsi="Arial"/>
                <w:sz w:val="16"/>
                <w:szCs w:val="16"/>
                <w:color w:val="auto"/>
                <w:w w:val="91"/>
              </w:rPr>
              <w:t>Unobservable</w:t>
            </w:r>
          </w:p>
        </w:tc>
        <w:tc>
          <w:tcPr>
            <w:tcW w:w="1840" w:type="dxa"/>
            <w:vAlign w:val="bottom"/>
            <w:gridSpan w:val="2"/>
          </w:tcPr>
          <w:p>
            <w:pPr>
              <w:jc w:val="center"/>
              <w:ind w:left="99"/>
              <w:spacing w:after="0"/>
              <w:rPr>
                <w:sz w:val="20"/>
                <w:szCs w:val="20"/>
                <w:color w:val="auto"/>
              </w:rPr>
            </w:pPr>
            <w:r>
              <w:rPr>
                <w:rFonts w:ascii="Arial" w:cs="Arial" w:eastAsia="Arial" w:hAnsi="Arial"/>
                <w:sz w:val="16"/>
                <w:szCs w:val="16"/>
                <w:color w:val="auto"/>
                <w:w w:val="88"/>
              </w:rPr>
              <w:t>Range</w:t>
            </w:r>
          </w:p>
        </w:tc>
      </w:tr>
      <w:tr>
        <w:trPr>
          <w:trHeight w:val="243"/>
        </w:trPr>
        <w:tc>
          <w:tcPr>
            <w:tcW w:w="19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Techniques</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Input</w:t>
            </w:r>
          </w:p>
        </w:tc>
        <w:tc>
          <w:tcPr>
            <w:tcW w:w="184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6"/>
                <w:szCs w:val="16"/>
                <w:color w:val="auto"/>
                <w:w w:val="92"/>
              </w:rPr>
              <w:t>(Weighted Avg.)</w:t>
            </w:r>
          </w:p>
        </w:tc>
      </w:tr>
      <w:tr>
        <w:trPr>
          <w:trHeight w:val="223"/>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At March 31, 2023</w:t>
            </w:r>
          </w:p>
        </w:tc>
        <w:tc>
          <w:tcPr>
            <w:tcW w:w="228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20"/>
        </w:trPr>
        <w:tc>
          <w:tcPr>
            <w:tcW w:w="1980" w:type="dxa"/>
            <w:vAlign w:val="bottom"/>
          </w:tcPr>
          <w:p>
            <w:pPr>
              <w:ind w:left="20"/>
              <w:spacing w:after="0"/>
              <w:rPr>
                <w:sz w:val="20"/>
                <w:szCs w:val="20"/>
                <w:color w:val="auto"/>
              </w:rPr>
            </w:pPr>
            <w:r>
              <w:rPr>
                <w:rFonts w:ascii="Arial" w:cs="Arial" w:eastAsia="Arial" w:hAnsi="Arial"/>
                <w:sz w:val="16"/>
                <w:szCs w:val="16"/>
                <w:color w:val="auto"/>
              </w:rPr>
              <w:t>Impaired loans</w:t>
            </w:r>
          </w:p>
        </w:tc>
        <w:tc>
          <w:tcPr>
            <w:tcW w:w="2280" w:type="dxa"/>
            <w:vAlign w:val="bottom"/>
          </w:tcPr>
          <w:p>
            <w:pPr>
              <w:jc w:val="center"/>
              <w:ind w:right="79"/>
              <w:spacing w:after="0"/>
              <w:rPr>
                <w:sz w:val="20"/>
                <w:szCs w:val="20"/>
                <w:color w:val="auto"/>
              </w:rPr>
            </w:pPr>
            <w:r>
              <w:rPr>
                <w:rFonts w:ascii="Arial" w:cs="Arial" w:eastAsia="Arial" w:hAnsi="Arial"/>
                <w:sz w:val="16"/>
                <w:szCs w:val="16"/>
                <w:color w:val="auto"/>
                <w:w w:val="94"/>
              </w:rPr>
              <w:t>Appraisal of collateral</w:t>
            </w:r>
          </w:p>
        </w:tc>
        <w:tc>
          <w:tcPr>
            <w:tcW w:w="5140" w:type="dxa"/>
            <w:vAlign w:val="bottom"/>
          </w:tcPr>
          <w:p>
            <w:pPr>
              <w:jc w:val="center"/>
              <w:spacing w:after="0"/>
              <w:rPr>
                <w:sz w:val="20"/>
                <w:szCs w:val="20"/>
                <w:color w:val="auto"/>
              </w:rPr>
            </w:pPr>
            <w:r>
              <w:rPr>
                <w:rFonts w:ascii="Arial" w:cs="Arial" w:eastAsia="Arial" w:hAnsi="Arial"/>
                <w:sz w:val="16"/>
                <w:szCs w:val="16"/>
                <w:color w:val="auto"/>
                <w:w w:val="92"/>
              </w:rPr>
              <w:t>Appraisal Adjustments</w:t>
            </w:r>
          </w:p>
        </w:tc>
        <w:tc>
          <w:tcPr>
            <w:tcW w:w="1140" w:type="dxa"/>
            <w:vAlign w:val="bottom"/>
          </w:tcPr>
          <w:p>
            <w:pPr>
              <w:jc w:val="right"/>
              <w:spacing w:after="0"/>
              <w:rPr>
                <w:sz w:val="20"/>
                <w:szCs w:val="20"/>
                <w:color w:val="auto"/>
              </w:rPr>
            </w:pPr>
            <w:r>
              <w:rPr>
                <w:rFonts w:ascii="Arial" w:cs="Arial" w:eastAsia="Arial" w:hAnsi="Arial"/>
                <w:sz w:val="16"/>
                <w:szCs w:val="16"/>
                <w:color w:val="auto"/>
              </w:rPr>
              <w:t>5% - 30%</w:t>
            </w:r>
          </w:p>
        </w:tc>
        <w:tc>
          <w:tcPr>
            <w:tcW w:w="700" w:type="dxa"/>
            <w:vAlign w:val="bottom"/>
          </w:tcPr>
          <w:p>
            <w:pPr>
              <w:ind w:left="20"/>
              <w:spacing w:after="0"/>
              <w:rPr>
                <w:sz w:val="20"/>
                <w:szCs w:val="20"/>
                <w:color w:val="auto"/>
              </w:rPr>
            </w:pPr>
            <w:r>
              <w:rPr>
                <w:rFonts w:ascii="Arial" w:cs="Arial" w:eastAsia="Arial" w:hAnsi="Arial"/>
                <w:sz w:val="16"/>
                <w:szCs w:val="16"/>
                <w:color w:val="auto"/>
              </w:rPr>
              <w:t>(15%)</w:t>
            </w:r>
          </w:p>
        </w:tc>
      </w:tr>
      <w:tr>
        <w:trPr>
          <w:trHeight w:val="239"/>
        </w:trPr>
        <w:tc>
          <w:tcPr>
            <w:tcW w:w="1980" w:type="dxa"/>
            <w:vAlign w:val="bottom"/>
            <w:shd w:val="clear" w:color="auto" w:fill="CFF0FC"/>
          </w:tcPr>
          <w:p>
            <w:pPr>
              <w:spacing w:after="0"/>
              <w:rPr>
                <w:sz w:val="20"/>
                <w:szCs w:val="20"/>
                <w:color w:val="auto"/>
              </w:rPr>
            </w:pPr>
          </w:p>
        </w:tc>
        <w:tc>
          <w:tcPr>
            <w:tcW w:w="2280" w:type="dxa"/>
            <w:vAlign w:val="bottom"/>
            <w:shd w:val="clear" w:color="auto" w:fill="CFF0FC"/>
          </w:tcPr>
          <w:p>
            <w:pPr>
              <w:jc w:val="center"/>
              <w:ind w:right="79"/>
              <w:spacing w:after="0"/>
              <w:rPr>
                <w:sz w:val="20"/>
                <w:szCs w:val="20"/>
                <w:color w:val="auto"/>
              </w:rPr>
            </w:pPr>
            <w:r>
              <w:rPr>
                <w:rFonts w:ascii="Arial" w:cs="Arial" w:eastAsia="Arial" w:hAnsi="Arial"/>
                <w:sz w:val="16"/>
                <w:szCs w:val="16"/>
                <w:color w:val="auto"/>
                <w:w w:val="90"/>
              </w:rPr>
              <w:t>(Sales Approach)</w:t>
            </w:r>
          </w:p>
        </w:tc>
        <w:tc>
          <w:tcPr>
            <w:tcW w:w="51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Costs to Sell</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 - 14%</w:t>
            </w:r>
          </w:p>
        </w:tc>
        <w:tc>
          <w:tcPr>
            <w:tcW w:w="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(12%)</w:t>
            </w:r>
          </w:p>
        </w:tc>
      </w:tr>
      <w:tr>
        <w:trPr>
          <w:trHeight w:val="223"/>
        </w:trPr>
        <w:tc>
          <w:tcPr>
            <w:tcW w:w="19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2"/>
              </w:rPr>
              <w:t>Discounted Cash Flow</w:t>
            </w:r>
          </w:p>
        </w:tc>
        <w:tc>
          <w:tcPr>
            <w:tcW w:w="5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29"/>
        </w:trPr>
        <w:tc>
          <w:tcPr>
            <w:tcW w:w="198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5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spacing w:after="0"/>
              <w:rPr>
                <w:sz w:val="19"/>
                <w:szCs w:val="19"/>
                <w:color w:val="auto"/>
              </w:rPr>
            </w:pPr>
          </w:p>
        </w:tc>
      </w:tr>
      <w:tr>
        <w:trPr>
          <w:trHeight w:val="220"/>
        </w:trPr>
        <w:tc>
          <w:tcPr>
            <w:tcW w:w="1980" w:type="dxa"/>
            <w:vAlign w:val="bottom"/>
          </w:tcPr>
          <w:p>
            <w:pPr>
              <w:ind w:left="20"/>
              <w:spacing w:after="0"/>
              <w:rPr>
                <w:sz w:val="20"/>
                <w:szCs w:val="20"/>
                <w:color w:val="auto"/>
              </w:rPr>
            </w:pPr>
            <w:r>
              <w:rPr>
                <w:rFonts w:ascii="Arial" w:cs="Arial" w:eastAsia="Arial" w:hAnsi="Arial"/>
                <w:sz w:val="16"/>
                <w:szCs w:val="16"/>
                <w:color w:val="auto"/>
              </w:rPr>
              <w:t>Foreclosed real estate</w:t>
            </w:r>
          </w:p>
        </w:tc>
        <w:tc>
          <w:tcPr>
            <w:tcW w:w="2280" w:type="dxa"/>
            <w:vAlign w:val="bottom"/>
          </w:tcPr>
          <w:p>
            <w:pPr>
              <w:jc w:val="center"/>
              <w:ind w:right="79"/>
              <w:spacing w:after="0"/>
              <w:rPr>
                <w:sz w:val="20"/>
                <w:szCs w:val="20"/>
                <w:color w:val="auto"/>
              </w:rPr>
            </w:pPr>
            <w:r>
              <w:rPr>
                <w:rFonts w:ascii="Arial" w:cs="Arial" w:eastAsia="Arial" w:hAnsi="Arial"/>
                <w:sz w:val="16"/>
                <w:szCs w:val="16"/>
                <w:color w:val="auto"/>
                <w:w w:val="94"/>
              </w:rPr>
              <w:t>Appraisal of collateral</w:t>
            </w:r>
          </w:p>
        </w:tc>
        <w:tc>
          <w:tcPr>
            <w:tcW w:w="5140" w:type="dxa"/>
            <w:vAlign w:val="bottom"/>
          </w:tcPr>
          <w:p>
            <w:pPr>
              <w:jc w:val="center"/>
              <w:spacing w:after="0"/>
              <w:rPr>
                <w:sz w:val="20"/>
                <w:szCs w:val="20"/>
                <w:color w:val="auto"/>
              </w:rPr>
            </w:pPr>
            <w:r>
              <w:rPr>
                <w:rFonts w:ascii="Arial" w:cs="Arial" w:eastAsia="Arial" w:hAnsi="Arial"/>
                <w:sz w:val="16"/>
                <w:szCs w:val="16"/>
                <w:color w:val="auto"/>
                <w:w w:val="92"/>
              </w:rPr>
              <w:t>Appraisal Adjustments</w:t>
            </w:r>
          </w:p>
        </w:tc>
        <w:tc>
          <w:tcPr>
            <w:tcW w:w="1840" w:type="dxa"/>
            <w:vAlign w:val="bottom"/>
            <w:gridSpan w:val="2"/>
          </w:tcPr>
          <w:p>
            <w:pPr>
              <w:jc w:val="center"/>
              <w:ind w:left="99"/>
              <w:spacing w:after="0"/>
              <w:rPr>
                <w:sz w:val="20"/>
                <w:szCs w:val="20"/>
                <w:color w:val="auto"/>
              </w:rPr>
            </w:pPr>
            <w:r>
              <w:rPr>
                <w:rFonts w:ascii="Arial" w:cs="Arial" w:eastAsia="Arial" w:hAnsi="Arial"/>
                <w:sz w:val="16"/>
                <w:szCs w:val="16"/>
                <w:color w:val="auto"/>
                <w:w w:val="94"/>
              </w:rPr>
              <w:t>15% - 15% (15%)</w:t>
            </w:r>
          </w:p>
        </w:tc>
      </w:tr>
      <w:tr>
        <w:trPr>
          <w:trHeight w:val="233"/>
        </w:trPr>
        <w:tc>
          <w:tcPr>
            <w:tcW w:w="1980" w:type="dxa"/>
            <w:vAlign w:val="bottom"/>
            <w:tcBorders>
              <w:bottom w:val="single" w:sz="8" w:color="auto"/>
            </w:tcBorders>
            <w:shd w:val="clear" w:color="auto" w:fill="CFF0FC"/>
          </w:tcPr>
          <w:p>
            <w:pPr>
              <w:spacing w:after="0"/>
              <w:rPr>
                <w:sz w:val="20"/>
                <w:szCs w:val="20"/>
                <w:color w:val="auto"/>
              </w:rPr>
            </w:pPr>
          </w:p>
        </w:tc>
        <w:tc>
          <w:tcPr>
            <w:tcW w:w="2280" w:type="dxa"/>
            <w:vAlign w:val="bottom"/>
            <w:tcBorders>
              <w:bottom w:val="single" w:sz="8" w:color="auto"/>
            </w:tcBorders>
            <w:shd w:val="clear" w:color="auto" w:fill="CFF0FC"/>
          </w:tcPr>
          <w:p>
            <w:pPr>
              <w:jc w:val="center"/>
              <w:ind w:right="79"/>
              <w:spacing w:after="0"/>
              <w:rPr>
                <w:sz w:val="20"/>
                <w:szCs w:val="20"/>
                <w:color w:val="auto"/>
              </w:rPr>
            </w:pPr>
            <w:r>
              <w:rPr>
                <w:rFonts w:ascii="Arial" w:cs="Arial" w:eastAsia="Arial" w:hAnsi="Arial"/>
                <w:sz w:val="16"/>
                <w:szCs w:val="16"/>
                <w:color w:val="auto"/>
                <w:w w:val="90"/>
              </w:rPr>
              <w:t>(Sales Approach)</w:t>
            </w:r>
          </w:p>
        </w:tc>
        <w:tc>
          <w:tcPr>
            <w:tcW w:w="51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1"/>
              </w:rPr>
              <w:t>Costs to Sell</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 - 9%</w:t>
            </w:r>
          </w:p>
        </w:tc>
        <w:tc>
          <w:tcPr>
            <w:tcW w:w="7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(8%)</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33</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9"/>
        </w:trPr>
        <w:tc>
          <w:tcPr>
            <w:tcW w:w="1980" w:type="dxa"/>
            <w:vAlign w:val="bottom"/>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Quantitative Information about Level 3 Fair Value Measurements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0"/>
        </w:trPr>
        <w:tc>
          <w:tcPr>
            <w:tcW w:w="1980" w:type="dxa"/>
            <w:vAlign w:val="bottom"/>
          </w:tcPr>
          <w:p>
            <w:pPr>
              <w:spacing w:after="0"/>
              <w:rPr>
                <w:sz w:val="18"/>
                <w:szCs w:val="18"/>
                <w:color w:val="auto"/>
              </w:rPr>
            </w:pPr>
          </w:p>
        </w:tc>
        <w:tc>
          <w:tcPr>
            <w:tcW w:w="2280" w:type="dxa"/>
            <w:vAlign w:val="bottom"/>
          </w:tcPr>
          <w:p>
            <w:pPr>
              <w:jc w:val="center"/>
              <w:ind w:right="99"/>
              <w:spacing w:after="0"/>
              <w:rPr>
                <w:sz w:val="20"/>
                <w:szCs w:val="20"/>
                <w:color w:val="auto"/>
              </w:rPr>
            </w:pPr>
            <w:r>
              <w:rPr>
                <w:rFonts w:ascii="Arial" w:cs="Arial" w:eastAsia="Arial" w:hAnsi="Arial"/>
                <w:sz w:val="16"/>
                <w:szCs w:val="16"/>
                <w:color w:val="auto"/>
                <w:w w:val="92"/>
              </w:rPr>
              <w:t>Valuation</w:t>
            </w:r>
          </w:p>
        </w:tc>
        <w:tc>
          <w:tcPr>
            <w:tcW w:w="5140" w:type="dxa"/>
            <w:vAlign w:val="bottom"/>
          </w:tcPr>
          <w:p>
            <w:pPr>
              <w:jc w:val="center"/>
              <w:spacing w:after="0"/>
              <w:rPr>
                <w:sz w:val="20"/>
                <w:szCs w:val="20"/>
                <w:color w:val="auto"/>
              </w:rPr>
            </w:pPr>
            <w:r>
              <w:rPr>
                <w:rFonts w:ascii="Arial" w:cs="Arial" w:eastAsia="Arial" w:hAnsi="Arial"/>
                <w:sz w:val="16"/>
                <w:szCs w:val="16"/>
                <w:color w:val="auto"/>
                <w:w w:val="91"/>
              </w:rPr>
              <w:t>Unobservable</w:t>
            </w:r>
          </w:p>
        </w:tc>
        <w:tc>
          <w:tcPr>
            <w:tcW w:w="1840" w:type="dxa"/>
            <w:vAlign w:val="bottom"/>
            <w:gridSpan w:val="2"/>
          </w:tcPr>
          <w:p>
            <w:pPr>
              <w:jc w:val="center"/>
              <w:ind w:left="99"/>
              <w:spacing w:after="0"/>
              <w:rPr>
                <w:sz w:val="20"/>
                <w:szCs w:val="20"/>
                <w:color w:val="auto"/>
              </w:rPr>
            </w:pPr>
            <w:r>
              <w:rPr>
                <w:rFonts w:ascii="Arial" w:cs="Arial" w:eastAsia="Arial" w:hAnsi="Arial"/>
                <w:sz w:val="16"/>
                <w:szCs w:val="16"/>
                <w:color w:val="auto"/>
                <w:w w:val="88"/>
              </w:rPr>
              <w:t>Range</w:t>
            </w:r>
          </w:p>
        </w:tc>
      </w:tr>
      <w:tr>
        <w:trPr>
          <w:trHeight w:val="243"/>
        </w:trPr>
        <w:tc>
          <w:tcPr>
            <w:tcW w:w="19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Techniques</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Input</w:t>
            </w:r>
          </w:p>
        </w:tc>
        <w:tc>
          <w:tcPr>
            <w:tcW w:w="184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6"/>
                <w:szCs w:val="16"/>
                <w:color w:val="auto"/>
                <w:w w:val="92"/>
              </w:rPr>
              <w:t>(Weighted Avg.)</w:t>
            </w:r>
          </w:p>
        </w:tc>
      </w:tr>
      <w:tr>
        <w:trPr>
          <w:trHeight w:val="223"/>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At December 31, 2022</w:t>
            </w:r>
          </w:p>
        </w:tc>
        <w:tc>
          <w:tcPr>
            <w:tcW w:w="228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29"/>
        </w:trPr>
        <w:tc>
          <w:tcPr>
            <w:tcW w:w="1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Impaired loans</w:t>
            </w:r>
          </w:p>
        </w:tc>
        <w:tc>
          <w:tcPr>
            <w:tcW w:w="2280" w:type="dxa"/>
            <w:vAlign w:val="bottom"/>
            <w:shd w:val="clear" w:color="auto" w:fill="CFF0FC"/>
          </w:tcPr>
          <w:p>
            <w:pPr>
              <w:jc w:val="center"/>
              <w:ind w:right="79"/>
              <w:spacing w:after="0"/>
              <w:rPr>
                <w:sz w:val="20"/>
                <w:szCs w:val="20"/>
                <w:color w:val="auto"/>
              </w:rPr>
            </w:pPr>
            <w:r>
              <w:rPr>
                <w:rFonts w:ascii="Arial" w:cs="Arial" w:eastAsia="Arial" w:hAnsi="Arial"/>
                <w:sz w:val="16"/>
                <w:szCs w:val="16"/>
                <w:color w:val="auto"/>
                <w:w w:val="94"/>
              </w:rPr>
              <w:t>Appraisal of collateral</w:t>
            </w:r>
          </w:p>
        </w:tc>
        <w:tc>
          <w:tcPr>
            <w:tcW w:w="51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Appraisal Adjustments</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 - 35%</w:t>
            </w:r>
          </w:p>
        </w:tc>
        <w:tc>
          <w:tcPr>
            <w:tcW w:w="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(17%)</w:t>
            </w:r>
          </w:p>
        </w:tc>
      </w:tr>
      <w:tr>
        <w:trPr>
          <w:trHeight w:val="220"/>
        </w:trPr>
        <w:tc>
          <w:tcPr>
            <w:tcW w:w="1980" w:type="dxa"/>
            <w:vAlign w:val="bottom"/>
          </w:tcPr>
          <w:p>
            <w:pPr>
              <w:spacing w:after="0"/>
              <w:rPr>
                <w:sz w:val="19"/>
                <w:szCs w:val="19"/>
                <w:color w:val="auto"/>
              </w:rPr>
            </w:pPr>
          </w:p>
        </w:tc>
        <w:tc>
          <w:tcPr>
            <w:tcW w:w="2280" w:type="dxa"/>
            <w:vAlign w:val="bottom"/>
          </w:tcPr>
          <w:p>
            <w:pPr>
              <w:jc w:val="center"/>
              <w:ind w:right="79"/>
              <w:spacing w:after="0"/>
              <w:rPr>
                <w:sz w:val="20"/>
                <w:szCs w:val="20"/>
                <w:color w:val="auto"/>
              </w:rPr>
            </w:pPr>
            <w:r>
              <w:rPr>
                <w:rFonts w:ascii="Arial" w:cs="Arial" w:eastAsia="Arial" w:hAnsi="Arial"/>
                <w:sz w:val="16"/>
                <w:szCs w:val="16"/>
                <w:color w:val="auto"/>
                <w:w w:val="90"/>
              </w:rPr>
              <w:t>(Sales Approach)</w:t>
            </w:r>
          </w:p>
        </w:tc>
        <w:tc>
          <w:tcPr>
            <w:tcW w:w="5140" w:type="dxa"/>
            <w:vAlign w:val="bottom"/>
          </w:tcPr>
          <w:p>
            <w:pPr>
              <w:jc w:val="center"/>
              <w:spacing w:after="0"/>
              <w:rPr>
                <w:sz w:val="20"/>
                <w:szCs w:val="20"/>
                <w:color w:val="auto"/>
              </w:rPr>
            </w:pPr>
            <w:r>
              <w:rPr>
                <w:rFonts w:ascii="Arial" w:cs="Arial" w:eastAsia="Arial" w:hAnsi="Arial"/>
                <w:sz w:val="16"/>
                <w:szCs w:val="16"/>
                <w:color w:val="auto"/>
                <w:w w:val="91"/>
              </w:rPr>
              <w:t>Costs to Sell</w:t>
            </w:r>
          </w:p>
        </w:tc>
        <w:tc>
          <w:tcPr>
            <w:tcW w:w="1140" w:type="dxa"/>
            <w:vAlign w:val="bottom"/>
          </w:tcPr>
          <w:p>
            <w:pPr>
              <w:jc w:val="right"/>
              <w:spacing w:after="0"/>
              <w:rPr>
                <w:sz w:val="20"/>
                <w:szCs w:val="20"/>
                <w:color w:val="auto"/>
              </w:rPr>
            </w:pPr>
            <w:r>
              <w:rPr>
                <w:rFonts w:ascii="Arial" w:cs="Arial" w:eastAsia="Arial" w:hAnsi="Arial"/>
                <w:sz w:val="16"/>
                <w:szCs w:val="16"/>
                <w:color w:val="auto"/>
              </w:rPr>
              <w:t>7% - 14%</w:t>
            </w:r>
          </w:p>
        </w:tc>
        <w:tc>
          <w:tcPr>
            <w:tcW w:w="700" w:type="dxa"/>
            <w:vAlign w:val="bottom"/>
          </w:tcPr>
          <w:p>
            <w:pPr>
              <w:ind w:left="20"/>
              <w:spacing w:after="0"/>
              <w:rPr>
                <w:sz w:val="20"/>
                <w:szCs w:val="20"/>
                <w:color w:val="auto"/>
              </w:rPr>
            </w:pPr>
            <w:r>
              <w:rPr>
                <w:rFonts w:ascii="Arial" w:cs="Arial" w:eastAsia="Arial" w:hAnsi="Arial"/>
                <w:sz w:val="16"/>
                <w:szCs w:val="16"/>
                <w:color w:val="auto"/>
              </w:rPr>
              <w:t>(12%)</w:t>
            </w:r>
          </w:p>
        </w:tc>
      </w:tr>
      <w:tr>
        <w:trPr>
          <w:trHeight w:val="233"/>
        </w:trPr>
        <w:tc>
          <w:tcPr>
            <w:tcW w:w="1980" w:type="dxa"/>
            <w:vAlign w:val="bottom"/>
            <w:tcBorders>
              <w:bottom w:val="single" w:sz="8" w:color="auto"/>
            </w:tcBorders>
            <w:shd w:val="clear" w:color="auto" w:fill="CFF0FC"/>
          </w:tcPr>
          <w:p>
            <w:pPr>
              <w:spacing w:after="0"/>
              <w:rPr>
                <w:sz w:val="20"/>
                <w:szCs w:val="20"/>
                <w:color w:val="auto"/>
              </w:rPr>
            </w:pPr>
          </w:p>
        </w:tc>
        <w:tc>
          <w:tcPr>
            <w:tcW w:w="2280" w:type="dxa"/>
            <w:vAlign w:val="bottom"/>
            <w:tcBorders>
              <w:bottom w:val="single" w:sz="8" w:color="auto"/>
            </w:tcBorders>
            <w:shd w:val="clear" w:color="auto" w:fill="CFF0FC"/>
          </w:tcPr>
          <w:p>
            <w:pPr>
              <w:jc w:val="center"/>
              <w:ind w:right="79"/>
              <w:spacing w:after="0"/>
              <w:rPr>
                <w:sz w:val="20"/>
                <w:szCs w:val="20"/>
                <w:color w:val="auto"/>
              </w:rPr>
            </w:pPr>
            <w:r>
              <w:rPr>
                <w:rFonts w:ascii="Arial" w:cs="Arial" w:eastAsia="Arial" w:hAnsi="Arial"/>
                <w:sz w:val="16"/>
                <w:szCs w:val="16"/>
                <w:color w:val="auto"/>
                <w:w w:val="92"/>
              </w:rPr>
              <w:t>Discounted Cash Flow</w:t>
            </w:r>
          </w:p>
        </w:tc>
        <w:tc>
          <w:tcPr>
            <w:tcW w:w="5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r>
      <w:tr>
        <w:trPr>
          <w:trHeight w:val="230"/>
        </w:trPr>
        <w:tc>
          <w:tcPr>
            <w:tcW w:w="19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840" w:type="dxa"/>
            <w:vAlign w:val="bottom"/>
            <w:gridSpan w:val="2"/>
          </w:tcPr>
          <w:p>
            <w:pPr>
              <w:spacing w:after="0"/>
              <w:rPr>
                <w:sz w:val="19"/>
                <w:szCs w:val="19"/>
                <w:color w:val="auto"/>
              </w:rPr>
            </w:pPr>
          </w:p>
        </w:tc>
      </w:tr>
      <w:tr>
        <w:trPr>
          <w:trHeight w:val="229"/>
        </w:trPr>
        <w:tc>
          <w:tcPr>
            <w:tcW w:w="1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Foreclosed real estate</w:t>
            </w:r>
          </w:p>
        </w:tc>
        <w:tc>
          <w:tcPr>
            <w:tcW w:w="2280" w:type="dxa"/>
            <w:vAlign w:val="bottom"/>
            <w:shd w:val="clear" w:color="auto" w:fill="CFF0FC"/>
          </w:tcPr>
          <w:p>
            <w:pPr>
              <w:jc w:val="center"/>
              <w:ind w:right="79"/>
              <w:spacing w:after="0"/>
              <w:rPr>
                <w:sz w:val="20"/>
                <w:szCs w:val="20"/>
                <w:color w:val="auto"/>
              </w:rPr>
            </w:pPr>
            <w:r>
              <w:rPr>
                <w:rFonts w:ascii="Arial" w:cs="Arial" w:eastAsia="Arial" w:hAnsi="Arial"/>
                <w:sz w:val="16"/>
                <w:szCs w:val="16"/>
                <w:color w:val="auto"/>
                <w:w w:val="94"/>
              </w:rPr>
              <w:t>Appraisal of collateral</w:t>
            </w:r>
          </w:p>
        </w:tc>
        <w:tc>
          <w:tcPr>
            <w:tcW w:w="51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Appraisal Adjustments</w:t>
            </w:r>
          </w:p>
        </w:tc>
        <w:tc>
          <w:tcPr>
            <w:tcW w:w="1840" w:type="dxa"/>
            <w:vAlign w:val="bottom"/>
            <w:gridSpan w:val="2"/>
            <w:shd w:val="clear" w:color="auto" w:fill="CFF0FC"/>
          </w:tcPr>
          <w:p>
            <w:pPr>
              <w:jc w:val="center"/>
              <w:ind w:left="99"/>
              <w:spacing w:after="0"/>
              <w:rPr>
                <w:sz w:val="20"/>
                <w:szCs w:val="20"/>
                <w:color w:val="auto"/>
              </w:rPr>
            </w:pPr>
            <w:r>
              <w:rPr>
                <w:rFonts w:ascii="Arial" w:cs="Arial" w:eastAsia="Arial" w:hAnsi="Arial"/>
                <w:sz w:val="16"/>
                <w:szCs w:val="16"/>
                <w:color w:val="auto"/>
                <w:w w:val="94"/>
              </w:rPr>
              <w:t>15% - 15% (15%)</w:t>
            </w:r>
          </w:p>
        </w:tc>
      </w:tr>
      <w:tr>
        <w:trPr>
          <w:trHeight w:val="223"/>
        </w:trPr>
        <w:tc>
          <w:tcPr>
            <w:tcW w:w="19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0"/>
              </w:rPr>
              <w:t>(Sales Approach)</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Costs to Sell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- 9%</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(8%)</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transfers of assets into or out of any fair value measurement level during the three months ended March 31, 2023.</w:t>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Required disclosures include fair value information of financial instruments, whether or not recognized in the consolidated statement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13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 estimated fair values of these financial instruments subsequent to the respective reporting dates may be different than the amounts reported at each period-end.</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Under FASB ASC Topic 820 for Fair Value Measurements and Disclosures, the financial assets and liabilities were valued at a price that represents the Company’s exit price or the price at which these instruments would be sold or transferred.</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 – The carrying amounts of these assets approximate their fair value and are classified as Level 1.</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Federal Home Loan Bank stock – The carrying amount of these assets approximates their fair value and are classified as Level 2.</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Net loans – For variable-rate loans that re-price frequently, fair value is based on carrying amounts. The fair value of other loans (for example, fixed-rate commercial real estate loans, mortgage loans, and commercial and industrial loans) is</w:t>
      </w: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34</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4" w:name="page35"/>
    <w:bookmarkEnd w:id="34"/>
    <w:p>
      <w:pPr>
        <w:jc w:val="both"/>
        <w:spacing w:after="0" w:line="269" w:lineRule="auto"/>
        <w:rPr>
          <w:sz w:val="20"/>
          <w:szCs w:val="20"/>
          <w:color w:val="auto"/>
        </w:rPr>
      </w:pPr>
      <w:r>
        <w:rPr>
          <w:rFonts w:ascii="Arial" w:cs="Arial" w:eastAsia="Arial" w:hAnsi="Arial"/>
          <w:sz w:val="19"/>
          <w:szCs w:val="19"/>
          <w:color w:val="auto"/>
        </w:rPr>
        <w:t>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impaired loans, is classified within Level 3 of the fair value hierarchy.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receivable and payable – The carrying amount of these assets approximates their fair value and are classified as Level 1.</w:t>
      </w:r>
    </w:p>
    <w:p>
      <w:pPr>
        <w:spacing w:after="0" w:line="22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Deposits – The fair values disclosed for demand deposits (e.g., interest-bearing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 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Borrowings – Fixed/variable term “bullet”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fair values of the Company’s financial instruments as of the indicated dates are presented in the following table:</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20"/>
          <w:szCs w:val="20"/>
          <w:color w:val="auto"/>
        </w:rPr>
        <w:t>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March 31, 2023</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December 31, 2022</w:t>
            </w:r>
          </w:p>
        </w:tc>
      </w:tr>
      <w:tr>
        <w:trPr>
          <w:trHeight w:val="230"/>
        </w:trPr>
        <w:tc>
          <w:tcPr>
            <w:tcW w:w="4500" w:type="dxa"/>
            <w:vAlign w:val="bottom"/>
          </w:tcPr>
          <w:p>
            <w:pPr>
              <w:spacing w:after="0"/>
              <w:rPr>
                <w:sz w:val="20"/>
                <w:szCs w:val="20"/>
                <w:color w:val="auto"/>
              </w:rPr>
            </w:pP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0"/>
              </w:rPr>
              <w:t>Fair Value</w:t>
            </w:r>
          </w:p>
        </w:tc>
        <w:tc>
          <w:tcPr>
            <w:tcW w:w="3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Estimated</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Carrying</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Estimated</w:t>
            </w:r>
          </w:p>
        </w:tc>
      </w:tr>
      <w:tr>
        <w:trPr>
          <w:trHeight w:val="249"/>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Hierarchy</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Fair Values</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Fair Values</w:t>
            </w:r>
          </w:p>
        </w:tc>
      </w:tr>
      <w:tr>
        <w:trPr>
          <w:trHeight w:val="24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32,321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32,321</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35,282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35,282</w:t>
            </w: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 available-for-sale</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182,114</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182,114</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186,757</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186,757</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Investment securities - available-for-sale</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NAV</w:t>
            </w:r>
          </w:p>
        </w:tc>
        <w:tc>
          <w:tcPr>
            <w:tcW w:w="3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4,665</w:t>
            </w:r>
          </w:p>
        </w:tc>
        <w:tc>
          <w:tcPr>
            <w:tcW w:w="2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4,665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4,763</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4,763</w:t>
            </w: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 marketable equity</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NAV</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2,126</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2,126</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1,862</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Investment securities - held-to-maturity</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201,666</w:t>
            </w:r>
          </w:p>
        </w:tc>
        <w:tc>
          <w:tcPr>
            <w:tcW w:w="2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189,622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194,402</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181,491</w:t>
            </w: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Home Loan Bank stock</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5,226</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5,226</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5,982</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5,982</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Net loans</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891,283</w:t>
            </w:r>
          </w:p>
        </w:tc>
        <w:tc>
          <w:tcPr>
            <w:tcW w:w="2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850,245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882,435</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844,892</w:t>
            </w: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 receivable</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5,625</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5,625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6,168</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6,168</w:t>
            </w:r>
          </w:p>
        </w:tc>
      </w:tr>
      <w:tr>
        <w:trPr>
          <w:trHeight w:val="215"/>
        </w:trPr>
        <w:tc>
          <w:tcPr>
            <w:tcW w:w="4500" w:type="dxa"/>
            <w:vAlign w:val="bottom"/>
          </w:tcPr>
          <w:p>
            <w:pPr>
              <w:ind w:left="20"/>
              <w:spacing w:after="0"/>
              <w:rPr>
                <w:sz w:val="20"/>
                <w:szCs w:val="20"/>
                <w:color w:val="auto"/>
              </w:rPr>
            </w:pPr>
            <w:r>
              <w:rPr>
                <w:rFonts w:ascii="Arial" w:cs="Arial" w:eastAsia="Arial" w:hAnsi="Arial"/>
                <w:sz w:val="18"/>
                <w:szCs w:val="18"/>
                <w:color w:val="auto"/>
                <w:w w:val="97"/>
              </w:rPr>
              <w:t>Interest rate derivative fair value hedges receivable - AFS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5,237</w:t>
            </w:r>
          </w:p>
        </w:tc>
        <w:tc>
          <w:tcPr>
            <w:tcW w:w="2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5,237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8,240</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8,240</w:t>
            </w:r>
          </w:p>
        </w:tc>
      </w:tr>
      <w:tr>
        <w:trPr>
          <w:trHeight w:val="243"/>
        </w:trPr>
        <w:tc>
          <w:tcPr>
            <w:tcW w:w="45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5"/>
              </w:rPr>
              <w:t>Interest rate derivative fair value hedges receivable - loans</w:t>
            </w:r>
          </w:p>
        </w:tc>
        <w:tc>
          <w:tcPr>
            <w:tcW w:w="14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1,178</w:t>
            </w: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1,178</w:t>
            </w:r>
          </w:p>
        </w:tc>
        <w:tc>
          <w:tcPr>
            <w:tcW w:w="1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1,477</w:t>
            </w:r>
          </w:p>
        </w:tc>
      </w:tr>
      <w:tr>
        <w:trPr>
          <w:trHeight w:val="243"/>
        </w:trPr>
        <w:tc>
          <w:tcPr>
            <w:tcW w:w="4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liabilities:</w:t>
            </w: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Demand Deposits, Savings, NOW and MMDA</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683,533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683,533</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699,624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699,624</w:t>
            </w: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 Deposits</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460,729</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452,342</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425,806</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393,676</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99,205</w:t>
            </w:r>
          </w:p>
        </w:tc>
        <w:tc>
          <w:tcPr>
            <w:tcW w:w="2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96,607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115,997</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112,877</w:t>
            </w: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Subordinated debt</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29,777</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22,000</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29,733</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27,378</w:t>
            </w:r>
          </w:p>
        </w:tc>
      </w:tr>
      <w:tr>
        <w:trPr>
          <w:trHeight w:val="215"/>
        </w:trPr>
        <w:tc>
          <w:tcPr>
            <w:tcW w:w="4500" w:type="dxa"/>
            <w:vAlign w:val="bottom"/>
          </w:tcPr>
          <w:p>
            <w:pPr>
              <w:ind w:left="20"/>
              <w:spacing w:after="0"/>
              <w:rPr>
                <w:sz w:val="20"/>
                <w:szCs w:val="20"/>
                <w:color w:val="auto"/>
              </w:rPr>
            </w:pPr>
            <w:r>
              <w:rPr>
                <w:rFonts w:ascii="Arial" w:cs="Arial" w:eastAsia="Arial" w:hAnsi="Arial"/>
                <w:sz w:val="18"/>
                <w:szCs w:val="18"/>
                <w:color w:val="auto"/>
              </w:rPr>
              <w:t>Interest rate swap derivative cash flow hedge (payable)</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receivable</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(99 )</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519</w:t>
            </w:r>
          </w:p>
        </w:tc>
      </w:tr>
      <w:tr>
        <w:trPr>
          <w:trHeight w:val="243"/>
        </w:trPr>
        <w:tc>
          <w:tcPr>
            <w:tcW w:w="45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Accrued interest payable</w:t>
            </w:r>
          </w:p>
        </w:tc>
        <w:tc>
          <w:tcPr>
            <w:tcW w:w="14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1,520</w:t>
            </w: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1,520</w:t>
            </w:r>
          </w:p>
        </w:tc>
        <w:tc>
          <w:tcPr>
            <w:tcW w:w="1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975</w:t>
            </w:r>
          </w:p>
        </w:tc>
      </w:tr>
      <w:tr>
        <w:trPr>
          <w:trHeight w:val="432"/>
        </w:trPr>
        <w:tc>
          <w:tcPr>
            <w:tcW w:w="4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35</w:t>
            </w:r>
            <w:r>
              <w:rPr>
                <w:rFonts w:ascii="Arial" w:cs="Arial" w:eastAsia="Arial" w:hAnsi="Arial"/>
                <w:sz w:val="18"/>
                <w:szCs w:val="18"/>
                <w:color w:val="auto"/>
              </w:rPr>
              <w:t xml:space="preserve"> -</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Note 11:  Interest Rate Derivatives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 is exposed to certain risks from both its business operations and changes in economic conditions. As part of managing interest rate risk, the Company enters into standardized interest rate derivative contracts (designated as hedging agreements) to modify the repricing characteristics of certain portions of the Company’s portfolios of earning assets and interest-bearing liabilities. The Company designates interest rate hedging agreements utilized in the management of interest rate risk as either fair value hedges or cash flow hedges. Interest rate hedging agreements are entered into with counterparties that meet the Company's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March 31, 2023. Interest rate hedging agreements are recorded at fair value as other assets or liabilities. The Company had no material derivative contracts not designated as hedging agreements at March 31, 2023 or December 31, 2022.</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a result of interest rate fluctuations, fixed-rate assets and liabilities will appreciate or depreciate in fair value. When effectively hedged, this appreciation or depreciation will generally be offset by changes in the fair value of derivative instruments that are linked to the hedged assets and liabilities. This strategy is referred to as a fair value hedge. In a fair value hedge, the fair value of the derivative (the interest rate hedging agreement) and changes in the fair value of the hedged item are recorded in the Company’s consolidated balance sheet with the corresponding gain or loss recognized in current earnings. The difference between changes in the fair value of the interest rate hedging agreements and the hedged items represents hedge ineffectiveness and is recorded as an adjustment to the interest income or interest expense of the respective hedged item.</w:t>
      </w:r>
    </w:p>
    <w:p>
      <w:pPr>
        <w:spacing w:after="0" w:line="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a cash flow hedge.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w:t>
      </w:r>
    </w:p>
    <w:p>
      <w:pPr>
        <w:spacing w:after="0" w:line="8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strategy. Interest rate swaps involve the receipt of variable amounts from a counterparty in exchange for the Company making fixed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decrease in interest rates below the strike price.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36</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6" w:name="page37"/>
    <w:bookmarkEnd w:id="36"/>
    <w:p>
      <w:pPr>
        <w:jc w:val="both"/>
        <w:spacing w:after="0" w:line="291" w:lineRule="auto"/>
        <w:rPr>
          <w:sz w:val="20"/>
          <w:szCs w:val="20"/>
          <w:color w:val="auto"/>
        </w:rPr>
      </w:pPr>
      <w:r>
        <w:rPr>
          <w:rFonts w:ascii="Arial" w:cs="Arial" w:eastAsia="Arial" w:hAnsi="Arial"/>
          <w:sz w:val="18"/>
          <w:szCs w:val="18"/>
          <w:color w:val="auto"/>
        </w:rPr>
        <w:t>The Company records various hedges in the consolidated statements of condition at fair value. The Company’s accounting treatment for these derivative instruments is based on the instruments hedge designation determined at the inception of each derivative instrument's contractual term. The following tables show the Company’s outstanding fair value hedges at March 31, 2023 and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80" w:type="dxa"/>
            <w:vAlign w:val="bottom"/>
            <w:gridSpan w:val="2"/>
          </w:tcPr>
          <w:p>
            <w:pPr>
              <w:jc w:val="center"/>
              <w:ind w:right="110"/>
              <w:spacing w:after="0"/>
              <w:rPr>
                <w:sz w:val="20"/>
                <w:szCs w:val="20"/>
                <w:color w:val="auto"/>
              </w:rPr>
            </w:pPr>
            <w:r>
              <w:rPr>
                <w:rFonts w:ascii="Arial" w:cs="Arial" w:eastAsia="Arial" w:hAnsi="Arial"/>
                <w:sz w:val="18"/>
                <w:szCs w:val="18"/>
                <w:color w:val="auto"/>
                <w:w w:val="93"/>
              </w:rPr>
              <w:t>Cumulative Amount of</w:t>
            </w: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3"/>
              </w:rPr>
              <w:t>Cumulative Amount of</w:t>
            </w:r>
          </w:p>
        </w:tc>
      </w:tr>
      <w:tr>
        <w:trPr>
          <w:trHeight w:val="216"/>
        </w:trPr>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center"/>
              <w:ind w:right="230"/>
              <w:spacing w:after="0"/>
              <w:rPr>
                <w:sz w:val="20"/>
                <w:szCs w:val="20"/>
                <w:color w:val="auto"/>
              </w:rPr>
            </w:pPr>
            <w:r>
              <w:rPr>
                <w:rFonts w:ascii="Arial" w:cs="Arial" w:eastAsia="Arial" w:hAnsi="Arial"/>
                <w:sz w:val="18"/>
                <w:szCs w:val="18"/>
                <w:color w:val="auto"/>
                <w:w w:val="90"/>
              </w:rPr>
              <w:t>Fair Value Hedging</w:t>
            </w: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jc w:val="center"/>
              <w:ind w:right="250"/>
              <w:spacing w:after="0"/>
              <w:rPr>
                <w:sz w:val="20"/>
                <w:szCs w:val="20"/>
                <w:color w:val="auto"/>
              </w:rPr>
            </w:pPr>
            <w:r>
              <w:rPr>
                <w:rFonts w:ascii="Arial" w:cs="Arial" w:eastAsia="Arial" w:hAnsi="Arial"/>
                <w:sz w:val="18"/>
                <w:szCs w:val="18"/>
                <w:color w:val="auto"/>
                <w:w w:val="90"/>
              </w:rPr>
              <w:t>Fair Value Hedging</w:t>
            </w:r>
          </w:p>
        </w:tc>
      </w:tr>
      <w:tr>
        <w:trPr>
          <w:trHeight w:val="216"/>
        </w:trPr>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center"/>
              <w:ind w:right="210"/>
              <w:spacing w:after="0"/>
              <w:rPr>
                <w:sz w:val="20"/>
                <w:szCs w:val="20"/>
                <w:color w:val="auto"/>
              </w:rPr>
            </w:pPr>
            <w:r>
              <w:rPr>
                <w:rFonts w:ascii="Arial" w:cs="Arial" w:eastAsia="Arial" w:hAnsi="Arial"/>
                <w:sz w:val="18"/>
                <w:szCs w:val="18"/>
                <w:color w:val="auto"/>
                <w:w w:val="91"/>
              </w:rPr>
              <w:t>Gains Included in the</w:t>
            </w: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1"/>
              </w:rPr>
              <w:t>Gains Included in The</w:t>
            </w:r>
          </w:p>
        </w:tc>
      </w:tr>
      <w:tr>
        <w:trPr>
          <w:trHeight w:val="216"/>
        </w:trPr>
        <w:tc>
          <w:tcPr>
            <w:tcW w:w="2520" w:type="dxa"/>
            <w:vAlign w:val="bottom"/>
          </w:tcPr>
          <w:p>
            <w:pPr>
              <w:spacing w:after="0"/>
              <w:rPr>
                <w:sz w:val="18"/>
                <w:szCs w:val="18"/>
                <w:color w:val="auto"/>
              </w:rPr>
            </w:pPr>
          </w:p>
        </w:tc>
        <w:tc>
          <w:tcPr>
            <w:tcW w:w="2440" w:type="dxa"/>
            <w:vAlign w:val="bottom"/>
            <w:gridSpan w:val="2"/>
          </w:tcPr>
          <w:p>
            <w:pPr>
              <w:ind w:left="300"/>
              <w:spacing w:after="0"/>
              <w:rPr>
                <w:sz w:val="20"/>
                <w:szCs w:val="20"/>
                <w:color w:val="auto"/>
              </w:rPr>
            </w:pPr>
            <w:r>
              <w:rPr>
                <w:rFonts w:ascii="Arial" w:cs="Arial" w:eastAsia="Arial" w:hAnsi="Arial"/>
                <w:sz w:val="18"/>
                <w:szCs w:val="18"/>
                <w:color w:val="auto"/>
              </w:rPr>
              <w:t>Carrying Amount of the</w:t>
            </w:r>
          </w:p>
        </w:tc>
        <w:tc>
          <w:tcPr>
            <w:tcW w:w="1980" w:type="dxa"/>
            <w:vAlign w:val="bottom"/>
            <w:gridSpan w:val="2"/>
          </w:tcPr>
          <w:p>
            <w:pPr>
              <w:jc w:val="center"/>
              <w:ind w:right="130"/>
              <w:spacing w:after="0"/>
              <w:rPr>
                <w:sz w:val="20"/>
                <w:szCs w:val="20"/>
                <w:color w:val="auto"/>
              </w:rPr>
            </w:pPr>
            <w:r>
              <w:rPr>
                <w:rFonts w:ascii="Arial" w:cs="Arial" w:eastAsia="Arial" w:hAnsi="Arial"/>
                <w:sz w:val="18"/>
                <w:szCs w:val="18"/>
                <w:color w:val="auto"/>
                <w:w w:val="92"/>
              </w:rPr>
              <w:t>Carrying Amount of the</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2"/>
              </w:rPr>
              <w:t>Carrying Amount of the</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Carrying Amount of the</w:t>
            </w:r>
          </w:p>
        </w:tc>
      </w:tr>
      <w:tr>
        <w:trPr>
          <w:trHeight w:val="216"/>
        </w:trPr>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Pr>
          <w:p>
            <w:pPr>
              <w:jc w:val="right"/>
              <w:ind w:right="570"/>
              <w:spacing w:after="0"/>
              <w:rPr>
                <w:sz w:val="20"/>
                <w:szCs w:val="20"/>
                <w:color w:val="auto"/>
              </w:rPr>
            </w:pPr>
            <w:r>
              <w:rPr>
                <w:rFonts w:ascii="Arial" w:cs="Arial" w:eastAsia="Arial" w:hAnsi="Arial"/>
                <w:sz w:val="18"/>
                <w:szCs w:val="18"/>
                <w:color w:val="auto"/>
                <w:w w:val="91"/>
              </w:rPr>
              <w:t>Hedged Assets at</w:t>
            </w:r>
          </w:p>
        </w:tc>
        <w:tc>
          <w:tcPr>
            <w:tcW w:w="1980" w:type="dxa"/>
            <w:vAlign w:val="bottom"/>
            <w:gridSpan w:val="2"/>
          </w:tcPr>
          <w:p>
            <w:pPr>
              <w:jc w:val="center"/>
              <w:ind w:right="130"/>
              <w:spacing w:after="0"/>
              <w:rPr>
                <w:sz w:val="20"/>
                <w:szCs w:val="20"/>
                <w:color w:val="auto"/>
              </w:rPr>
            </w:pPr>
            <w:r>
              <w:rPr>
                <w:rFonts w:ascii="Arial" w:cs="Arial" w:eastAsia="Arial" w:hAnsi="Arial"/>
                <w:sz w:val="18"/>
                <w:szCs w:val="18"/>
                <w:color w:val="auto"/>
                <w:w w:val="89"/>
              </w:rPr>
              <w:t>Hedged Assets at March</w:t>
            </w:r>
          </w:p>
        </w:tc>
        <w:tc>
          <w:tcPr>
            <w:tcW w:w="320" w:type="dxa"/>
            <w:vAlign w:val="bottom"/>
          </w:tcPr>
          <w:p>
            <w:pPr>
              <w:spacing w:after="0"/>
              <w:rPr>
                <w:sz w:val="18"/>
                <w:szCs w:val="18"/>
                <w:color w:val="auto"/>
              </w:rPr>
            </w:pPr>
          </w:p>
        </w:tc>
        <w:tc>
          <w:tcPr>
            <w:tcW w:w="1840" w:type="dxa"/>
            <w:vAlign w:val="bottom"/>
          </w:tcPr>
          <w:p>
            <w:pPr>
              <w:jc w:val="center"/>
              <w:ind w:right="270"/>
              <w:spacing w:after="0"/>
              <w:rPr>
                <w:sz w:val="20"/>
                <w:szCs w:val="20"/>
                <w:color w:val="auto"/>
              </w:rPr>
            </w:pPr>
            <w:r>
              <w:rPr>
                <w:rFonts w:ascii="Arial" w:cs="Arial" w:eastAsia="Arial" w:hAnsi="Arial"/>
                <w:sz w:val="18"/>
                <w:szCs w:val="18"/>
                <w:color w:val="auto"/>
                <w:w w:val="87"/>
              </w:rPr>
              <w:t>Hedged Assets at</w:t>
            </w:r>
          </w:p>
        </w:tc>
        <w:tc>
          <w:tcPr>
            <w:tcW w:w="320" w:type="dxa"/>
            <w:vAlign w:val="bottom"/>
          </w:tcPr>
          <w:p>
            <w:pPr>
              <w:spacing w:after="0"/>
              <w:rPr>
                <w:sz w:val="18"/>
                <w:szCs w:val="18"/>
                <w:color w:val="auto"/>
              </w:rPr>
            </w:pPr>
          </w:p>
        </w:tc>
        <w:tc>
          <w:tcPr>
            <w:tcW w:w="1820" w:type="dxa"/>
            <w:vAlign w:val="bottom"/>
          </w:tcPr>
          <w:p>
            <w:pPr>
              <w:jc w:val="center"/>
              <w:ind w:right="250"/>
              <w:spacing w:after="0"/>
              <w:rPr>
                <w:sz w:val="20"/>
                <w:szCs w:val="20"/>
                <w:color w:val="auto"/>
              </w:rPr>
            </w:pPr>
            <w:r>
              <w:rPr>
                <w:rFonts w:ascii="Arial" w:cs="Arial" w:eastAsia="Arial" w:hAnsi="Arial"/>
                <w:sz w:val="18"/>
                <w:szCs w:val="18"/>
                <w:color w:val="auto"/>
                <w:w w:val="87"/>
              </w:rPr>
              <w:t>Hedged Assets at</w:t>
            </w:r>
          </w:p>
        </w:tc>
      </w:tr>
      <w:tr>
        <w:trPr>
          <w:trHeight w:val="237"/>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March 31, 2023</w:t>
            </w: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31, 2023</w:t>
            </w: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December 31, 2022</w:t>
            </w: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December 31, 2022</w:t>
            </w:r>
          </w:p>
        </w:tc>
      </w:tr>
      <w:tr>
        <w:trPr>
          <w:trHeight w:val="220"/>
        </w:trPr>
        <w:tc>
          <w:tcPr>
            <w:tcW w:w="4960" w:type="dxa"/>
            <w:vAlign w:val="bottom"/>
            <w:gridSpan w:val="3"/>
          </w:tcPr>
          <w:p>
            <w:pPr>
              <w:ind w:left="20"/>
              <w:spacing w:after="0"/>
              <w:rPr>
                <w:sz w:val="20"/>
                <w:szCs w:val="20"/>
                <w:color w:val="auto"/>
              </w:rPr>
            </w:pPr>
            <w:r>
              <w:rPr>
                <w:rFonts w:ascii="Arial" w:cs="Arial" w:eastAsia="Arial" w:hAnsi="Arial"/>
                <w:sz w:val="18"/>
                <w:szCs w:val="18"/>
                <w:i w:val="1"/>
                <w:iCs w:val="1"/>
                <w:color w:val="auto"/>
                <w:w w:val="90"/>
              </w:rPr>
              <w:t>Line item on the balance sheet in which the hedged item is included:</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66"/>
        </w:trPr>
        <w:tc>
          <w:tcPr>
            <w:tcW w:w="2520" w:type="dxa"/>
            <w:vAlign w:val="bottom"/>
          </w:tcPr>
          <w:p>
            <w:pPr>
              <w:ind w:left="20"/>
              <w:spacing w:after="0" w:line="266"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4"/>
                <w:szCs w:val="24"/>
                <w:color w:val="auto"/>
                <w:vertAlign w:val="superscript"/>
              </w:rPr>
              <w:t>(1)</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56,017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5,237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68,741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8,240</w:t>
            </w:r>
          </w:p>
        </w:tc>
      </w:tr>
      <w:tr>
        <w:trPr>
          <w:trHeight w:val="243"/>
        </w:trPr>
        <w:tc>
          <w:tcPr>
            <w:tcW w:w="252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Loans receivable </w:t>
            </w:r>
            <w:r>
              <w:rPr>
                <w:rFonts w:ascii="Arial" w:cs="Arial" w:eastAsia="Arial" w:hAnsi="Arial"/>
                <w:sz w:val="24"/>
                <w:szCs w:val="24"/>
                <w:color w:val="auto"/>
                <w:vertAlign w:val="superscript"/>
              </w:rPr>
              <w:t>(2)</w:t>
            </w:r>
          </w:p>
        </w:tc>
        <w:tc>
          <w:tcPr>
            <w:tcW w:w="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36,701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1,178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37,196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1,477</w:t>
            </w:r>
          </w:p>
        </w:tc>
      </w:tr>
    </w:tbl>
    <w:p>
      <w:pPr>
        <w:spacing w:after="0" w:line="193" w:lineRule="exact"/>
        <w:rPr>
          <w:sz w:val="20"/>
          <w:szCs w:val="20"/>
          <w:color w:val="auto"/>
        </w:rPr>
      </w:pPr>
    </w:p>
    <w:p>
      <w:pPr>
        <w:jc w:val="both"/>
        <w:ind w:left="760" w:hanging="374"/>
        <w:spacing w:after="0" w:line="243" w:lineRule="auto"/>
        <w:tabs>
          <w:tab w:leader="none" w:pos="76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These amounts represent the amortized cost basis of specifically identified municipal securities designated as the underlying assets for the hedging relationship. The notional amount of the designated hedged item was $56.0 million and $68.7 million at March 31, 2023 and December 31, 2022, respectively. The fair value of the derivative resulted in a net asset position of $5.2 million and $8.2 million recorded by the Company in other assets at March 31, 2023 and December 31, 2022.</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jc w:val="both"/>
        <w:ind w:left="760" w:hanging="374"/>
        <w:spacing w:after="0" w:line="262" w:lineRule="auto"/>
        <w:tabs>
          <w:tab w:leader="none" w:pos="76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These amounts include the amortized cost of a specific loan pool designated as the underlying asset for the hedging relationship in which the hedged item is the underlying asset's amortized cost (last layer) projected to be remaining at the end of the contractual term of the hedging instrument. The amount of the designated hedged item was $36.7 million and $37.2 million as of March 31, 2023 and December 31, 2022, respectively. At March 31, 2023, the fair value of the derivative resulted in a net asset position of $1.2 million recorded by the Company in other assets.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hedging contracts noted above, accounted for as fair value hedges, increased the yield on investment securities and loans by 0.18% and 0.09%, respectively, in the three months ended March 31, 2023. The hedging contracts noted above, accounted for as fair value hedges, decreased the yield on investment securities and loans by 0.02% and 0.02%, respectively, in the three months ended March 31, 2022.</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hedge transactions increased the net income effects of the Bank's fair value and cash flow hedges for the three months ended March 31, 2023 and March 31, 2022, respectively, along with the net fair value position of the hedges at March 31, 2023 and March 31, 2022, respectively.</w:t>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Hedges</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Three Months Ended March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Average Notional</w:t>
            </w:r>
          </w:p>
        </w:tc>
        <w:tc>
          <w:tcPr>
            <w:tcW w:w="1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Period Ending Notional</w:t>
            </w:r>
          </w:p>
        </w:tc>
        <w:tc>
          <w:tcPr>
            <w:tcW w:w="26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1"/>
              </w:rPr>
              <w:t>Net Cash Received (Paid)</w:t>
            </w:r>
          </w:p>
        </w:tc>
        <w:tc>
          <w:tcPr>
            <w:tcW w:w="18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Fair Value Receivable</w:t>
            </w:r>
          </w:p>
        </w:tc>
      </w:tr>
      <w:tr>
        <w:trPr>
          <w:trHeight w:val="237"/>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Category</w:t>
            </w:r>
          </w:p>
        </w:tc>
        <w:tc>
          <w:tcPr>
            <w:tcW w:w="1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Balance</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Balance</w:t>
            </w: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Recorded In Net Income</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(Payable) at Quarter End</w:t>
            </w:r>
          </w:p>
        </w:tc>
      </w:tr>
      <w:tr>
        <w:trPr>
          <w:trHeight w:val="243"/>
        </w:trPr>
        <w:tc>
          <w:tcPr>
            <w:tcW w:w="1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57,028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52,120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5,237</w:t>
            </w:r>
          </w:p>
        </w:tc>
      </w:tr>
      <w:tr>
        <w:trPr>
          <w:trHeight w:val="237"/>
        </w:trPr>
        <w:tc>
          <w:tcPr>
            <w:tcW w:w="1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Loans</w:t>
            </w:r>
          </w:p>
        </w:tc>
        <w:tc>
          <w:tcPr>
            <w:tcW w:w="1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20,700</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20,700</w:t>
            </w: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1,178</w:t>
            </w:r>
          </w:p>
        </w:tc>
      </w:tr>
      <w:tr>
        <w:trPr>
          <w:trHeight w:val="276"/>
        </w:trPr>
        <w:tc>
          <w:tcPr>
            <w:tcW w:w="19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77,728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72,820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6,415</w:t>
            </w:r>
          </w:p>
        </w:tc>
      </w:tr>
      <w:tr>
        <w:trPr>
          <w:trHeight w:val="709"/>
        </w:trPr>
        <w:tc>
          <w:tcPr>
            <w:tcW w:w="19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March 31, 2022</w:t>
            </w:r>
          </w:p>
        </w:tc>
        <w:tc>
          <w:tcPr>
            <w:tcW w:w="2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215"/>
        </w:trPr>
        <w:tc>
          <w:tcPr>
            <w:tcW w:w="1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Average Notional</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jc w:val="right"/>
              <w:ind w:right="90"/>
              <w:spacing w:after="0"/>
              <w:rPr>
                <w:sz w:val="20"/>
                <w:szCs w:val="20"/>
                <w:color w:val="auto"/>
              </w:rPr>
            </w:pPr>
            <w:r>
              <w:rPr>
                <w:rFonts w:ascii="Arial" w:cs="Arial" w:eastAsia="Arial" w:hAnsi="Arial"/>
                <w:sz w:val="18"/>
                <w:szCs w:val="18"/>
                <w:color w:val="auto"/>
                <w:w w:val="91"/>
              </w:rPr>
              <w:t>Net Cash Received (Paid)</w:t>
            </w:r>
          </w:p>
        </w:tc>
        <w:tc>
          <w:tcPr>
            <w:tcW w:w="180" w:type="dxa"/>
            <w:vAlign w:val="bottom"/>
          </w:tcPr>
          <w:p>
            <w:pPr>
              <w:spacing w:after="0"/>
              <w:rPr>
                <w:sz w:val="18"/>
                <w:szCs w:val="18"/>
                <w:color w:val="auto"/>
              </w:rPr>
            </w:pPr>
          </w:p>
        </w:tc>
        <w:tc>
          <w:tcPr>
            <w:tcW w:w="2000" w:type="dxa"/>
            <w:vAlign w:val="bottom"/>
          </w:tcPr>
          <w:p>
            <w:pPr>
              <w:jc w:val="right"/>
              <w:ind w:right="110"/>
              <w:spacing w:after="0"/>
              <w:rPr>
                <w:sz w:val="20"/>
                <w:szCs w:val="20"/>
                <w:color w:val="auto"/>
              </w:rPr>
            </w:pPr>
            <w:r>
              <w:rPr>
                <w:rFonts w:ascii="Arial" w:cs="Arial" w:eastAsia="Arial" w:hAnsi="Arial"/>
                <w:sz w:val="18"/>
                <w:szCs w:val="18"/>
                <w:color w:val="auto"/>
              </w:rPr>
              <w:t>Fair Value Receivable</w:t>
            </w:r>
          </w:p>
        </w:tc>
      </w:tr>
      <w:tr>
        <w:trPr>
          <w:trHeight w:val="237"/>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Category</w:t>
            </w:r>
          </w:p>
        </w:tc>
        <w:tc>
          <w:tcPr>
            <w:tcW w:w="1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Balance</w:t>
            </w: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Ending Notional Balance</w:t>
            </w: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Recorded In Net Income</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(Payable) at Quarter End</w:t>
            </w:r>
          </w:p>
        </w:tc>
      </w:tr>
      <w:tr>
        <w:trPr>
          <w:trHeight w:val="243"/>
        </w:trPr>
        <w:tc>
          <w:tcPr>
            <w:tcW w:w="1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55,793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58,865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(33 ) $</w:t>
            </w:r>
          </w:p>
        </w:tc>
        <w:tc>
          <w:tcPr>
            <w:tcW w:w="2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4,229</w:t>
            </w:r>
          </w:p>
        </w:tc>
      </w:tr>
      <w:tr>
        <w:trPr>
          <w:trHeight w:val="237"/>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Loans</w:t>
            </w:r>
          </w:p>
        </w:tc>
        <w:tc>
          <w:tcPr>
            <w:tcW w:w="1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20,700</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20,700</w:t>
            </w: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892</w:t>
            </w:r>
          </w:p>
        </w:tc>
      </w:tr>
      <w:tr>
        <w:trPr>
          <w:trHeight w:val="276"/>
        </w:trPr>
        <w:tc>
          <w:tcPr>
            <w:tcW w:w="19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76,493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79,565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(64 ) $</w:t>
            </w:r>
          </w:p>
        </w:tc>
        <w:tc>
          <w:tcPr>
            <w:tcW w:w="2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5,121</w:t>
            </w:r>
          </w:p>
        </w:tc>
      </w:tr>
      <w:tr>
        <w:trPr>
          <w:trHeight w:val="419"/>
        </w:trPr>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37</w:t>
            </w:r>
            <w:r>
              <w:rPr>
                <w:rFonts w:ascii="Arial" w:cs="Arial" w:eastAsia="Arial" w:hAnsi="Arial"/>
                <w:sz w:val="18"/>
                <w:szCs w:val="18"/>
                <w:color w:val="auto"/>
              </w:rPr>
              <w:t xml:space="preserve"> -</w:t>
            </w: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15"/>
        </w:trPr>
        <w:tc>
          <w:tcPr>
            <w:tcW w:w="19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18"/>
          <w:szCs w:val="18"/>
          <w:color w:val="auto"/>
        </w:rPr>
        <w:t>Cash Flow Hedges</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Three Months Ended March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Average Notional</w:t>
            </w:r>
          </w:p>
        </w:tc>
        <w:tc>
          <w:tcPr>
            <w:tcW w:w="8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1"/>
              </w:rPr>
              <w:t>Net Cash Received (Paid)</w:t>
            </w:r>
          </w:p>
        </w:tc>
        <w:tc>
          <w:tcPr>
            <w:tcW w:w="22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Fair Value Receivable</w:t>
            </w:r>
          </w:p>
        </w:tc>
      </w:tr>
      <w:tr>
        <w:trPr>
          <w:trHeight w:val="237"/>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Category</w:t>
            </w:r>
          </w:p>
        </w:tc>
        <w:tc>
          <w:tcPr>
            <w:tcW w:w="1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Balance</w:t>
            </w: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Ending Notional Balance</w:t>
            </w: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Recorded In Net Income</w:t>
            </w: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(Payable) at Quarter End</w:t>
            </w:r>
          </w:p>
        </w:tc>
      </w:tr>
      <w:tr>
        <w:trPr>
          <w:trHeight w:val="277"/>
        </w:trPr>
        <w:tc>
          <w:tcPr>
            <w:tcW w:w="20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Borrowed Funds</w:t>
            </w: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53,333</w:t>
            </w:r>
          </w:p>
        </w:tc>
        <w:tc>
          <w:tcPr>
            <w:tcW w:w="82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(99 )</w:t>
            </w:r>
          </w:p>
        </w:tc>
      </w:tr>
      <w:tr>
        <w:trPr>
          <w:trHeight w:val="709"/>
        </w:trPr>
        <w:tc>
          <w:tcPr>
            <w:tcW w:w="20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March 31, 2022</w:t>
            </w:r>
          </w:p>
        </w:tc>
        <w:tc>
          <w:tcPr>
            <w:tcW w:w="2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215"/>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Average Notional</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ind w:right="50"/>
              <w:spacing w:after="0"/>
              <w:rPr>
                <w:sz w:val="20"/>
                <w:szCs w:val="20"/>
                <w:color w:val="auto"/>
              </w:rPr>
            </w:pPr>
            <w:r>
              <w:rPr>
                <w:rFonts w:ascii="Arial" w:cs="Arial" w:eastAsia="Arial" w:hAnsi="Arial"/>
                <w:sz w:val="18"/>
                <w:szCs w:val="18"/>
                <w:color w:val="auto"/>
                <w:w w:val="91"/>
              </w:rPr>
              <w:t>Net Cash Received (Paid)</w:t>
            </w:r>
          </w:p>
        </w:tc>
        <w:tc>
          <w:tcPr>
            <w:tcW w:w="220" w:type="dxa"/>
            <w:vAlign w:val="bottom"/>
          </w:tcPr>
          <w:p>
            <w:pPr>
              <w:spacing w:after="0"/>
              <w:rPr>
                <w:sz w:val="18"/>
                <w:szCs w:val="18"/>
                <w:color w:val="auto"/>
              </w:rPr>
            </w:pPr>
          </w:p>
        </w:tc>
        <w:tc>
          <w:tcPr>
            <w:tcW w:w="2000" w:type="dxa"/>
            <w:vAlign w:val="bottom"/>
          </w:tcPr>
          <w:p>
            <w:pPr>
              <w:jc w:val="right"/>
              <w:ind w:right="110"/>
              <w:spacing w:after="0"/>
              <w:rPr>
                <w:sz w:val="20"/>
                <w:szCs w:val="20"/>
                <w:color w:val="auto"/>
              </w:rPr>
            </w:pPr>
            <w:r>
              <w:rPr>
                <w:rFonts w:ascii="Arial" w:cs="Arial" w:eastAsia="Arial" w:hAnsi="Arial"/>
                <w:sz w:val="18"/>
                <w:szCs w:val="18"/>
                <w:color w:val="auto"/>
              </w:rPr>
              <w:t>Fair Value Receivable</w:t>
            </w:r>
          </w:p>
        </w:tc>
      </w:tr>
      <w:tr>
        <w:trPr>
          <w:trHeight w:val="237"/>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Category</w:t>
            </w:r>
          </w:p>
        </w:tc>
        <w:tc>
          <w:tcPr>
            <w:tcW w:w="1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Balance</w:t>
            </w: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Ending Notional Balance</w:t>
            </w: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Recorded In Net Income</w:t>
            </w: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(Payable) at Quarter End</w:t>
            </w:r>
          </w:p>
        </w:tc>
      </w:tr>
      <w:tr>
        <w:trPr>
          <w:trHeight w:val="277"/>
        </w:trPr>
        <w:tc>
          <w:tcPr>
            <w:tcW w:w="20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Borrowed Funds</w:t>
            </w: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82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(128 ) $</w:t>
            </w:r>
          </w:p>
        </w:tc>
        <w:tc>
          <w:tcPr>
            <w:tcW w:w="2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778</w:t>
            </w:r>
          </w:p>
        </w:tc>
      </w:tr>
    </w:tbl>
    <w:p>
      <w:pPr>
        <w:spacing w:after="0" w:line="200" w:lineRule="exact"/>
        <w:rPr>
          <w:sz w:val="20"/>
          <w:szCs w:val="20"/>
          <w:color w:val="auto"/>
        </w:rPr>
      </w:pPr>
    </w:p>
    <w:p>
      <w:pPr>
        <w:spacing w:after="0" w:line="24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shows the pre-tax gains and losses of the Company’s derivatives designated as cash flow hedges in OCI at March 31, 2023 and December 31, 2022:</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8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(In thousands)</w:t>
            </w:r>
          </w:p>
        </w:tc>
        <w:tc>
          <w:tcPr>
            <w:tcW w:w="19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March 31, 2023</w:t>
            </w:r>
          </w:p>
        </w:tc>
        <w:tc>
          <w:tcPr>
            <w:tcW w:w="6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December 31, 2022</w:t>
            </w:r>
          </w:p>
        </w:tc>
      </w:tr>
      <w:tr>
        <w:trPr>
          <w:trHeight w:val="270"/>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 hedges:</w:t>
            </w:r>
          </w:p>
        </w:tc>
        <w:tc>
          <w:tcPr>
            <w:tcW w:w="1960" w:type="dxa"/>
            <w:vAlign w:val="bottom"/>
            <w:shd w:val="clear" w:color="auto" w:fill="CFF0FC"/>
          </w:tcPr>
          <w:p>
            <w:pPr>
              <w:spacing w:after="0"/>
              <w:rPr>
                <w:sz w:val="23"/>
                <w:szCs w:val="23"/>
                <w:color w:val="auto"/>
              </w:rPr>
            </w:pPr>
          </w:p>
        </w:tc>
        <w:tc>
          <w:tcPr>
            <w:tcW w:w="188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1920" w:type="dxa"/>
            <w:vAlign w:val="bottom"/>
            <w:shd w:val="clear" w:color="auto" w:fill="CFF0FC"/>
          </w:tcPr>
          <w:p>
            <w:pPr>
              <w:spacing w:after="0"/>
              <w:rPr>
                <w:sz w:val="23"/>
                <w:szCs w:val="23"/>
                <w:color w:val="auto"/>
              </w:rPr>
            </w:pPr>
          </w:p>
        </w:tc>
      </w:tr>
      <w:tr>
        <w:trPr>
          <w:trHeight w:val="264"/>
        </w:trPr>
        <w:tc>
          <w:tcPr>
            <w:tcW w:w="4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Fair market value adjustment interest rate swap</w:t>
            </w:r>
          </w:p>
        </w:tc>
        <w:tc>
          <w:tcPr>
            <w:tcW w:w="1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(99 )</w:t>
            </w:r>
          </w:p>
        </w:tc>
        <w:tc>
          <w:tcPr>
            <w:tcW w:w="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519</w:t>
            </w:r>
          </w:p>
        </w:tc>
      </w:tr>
      <w:tr>
        <w:trPr>
          <w:trHeight w:val="303"/>
        </w:trPr>
        <w:tc>
          <w:tcPr>
            <w:tcW w:w="48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Total (loss) gain in comprehensive income</w:t>
            </w:r>
          </w:p>
        </w:tc>
        <w:tc>
          <w:tcPr>
            <w:tcW w:w="196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(99 )</w:t>
            </w:r>
          </w:p>
        </w:tc>
        <w:tc>
          <w:tcPr>
            <w:tcW w:w="60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519</w:t>
            </w:r>
          </w:p>
        </w:tc>
      </w:tr>
    </w:tbl>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hedging contracts noted above, accounted for as cash flow hedges, decreased the interest expense associated with MMDA accounts by 0.51% in the three months ended March 31, 2023 and increased the interest expense associated with MMDA accounts by 0.20% in the three months ended March 31, 2022.</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amounts of hedge ineffectiveness, recognized at March 31, 2023 and December 31, 2022 for cash flow hedges were not material to the Company’s consolidated results of operations. A portion of, or the entire amount included in accumulated other comprehensive loss would be reclassified into current earnings should a portion of, or the entire hedge, no longer be considered effective. Management believes that the hedges will remain fully effective during the remaining term of the respective hedging contracts. The changes in the fair values of the interest rate hedging agreements primarily result from the effects of changing index interest rates and the reduction of the time each quarter between the measurement date and the contractual maturity date of the hedging instrument.</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Accumulated Other Comprehensive (Loss) Income</w:t>
      </w:r>
    </w:p>
    <w:p>
      <w:pPr>
        <w:spacing w:after="0" w:line="235"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Changes in the components of accumulated other comprehensive (loss) income (“AOCI”), net of tax, for the periods indicated are summarized in the tables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5"/>
          </w:tcPr>
          <w:p>
            <w:pPr>
              <w:jc w:val="right"/>
              <w:ind w:right="599"/>
              <w:spacing w:after="0"/>
              <w:rPr>
                <w:sz w:val="20"/>
                <w:szCs w:val="20"/>
                <w:color w:val="auto"/>
              </w:rPr>
            </w:pPr>
            <w:r>
              <w:rPr>
                <w:rFonts w:ascii="Arial" w:cs="Arial" w:eastAsia="Arial" w:hAnsi="Arial"/>
                <w:sz w:val="16"/>
                <w:szCs w:val="16"/>
                <w:color w:val="auto"/>
              </w:rPr>
              <w:t>For the three months ended March 31, 2023</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06"/>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Unrealized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Unrealized</w:t>
            </w:r>
          </w:p>
        </w:tc>
        <w:tc>
          <w:tcPr>
            <w:tcW w:w="2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Loss on</w:t>
            </w:r>
          </w:p>
        </w:tc>
        <w:tc>
          <w:tcPr>
            <w:tcW w:w="2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w w:val="97"/>
              </w:rPr>
              <w:t>Unrealized Gain</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Loss on</w:t>
            </w:r>
          </w:p>
        </w:tc>
        <w:tc>
          <w:tcPr>
            <w:tcW w:w="2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Derivatives</w:t>
            </w:r>
          </w:p>
        </w:tc>
        <w:tc>
          <w:tcPr>
            <w:tcW w:w="2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on Securities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6"/>
                <w:szCs w:val="16"/>
                <w:color w:val="auto"/>
                <w:w w:val="97"/>
              </w:rPr>
              <w:t>Retirement</w:t>
            </w:r>
          </w:p>
        </w:tc>
        <w:tc>
          <w:tcPr>
            <w:tcW w:w="22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Available-for-</w:t>
            </w:r>
          </w:p>
        </w:tc>
        <w:tc>
          <w:tcPr>
            <w:tcW w:w="2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w w:val="94"/>
              </w:rPr>
              <w:t>and Hedging</w:t>
            </w:r>
          </w:p>
        </w:tc>
        <w:tc>
          <w:tcPr>
            <w:tcW w:w="2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Transferred to</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Plans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1"/>
              </w:rPr>
              <w:t>Sale Securities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Activities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8"/>
              </w:rPr>
              <w:t>Held-to-Maturity</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Total</w:t>
            </w:r>
          </w:p>
        </w:tc>
      </w:tr>
      <w:tr>
        <w:trPr>
          <w:trHeight w:val="230"/>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(2,427 )</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(10,127 )</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382</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(12,172 )</w:t>
            </w:r>
          </w:p>
        </w:tc>
      </w:tr>
      <w:tr>
        <w:trPr>
          <w:trHeight w:val="220"/>
        </w:trPr>
        <w:tc>
          <w:tcPr>
            <w:tcW w:w="5080" w:type="dxa"/>
            <w:vAlign w:val="bottom"/>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22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(376 )</w:t>
            </w:r>
          </w:p>
        </w:tc>
        <w:tc>
          <w:tcPr>
            <w:tcW w:w="2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(455 )</w:t>
            </w:r>
          </w:p>
        </w:tc>
        <w:tc>
          <w:tcPr>
            <w:tcW w:w="2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(831 )</w:t>
            </w:r>
          </w:p>
        </w:tc>
      </w:tr>
      <w:tr>
        <w:trPr>
          <w:trHeight w:val="233"/>
        </w:trPr>
        <w:tc>
          <w:tcPr>
            <w:tcW w:w="50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Amounts reclassified from AOCI</w:t>
            </w:r>
          </w:p>
        </w:tc>
        <w:tc>
          <w:tcPr>
            <w:tcW w:w="2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1,428</w:t>
            </w:r>
          </w:p>
        </w:tc>
        <w:tc>
          <w:tcPr>
            <w:tcW w:w="2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1,469</w:t>
            </w: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balance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(2,386 )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(9,075 )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(11,534 )</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38</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9"/>
        </w:trPr>
        <w:tc>
          <w:tcPr>
            <w:tcW w:w="5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5"/>
          </w:tcPr>
          <w:p>
            <w:pPr>
              <w:jc w:val="right"/>
              <w:ind w:right="619"/>
              <w:spacing w:after="0"/>
              <w:rPr>
                <w:sz w:val="20"/>
                <w:szCs w:val="20"/>
                <w:color w:val="auto"/>
              </w:rPr>
            </w:pPr>
            <w:r>
              <w:rPr>
                <w:rFonts w:ascii="Arial" w:cs="Arial" w:eastAsia="Arial" w:hAnsi="Arial"/>
                <w:sz w:val="16"/>
                <w:szCs w:val="16"/>
                <w:color w:val="auto"/>
              </w:rPr>
              <w:t>For the three months ended March 31, 2022</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06"/>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Unrealized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Arial" w:cs="Arial" w:eastAsia="Arial" w:hAnsi="Arial"/>
                <w:sz w:val="16"/>
                <w:szCs w:val="16"/>
                <w:color w:val="auto"/>
              </w:rPr>
              <w:t>Unrealized Loss</w:t>
            </w:r>
          </w:p>
        </w:tc>
        <w:tc>
          <w:tcPr>
            <w:tcW w:w="2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Gain on</w:t>
            </w:r>
          </w:p>
        </w:tc>
        <w:tc>
          <w:tcPr>
            <w:tcW w:w="20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w w:val="95"/>
              </w:rPr>
              <w:t>Unrealized Loss</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on</w:t>
            </w:r>
          </w:p>
        </w:tc>
        <w:tc>
          <w:tcPr>
            <w:tcW w:w="2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Derivatives</w:t>
            </w:r>
          </w:p>
        </w:tc>
        <w:tc>
          <w:tcPr>
            <w:tcW w:w="20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on Securities</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6"/>
                <w:szCs w:val="16"/>
                <w:color w:val="auto"/>
                <w:w w:val="94"/>
              </w:rPr>
              <w:t>Retirement</w:t>
            </w:r>
          </w:p>
        </w:tc>
        <w:tc>
          <w:tcPr>
            <w:tcW w:w="22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Available-for-</w:t>
            </w:r>
          </w:p>
        </w:tc>
        <w:tc>
          <w:tcPr>
            <w:tcW w:w="2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w w:val="94"/>
              </w:rPr>
              <w:t>and Hedging</w:t>
            </w:r>
          </w:p>
        </w:tc>
        <w:tc>
          <w:tcPr>
            <w:tcW w:w="20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Transferred to</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9"/>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Plans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1"/>
              </w:rPr>
              <w:t>Sale Securities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Activities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6"/>
              </w:rPr>
              <w:t>Held-to-Maturity</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Total</w:t>
            </w: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(1,412 )</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428</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(286 )</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(1,268 )</w:t>
            </w:r>
          </w:p>
        </w:tc>
      </w:tr>
      <w:tr>
        <w:trPr>
          <w:trHeight w:val="220"/>
        </w:trPr>
        <w:tc>
          <w:tcPr>
            <w:tcW w:w="5060" w:type="dxa"/>
            <w:vAlign w:val="bottom"/>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22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(4,271 )</w:t>
            </w:r>
          </w:p>
        </w:tc>
        <w:tc>
          <w:tcPr>
            <w:tcW w:w="22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480</w:t>
            </w:r>
          </w:p>
        </w:tc>
        <w:tc>
          <w:tcPr>
            <w:tcW w:w="2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(3,791 )</w:t>
            </w:r>
          </w:p>
        </w:tc>
      </w:tr>
      <w:tr>
        <w:trPr>
          <w:trHeight w:val="233"/>
        </w:trPr>
        <w:tc>
          <w:tcPr>
            <w:tcW w:w="50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Amounts reclassified from AOCI</w:t>
            </w:r>
          </w:p>
        </w:tc>
        <w:tc>
          <w:tcPr>
            <w:tcW w:w="2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r>
      <w:tr>
        <w:trPr>
          <w:trHeight w:val="223"/>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balance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(1,411 )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(3,843 )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(5,058 )</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following table presents the amounts reclassified out of each component of AOCI for the indicated period:</w:t>
      </w:r>
    </w:p>
    <w:p>
      <w:pPr>
        <w:spacing w:after="0" w:line="281" w:lineRule="exact"/>
        <w:rPr>
          <w:sz w:val="20"/>
          <w:szCs w:val="20"/>
          <w:color w:val="auto"/>
        </w:rPr>
      </w:pPr>
    </w:p>
    <w:p>
      <w:pPr>
        <w:jc w:val="center"/>
        <w:ind w:left="7880"/>
        <w:spacing w:after="0"/>
        <w:rPr>
          <w:sz w:val="20"/>
          <w:szCs w:val="20"/>
          <w:color w:val="auto"/>
        </w:rPr>
      </w:pPr>
      <w:r>
        <w:rPr>
          <w:rFonts w:ascii="Arial" w:cs="Arial" w:eastAsia="Arial" w:hAnsi="Arial"/>
          <w:sz w:val="14"/>
          <w:szCs w:val="14"/>
          <w:color w:val="auto"/>
        </w:rPr>
        <w:t>Amount Reclassified</w:t>
      </w:r>
    </w:p>
    <w:p>
      <w:pPr>
        <w:jc w:val="center"/>
        <w:ind w:left="7880"/>
        <w:spacing w:after="0" w:line="221" w:lineRule="auto"/>
        <w:rPr>
          <w:sz w:val="20"/>
          <w:szCs w:val="20"/>
          <w:color w:val="auto"/>
        </w:rPr>
      </w:pPr>
      <w:r>
        <w:rPr>
          <w:rFonts w:ascii="Arial" w:cs="Arial" w:eastAsia="Arial" w:hAnsi="Arial"/>
          <w:sz w:val="14"/>
          <w:szCs w:val="14"/>
          <w:color w:val="auto"/>
        </w:rPr>
        <w:t xml:space="preserve">from AOCI </w:t>
      </w:r>
      <w:r>
        <w:rPr>
          <w:rFonts w:ascii="Arial" w:cs="Arial" w:eastAsia="Arial" w:hAnsi="Arial"/>
          <w:sz w:val="19"/>
          <w:szCs w:val="19"/>
          <w:color w:val="auto"/>
          <w:vertAlign w:val="superscript"/>
        </w:rPr>
        <w:t>(1)</w:t>
      </w:r>
    </w:p>
    <w:p>
      <w:pPr>
        <w:spacing w:after="0" w:line="1" w:lineRule="exact"/>
        <w:rPr>
          <w:sz w:val="20"/>
          <w:szCs w:val="20"/>
          <w:color w:val="auto"/>
        </w:rPr>
      </w:pPr>
    </w:p>
    <w:p>
      <w:pPr>
        <w:jc w:val="center"/>
        <w:ind w:left="7880"/>
        <w:spacing w:after="0"/>
        <w:rPr>
          <w:sz w:val="20"/>
          <w:szCs w:val="20"/>
          <w:color w:val="auto"/>
        </w:rPr>
      </w:pPr>
      <w:r>
        <w:rPr>
          <w:rFonts w:ascii="Arial" w:cs="Arial" w:eastAsia="Arial" w:hAnsi="Arial"/>
          <w:sz w:val="14"/>
          <w:szCs w:val="14"/>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i w:val="1"/>
                <w:iCs w:val="1"/>
                <w:color w:val="auto"/>
              </w:rPr>
              <w:t>(In thousands)</w:t>
            </w:r>
          </w:p>
        </w:tc>
        <w:tc>
          <w:tcPr>
            <w:tcW w:w="484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2940" w:type="dxa"/>
            <w:vAlign w:val="bottom"/>
            <w:tcBorders>
              <w:top w:val="single" w:sz="8" w:color="auto"/>
              <w:bottom w:val="single" w:sz="8" w:color="auto"/>
            </w:tcBorders>
            <w:gridSpan w:val="3"/>
          </w:tcPr>
          <w:p>
            <w:pPr>
              <w:jc w:val="right"/>
              <w:ind w:right="808"/>
              <w:spacing w:after="0"/>
              <w:rPr>
                <w:sz w:val="20"/>
                <w:szCs w:val="20"/>
                <w:color w:val="auto"/>
              </w:rPr>
            </w:pPr>
            <w:r>
              <w:rPr>
                <w:rFonts w:ascii="Arial" w:cs="Arial" w:eastAsia="Arial" w:hAnsi="Arial"/>
                <w:sz w:val="14"/>
                <w:szCs w:val="14"/>
                <w:color w:val="auto"/>
              </w:rPr>
              <w:t>For the three months ended</w:t>
            </w:r>
          </w:p>
        </w:tc>
      </w:tr>
      <w:tr>
        <w:trPr>
          <w:trHeight w:val="169"/>
        </w:trPr>
        <w:tc>
          <w:tcPr>
            <w:tcW w:w="3200" w:type="dxa"/>
            <w:vAlign w:val="bottom"/>
            <w:tcBorders>
              <w:bottom w:val="single" w:sz="8" w:color="auto"/>
            </w:tcBorders>
            <w:gridSpan w:val="4"/>
          </w:tcPr>
          <w:p>
            <w:pPr>
              <w:ind w:left="20"/>
              <w:spacing w:after="0" w:line="169" w:lineRule="exact"/>
              <w:rPr>
                <w:sz w:val="20"/>
                <w:szCs w:val="20"/>
                <w:color w:val="auto"/>
              </w:rPr>
            </w:pPr>
            <w:r>
              <w:rPr>
                <w:rFonts w:ascii="Arial" w:cs="Arial" w:eastAsia="Arial" w:hAnsi="Arial"/>
                <w:sz w:val="14"/>
                <w:szCs w:val="14"/>
                <w:color w:val="auto"/>
              </w:rPr>
              <w:t xml:space="preserve">Details about AOCI </w:t>
            </w:r>
            <w:r>
              <w:rPr>
                <w:rFonts w:ascii="Arial" w:cs="Arial" w:eastAsia="Arial" w:hAnsi="Arial"/>
                <w:sz w:val="19"/>
                <w:szCs w:val="19"/>
                <w:color w:val="auto"/>
                <w:vertAlign w:val="superscript"/>
              </w:rPr>
              <w:t>(1)</w:t>
            </w:r>
            <w:r>
              <w:rPr>
                <w:rFonts w:ascii="Arial" w:cs="Arial" w:eastAsia="Arial" w:hAnsi="Arial"/>
                <w:sz w:val="14"/>
                <w:szCs w:val="14"/>
                <w:color w:val="auto"/>
              </w:rPr>
              <w:t xml:space="preserve"> components</w:t>
            </w:r>
          </w:p>
        </w:tc>
        <w:tc>
          <w:tcPr>
            <w:tcW w:w="484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Affected Line Item in the Statement of Income</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March 31, 2023</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March 31, 2022</w:t>
            </w:r>
          </w:p>
        </w:tc>
      </w:tr>
      <w:tr>
        <w:trPr>
          <w:trHeight w:val="149"/>
        </w:trPr>
        <w:tc>
          <w:tcPr>
            <w:tcW w:w="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4"/>
                <w:szCs w:val="14"/>
                <w:color w:val="auto"/>
                <w:w w:val="92"/>
              </w:rPr>
              <w:t>Retirement plan items</w:t>
            </w:r>
          </w:p>
        </w:tc>
        <w:tc>
          <w:tcPr>
            <w:tcW w:w="1900" w:type="dxa"/>
            <w:vAlign w:val="bottom"/>
            <w:tcBorders>
              <w:bottom w:val="single" w:sz="8" w:color="CFF0FC"/>
            </w:tcBorders>
            <w:gridSpan w:val="2"/>
            <w:shd w:val="clear" w:color="auto" w:fill="CFF0FC"/>
          </w:tcPr>
          <w:p>
            <w:pPr>
              <w:spacing w:after="0"/>
              <w:rPr>
                <w:sz w:val="12"/>
                <w:szCs w:val="12"/>
                <w:color w:val="auto"/>
              </w:rPr>
            </w:pPr>
          </w:p>
        </w:tc>
        <w:tc>
          <w:tcPr>
            <w:tcW w:w="48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30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CFF0FC"/>
            </w:tcBorders>
            <w:shd w:val="clear" w:color="auto" w:fill="CFF0FC"/>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3180" w:type="dxa"/>
            <w:vAlign w:val="bottom"/>
            <w:gridSpan w:val="3"/>
          </w:tcPr>
          <w:p>
            <w:pPr>
              <w:ind w:left="40"/>
              <w:spacing w:after="0" w:line="135" w:lineRule="exact"/>
              <w:rPr>
                <w:sz w:val="20"/>
                <w:szCs w:val="20"/>
                <w:color w:val="auto"/>
              </w:rPr>
            </w:pPr>
            <w:r>
              <w:rPr>
                <w:rFonts w:ascii="Arial" w:cs="Arial" w:eastAsia="Arial" w:hAnsi="Arial"/>
                <w:sz w:val="14"/>
                <w:szCs w:val="14"/>
                <w:color w:val="auto"/>
              </w:rPr>
              <w:t>Retirement plan net losses</w:t>
            </w:r>
          </w:p>
        </w:tc>
        <w:tc>
          <w:tcPr>
            <w:tcW w:w="4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3180" w:type="dxa"/>
            <w:vAlign w:val="bottom"/>
            <w:gridSpan w:val="3"/>
          </w:tcPr>
          <w:p>
            <w:pPr>
              <w:ind w:left="100"/>
              <w:spacing w:after="0" w:line="189" w:lineRule="exact"/>
              <w:rPr>
                <w:sz w:val="20"/>
                <w:szCs w:val="20"/>
                <w:color w:val="auto"/>
              </w:rPr>
            </w:pPr>
            <w:r>
              <w:rPr>
                <w:rFonts w:ascii="Arial" w:cs="Arial" w:eastAsia="Arial" w:hAnsi="Arial"/>
                <w:sz w:val="14"/>
                <w:szCs w:val="14"/>
                <w:color w:val="auto"/>
              </w:rPr>
              <w:t xml:space="preserve">recognized in plan expenses </w:t>
            </w:r>
            <w:r>
              <w:rPr>
                <w:rFonts w:ascii="Arial" w:cs="Arial" w:eastAsia="Arial" w:hAnsi="Arial"/>
                <w:sz w:val="19"/>
                <w:szCs w:val="19"/>
                <w:color w:val="auto"/>
                <w:vertAlign w:val="superscript"/>
              </w:rPr>
              <w:t>(2)</w:t>
            </w:r>
          </w:p>
        </w:tc>
        <w:tc>
          <w:tcPr>
            <w:tcW w:w="4840" w:type="dxa"/>
            <w:vAlign w:val="bottom"/>
          </w:tcPr>
          <w:p>
            <w:pPr>
              <w:ind w:left="880"/>
              <w:spacing w:after="0"/>
              <w:rPr>
                <w:sz w:val="20"/>
                <w:szCs w:val="20"/>
                <w:color w:val="auto"/>
              </w:rPr>
            </w:pPr>
            <w:r>
              <w:rPr>
                <w:rFonts w:ascii="Arial" w:cs="Arial" w:eastAsia="Arial" w:hAnsi="Arial"/>
                <w:sz w:val="14"/>
                <w:szCs w:val="14"/>
                <w:color w:val="auto"/>
              </w:rPr>
              <w:t>Salaries and employee benefits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(55 )</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(1 )</w:t>
            </w:r>
          </w:p>
        </w:tc>
      </w:tr>
      <w:tr>
        <w:trPr>
          <w:trHeight w:val="176"/>
        </w:trPr>
        <w:tc>
          <w:tcPr>
            <w:tcW w:w="3200" w:type="dxa"/>
            <w:vAlign w:val="bottom"/>
            <w:tcBorders>
              <w:bottom w:val="single" w:sz="8" w:color="auto"/>
            </w:tcBorders>
            <w:gridSpan w:val="4"/>
            <w:shd w:val="clear" w:color="auto" w:fill="CFF0FC"/>
          </w:tcPr>
          <w:p>
            <w:pPr>
              <w:ind w:left="20"/>
              <w:spacing w:after="0"/>
              <w:rPr>
                <w:sz w:val="20"/>
                <w:szCs w:val="20"/>
                <w:color w:val="auto"/>
              </w:rPr>
            </w:pPr>
            <w:r>
              <w:rPr>
                <w:rFonts w:ascii="Arial" w:cs="Arial" w:eastAsia="Arial" w:hAnsi="Arial"/>
                <w:sz w:val="14"/>
                <w:szCs w:val="14"/>
                <w:color w:val="auto"/>
              </w:rPr>
              <w:t>Tax effect</w:t>
            </w:r>
          </w:p>
        </w:tc>
        <w:tc>
          <w:tcPr>
            <w:tcW w:w="4840" w:type="dxa"/>
            <w:vAlign w:val="bottom"/>
            <w:tcBorders>
              <w:bottom w:val="single" w:sz="8" w:color="auto"/>
            </w:tcBorders>
            <w:shd w:val="clear" w:color="auto" w:fill="CFF0FC"/>
          </w:tcPr>
          <w:p>
            <w:pPr>
              <w:ind w:left="880"/>
              <w:spacing w:after="0"/>
              <w:rPr>
                <w:sz w:val="20"/>
                <w:szCs w:val="20"/>
                <w:color w:val="auto"/>
              </w:rPr>
            </w:pPr>
            <w:r>
              <w:rPr>
                <w:rFonts w:ascii="Arial" w:cs="Arial" w:eastAsia="Arial" w:hAnsi="Arial"/>
                <w:sz w:val="14"/>
                <w:szCs w:val="14"/>
                <w:color w:val="auto"/>
              </w:rPr>
              <w:t>Provision for income taxes</w:t>
            </w:r>
          </w:p>
        </w:tc>
        <w:tc>
          <w:tcPr>
            <w:tcW w:w="2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14</w:t>
            </w:r>
          </w:p>
        </w:tc>
        <w:tc>
          <w:tcPr>
            <w:tcW w:w="4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9"/>
        </w:trPr>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Net (losses) income</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(41 )</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(1 )</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6"/>
        </w:trPr>
        <w:tc>
          <w:tcPr>
            <w:tcW w:w="3200" w:type="dxa"/>
            <w:vAlign w:val="bottom"/>
            <w:gridSpan w:val="4"/>
            <w:shd w:val="clear" w:color="auto" w:fill="CFF0FC"/>
          </w:tcPr>
          <w:p>
            <w:pPr>
              <w:ind w:left="20"/>
              <w:spacing w:after="0" w:line="129" w:lineRule="exact"/>
              <w:rPr>
                <w:sz w:val="20"/>
                <w:szCs w:val="20"/>
                <w:color w:val="auto"/>
              </w:rPr>
            </w:pPr>
            <w:r>
              <w:rPr>
                <w:rFonts w:ascii="Arial" w:cs="Arial" w:eastAsia="Arial" w:hAnsi="Arial"/>
                <w:sz w:val="14"/>
                <w:szCs w:val="14"/>
                <w:color w:val="auto"/>
              </w:rPr>
              <w:t>Available-for-sale securities</w:t>
            </w:r>
          </w:p>
        </w:tc>
        <w:tc>
          <w:tcPr>
            <w:tcW w:w="4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r>
      <w:tr>
        <w:trPr>
          <w:trHeight w:val="143"/>
        </w:trPr>
        <w:tc>
          <w:tcPr>
            <w:tcW w:w="20" w:type="dxa"/>
            <w:vAlign w:val="bottom"/>
            <w:tcBorders>
              <w:top w:val="single" w:sz="8" w:color="CFF0F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60" w:type="dxa"/>
            <w:vAlign w:val="bottom"/>
            <w:tcBorders>
              <w:top w:val="single" w:sz="8" w:color="CFF0FC"/>
            </w:tcBorders>
          </w:tcPr>
          <w:p>
            <w:pPr>
              <w:spacing w:after="0"/>
              <w:rPr>
                <w:sz w:val="12"/>
                <w:szCs w:val="12"/>
                <w:color w:val="auto"/>
              </w:rPr>
            </w:pPr>
          </w:p>
        </w:tc>
        <w:tc>
          <w:tcPr>
            <w:tcW w:w="4840" w:type="dxa"/>
            <w:vAlign w:val="bottom"/>
            <w:tcBorders>
              <w:top w:val="single" w:sz="8" w:color="CFF0FC"/>
            </w:tcBorders>
          </w:tcPr>
          <w:p>
            <w:pPr>
              <w:ind w:left="880"/>
              <w:spacing w:after="0" w:line="143" w:lineRule="exact"/>
              <w:rPr>
                <w:sz w:val="20"/>
                <w:szCs w:val="20"/>
                <w:color w:val="auto"/>
              </w:rPr>
            </w:pPr>
            <w:r>
              <w:rPr>
                <w:rFonts w:ascii="Arial" w:cs="Arial" w:eastAsia="Arial" w:hAnsi="Arial"/>
                <w:sz w:val="14"/>
                <w:szCs w:val="14"/>
                <w:color w:val="auto"/>
              </w:rPr>
              <w:t>Net gains on sales and redemptions</w:t>
            </w:r>
          </w:p>
        </w:tc>
        <w:tc>
          <w:tcPr>
            <w:tcW w:w="260" w:type="dxa"/>
            <w:vAlign w:val="bottom"/>
            <w:tcBorders>
              <w:top w:val="single" w:sz="8" w:color="CFF0FC"/>
            </w:tcBorders>
          </w:tcPr>
          <w:p>
            <w:pPr>
              <w:spacing w:after="0"/>
              <w:rPr>
                <w:sz w:val="12"/>
                <w:szCs w:val="12"/>
                <w:color w:val="auto"/>
              </w:rPr>
            </w:pPr>
          </w:p>
        </w:tc>
        <w:tc>
          <w:tcPr>
            <w:tcW w:w="130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1240" w:type="dxa"/>
            <w:vAlign w:val="bottom"/>
            <w:tcBorders>
              <w:top w:val="single" w:sz="8" w:color="CFF0FC"/>
            </w:tcBorders>
          </w:tcPr>
          <w:p>
            <w:pPr>
              <w:spacing w:after="0"/>
              <w:rPr>
                <w:sz w:val="12"/>
                <w:szCs w:val="12"/>
                <w:color w:val="auto"/>
              </w:rPr>
            </w:pPr>
          </w:p>
        </w:tc>
      </w:tr>
      <w:tr>
        <w:trPr>
          <w:trHeight w:val="181"/>
        </w:trPr>
        <w:tc>
          <w:tcPr>
            <w:tcW w:w="3200" w:type="dxa"/>
            <w:vAlign w:val="bottom"/>
            <w:gridSpan w:val="4"/>
          </w:tcPr>
          <w:p>
            <w:pPr>
              <w:ind w:left="20"/>
              <w:spacing w:after="0"/>
              <w:rPr>
                <w:sz w:val="20"/>
                <w:szCs w:val="20"/>
                <w:color w:val="auto"/>
              </w:rPr>
            </w:pPr>
            <w:r>
              <w:rPr>
                <w:rFonts w:ascii="Arial" w:cs="Arial" w:eastAsia="Arial" w:hAnsi="Arial"/>
                <w:sz w:val="14"/>
                <w:szCs w:val="14"/>
                <w:color w:val="auto"/>
              </w:rPr>
              <w:t>Realized (loss) gain on sale of securities</w:t>
            </w:r>
          </w:p>
        </w:tc>
        <w:tc>
          <w:tcPr>
            <w:tcW w:w="4840" w:type="dxa"/>
            <w:vAlign w:val="bottom"/>
          </w:tcPr>
          <w:p>
            <w:pPr>
              <w:ind w:left="960"/>
              <w:spacing w:after="0"/>
              <w:rPr>
                <w:sz w:val="20"/>
                <w:szCs w:val="20"/>
                <w:color w:val="auto"/>
              </w:rPr>
            </w:pPr>
            <w:r>
              <w:rPr>
                <w:rFonts w:ascii="Arial" w:cs="Arial" w:eastAsia="Arial" w:hAnsi="Arial"/>
                <w:sz w:val="14"/>
                <w:szCs w:val="14"/>
                <w:color w:val="auto"/>
              </w:rPr>
              <w:t>of investment securities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(1,933 )</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3200" w:type="dxa"/>
            <w:vAlign w:val="bottom"/>
            <w:tcBorders>
              <w:bottom w:val="single" w:sz="8" w:color="auto"/>
            </w:tcBorders>
            <w:gridSpan w:val="4"/>
            <w:shd w:val="clear" w:color="auto" w:fill="CFF0FC"/>
          </w:tcPr>
          <w:p>
            <w:pPr>
              <w:ind w:left="20"/>
              <w:spacing w:after="0"/>
              <w:rPr>
                <w:sz w:val="20"/>
                <w:szCs w:val="20"/>
                <w:color w:val="auto"/>
              </w:rPr>
            </w:pPr>
            <w:r>
              <w:rPr>
                <w:rFonts w:ascii="Arial" w:cs="Arial" w:eastAsia="Arial" w:hAnsi="Arial"/>
                <w:sz w:val="14"/>
                <w:szCs w:val="14"/>
                <w:color w:val="auto"/>
              </w:rPr>
              <w:t>Tax effect</w:t>
            </w:r>
          </w:p>
        </w:tc>
        <w:tc>
          <w:tcPr>
            <w:tcW w:w="4840" w:type="dxa"/>
            <w:vAlign w:val="bottom"/>
            <w:tcBorders>
              <w:bottom w:val="single" w:sz="8" w:color="auto"/>
            </w:tcBorders>
            <w:shd w:val="clear" w:color="auto" w:fill="CFF0FC"/>
          </w:tcPr>
          <w:p>
            <w:pPr>
              <w:ind w:left="880"/>
              <w:spacing w:after="0"/>
              <w:rPr>
                <w:sz w:val="20"/>
                <w:szCs w:val="20"/>
                <w:color w:val="auto"/>
              </w:rPr>
            </w:pPr>
            <w:r>
              <w:rPr>
                <w:rFonts w:ascii="Arial" w:cs="Arial" w:eastAsia="Arial" w:hAnsi="Arial"/>
                <w:sz w:val="14"/>
                <w:szCs w:val="14"/>
                <w:color w:val="auto"/>
              </w:rPr>
              <w:t>Provision for income taxes</w:t>
            </w:r>
          </w:p>
        </w:tc>
        <w:tc>
          <w:tcPr>
            <w:tcW w:w="2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505</w:t>
            </w:r>
          </w:p>
        </w:tc>
        <w:tc>
          <w:tcPr>
            <w:tcW w:w="4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9"/>
        </w:trPr>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Net (losses) income</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(1,428 )</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Amounts in parentheses indicates debits in net income.</w:t>
      </w:r>
    </w:p>
    <w:p>
      <w:pPr>
        <w:spacing w:after="0" w:line="22" w:lineRule="exact"/>
        <w:rPr>
          <w:rFonts w:ascii="Arial" w:cs="Arial" w:eastAsia="Arial" w:hAnsi="Arial"/>
          <w:sz w:val="16"/>
          <w:szCs w:val="16"/>
          <w:color w:val="auto"/>
        </w:rPr>
      </w:pPr>
    </w:p>
    <w:p>
      <w:pPr>
        <w:ind w:left="380" w:right="7380" w:hanging="372"/>
        <w:spacing w:after="0" w:line="288"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items are included in net periodic pension cost. See Note 5 for additional information.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39</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Note 13: Noninterest Income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included the following table regarding the Company’s noninterest income for the periods presented.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For the three months ended</w:t>
            </w:r>
          </w:p>
        </w:tc>
        <w:tc>
          <w:tcPr>
            <w:tcW w:w="1300" w:type="dxa"/>
            <w:vAlign w:val="bottom"/>
            <w:tcBorders>
              <w:bottom w:val="single" w:sz="8" w:color="auto"/>
            </w:tcBorders>
          </w:tcPr>
          <w:p>
            <w:pPr>
              <w:spacing w:after="0"/>
              <w:rPr>
                <w:sz w:val="20"/>
                <w:szCs w:val="20"/>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March 31, 2023</w:t>
            </w:r>
          </w:p>
        </w:tc>
        <w:tc>
          <w:tcPr>
            <w:tcW w:w="10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March 31, 2022</w:t>
            </w:r>
          </w:p>
        </w:tc>
      </w:tr>
      <w:tr>
        <w:trPr>
          <w:trHeight w:val="243"/>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Service charges on deposit accounts</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7"/>
        </w:trPr>
        <w:tc>
          <w:tcPr>
            <w:tcW w:w="6480" w:type="dxa"/>
            <w:vAlign w:val="bottom"/>
          </w:tcPr>
          <w:p>
            <w:pPr>
              <w:ind w:left="120"/>
              <w:spacing w:after="0"/>
              <w:rPr>
                <w:sz w:val="20"/>
                <w:szCs w:val="20"/>
                <w:color w:val="auto"/>
              </w:rPr>
            </w:pPr>
            <w:r>
              <w:rPr>
                <w:rFonts w:ascii="Arial" w:cs="Arial" w:eastAsia="Arial" w:hAnsi="Arial"/>
                <w:sz w:val="18"/>
                <w:szCs w:val="18"/>
                <w:color w:val="auto"/>
              </w:rPr>
              <w:t>Insufficient funds fees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144</w:t>
            </w:r>
          </w:p>
        </w:tc>
        <w:tc>
          <w:tcPr>
            <w:tcW w:w="10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118</w:t>
            </w:r>
          </w:p>
        </w:tc>
      </w:tr>
      <w:tr>
        <w:trPr>
          <w:trHeight w:val="249"/>
        </w:trPr>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Deposit related fees</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97</w:t>
            </w:r>
          </w:p>
        </w:tc>
        <w:tc>
          <w:tcPr>
            <w:tcW w:w="10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102</w:t>
            </w:r>
          </w:p>
        </w:tc>
      </w:tr>
      <w:tr>
        <w:trPr>
          <w:trHeight w:val="237"/>
        </w:trPr>
        <w:tc>
          <w:tcPr>
            <w:tcW w:w="6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ATM fees</w:t>
            </w:r>
          </w:p>
        </w:tc>
        <w:tc>
          <w:tcPr>
            <w:tcW w:w="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w:t>
            </w:r>
          </w:p>
        </w:tc>
        <w:tc>
          <w:tcPr>
            <w:tcW w:w="10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w:t>
            </w:r>
          </w:p>
        </w:tc>
      </w:tr>
      <w:tr>
        <w:trPr>
          <w:trHeight w:val="243"/>
        </w:trPr>
        <w:tc>
          <w:tcPr>
            <w:tcW w:w="64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service charges on deposit accounts</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267</w:t>
            </w:r>
          </w:p>
        </w:tc>
        <w:tc>
          <w:tcPr>
            <w:tcW w:w="10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259</w:t>
            </w:r>
          </w:p>
        </w:tc>
      </w:tr>
      <w:tr>
        <w:trPr>
          <w:trHeight w:val="239"/>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Fee Income</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Insurance agency revenue</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420</w:t>
            </w:r>
          </w:p>
        </w:tc>
        <w:tc>
          <w:tcPr>
            <w:tcW w:w="10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299</w:t>
            </w:r>
          </w:p>
        </w:tc>
      </w:tr>
      <w:tr>
        <w:trPr>
          <w:trHeight w:val="237"/>
        </w:trPr>
        <w:tc>
          <w:tcPr>
            <w:tcW w:w="6480" w:type="dxa"/>
            <w:vAlign w:val="bottom"/>
          </w:tcPr>
          <w:p>
            <w:pPr>
              <w:ind w:left="120"/>
              <w:spacing w:after="0"/>
              <w:rPr>
                <w:sz w:val="20"/>
                <w:szCs w:val="20"/>
                <w:color w:val="auto"/>
              </w:rPr>
            </w:pPr>
            <w:r>
              <w:rPr>
                <w:rFonts w:ascii="Arial" w:cs="Arial" w:eastAsia="Arial" w:hAnsi="Arial"/>
                <w:sz w:val="18"/>
                <w:szCs w:val="18"/>
                <w:color w:val="auto"/>
              </w:rPr>
              <w:t>Investment services revenue</w:t>
            </w:r>
          </w:p>
        </w:tc>
        <w:tc>
          <w:tcPr>
            <w:tcW w:w="460" w:type="dxa"/>
            <w:vAlign w:val="bottom"/>
          </w:tcPr>
          <w:p>
            <w:pPr>
              <w:spacing w:after="0"/>
              <w:rPr>
                <w:sz w:val="20"/>
                <w:szCs w:val="20"/>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135</w:t>
            </w:r>
          </w:p>
        </w:tc>
        <w:tc>
          <w:tcPr>
            <w:tcW w:w="102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97</w:t>
            </w:r>
          </w:p>
        </w:tc>
      </w:tr>
      <w:tr>
        <w:trPr>
          <w:trHeight w:val="249"/>
        </w:trPr>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ATM fees surcharge</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48</w:t>
            </w:r>
          </w:p>
        </w:tc>
        <w:tc>
          <w:tcPr>
            <w:tcW w:w="10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r>
      <w:tr>
        <w:trPr>
          <w:trHeight w:val="237"/>
        </w:trPr>
        <w:tc>
          <w:tcPr>
            <w:tcW w:w="6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Banking house rents collected</w:t>
            </w:r>
          </w:p>
        </w:tc>
        <w:tc>
          <w:tcPr>
            <w:tcW w:w="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w:t>
            </w:r>
          </w:p>
        </w:tc>
        <w:tc>
          <w:tcPr>
            <w:tcW w:w="10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w:t>
            </w:r>
          </w:p>
        </w:tc>
      </w:tr>
      <w:tr>
        <w:trPr>
          <w:trHeight w:val="243"/>
        </w:trPr>
        <w:tc>
          <w:tcPr>
            <w:tcW w:w="64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fee income</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651</w:t>
            </w:r>
          </w:p>
        </w:tc>
        <w:tc>
          <w:tcPr>
            <w:tcW w:w="10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499</w:t>
            </w:r>
          </w:p>
        </w:tc>
      </w:tr>
      <w:tr>
        <w:trPr>
          <w:trHeight w:val="239"/>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Card income</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Debit card interchange fees</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321</w:t>
            </w:r>
          </w:p>
        </w:tc>
        <w:tc>
          <w:tcPr>
            <w:tcW w:w="10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228</w:t>
            </w:r>
          </w:p>
        </w:tc>
      </w:tr>
      <w:tr>
        <w:trPr>
          <w:trHeight w:val="237"/>
        </w:trPr>
        <w:tc>
          <w:tcPr>
            <w:tcW w:w="6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Merchant card fees</w:t>
            </w:r>
          </w:p>
        </w:tc>
        <w:tc>
          <w:tcPr>
            <w:tcW w:w="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r>
      <w:tr>
        <w:trPr>
          <w:trHeight w:val="243"/>
        </w:trPr>
        <w:tc>
          <w:tcPr>
            <w:tcW w:w="64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card income</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332</w:t>
            </w:r>
          </w:p>
        </w:tc>
        <w:tc>
          <w:tcPr>
            <w:tcW w:w="10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244</w:t>
            </w:r>
          </w:p>
        </w:tc>
      </w:tr>
      <w:tr>
        <w:trPr>
          <w:trHeight w:val="211"/>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Mortgage fee income and realized gain on sale of loans</w:t>
            </w: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6480" w:type="dxa"/>
            <w:vAlign w:val="bottom"/>
          </w:tcPr>
          <w:p>
            <w:pPr>
              <w:ind w:left="120"/>
              <w:spacing w:after="0"/>
              <w:rPr>
                <w:sz w:val="20"/>
                <w:szCs w:val="20"/>
                <w:color w:val="auto"/>
              </w:rPr>
            </w:pPr>
            <w:r>
              <w:rPr>
                <w:rFonts w:ascii="Arial" w:cs="Arial" w:eastAsia="Arial" w:hAnsi="Arial"/>
                <w:sz w:val="18"/>
                <w:szCs w:val="18"/>
                <w:b w:val="1"/>
                <w:bCs w:val="1"/>
                <w:color w:val="auto"/>
              </w:rPr>
              <w:t>and foreclosed real estate</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0"/>
        </w:trPr>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 servicing fees</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72</w:t>
            </w:r>
          </w:p>
        </w:tc>
        <w:tc>
          <w:tcPr>
            <w:tcW w:w="10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w:t>
            </w:r>
          </w:p>
        </w:tc>
      </w:tr>
      <w:tr>
        <w:trPr>
          <w:trHeight w:val="237"/>
        </w:trPr>
        <w:tc>
          <w:tcPr>
            <w:tcW w:w="6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Net gains on sales of loans and foreclosed real estate</w:t>
            </w:r>
          </w:p>
        </w:tc>
        <w:tc>
          <w:tcPr>
            <w:tcW w:w="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w:t>
            </w:r>
          </w:p>
        </w:tc>
        <w:tc>
          <w:tcPr>
            <w:tcW w:w="10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w:t>
            </w:r>
          </w:p>
        </w:tc>
      </w:tr>
      <w:tr>
        <w:trPr>
          <w:trHeight w:val="215"/>
        </w:trPr>
        <w:tc>
          <w:tcPr>
            <w:tcW w:w="64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mortgage fee income and realized gain on sale of</w:t>
            </w:r>
          </w:p>
        </w:tc>
        <w:tc>
          <w:tcPr>
            <w:tcW w:w="4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44"/>
        </w:trPr>
        <w:tc>
          <w:tcPr>
            <w:tcW w:w="64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loans and foreclosed real estate</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97</w:t>
            </w:r>
          </w:p>
        </w:tc>
        <w:tc>
          <w:tcPr>
            <w:tcW w:w="10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180</w:t>
            </w:r>
          </w:p>
        </w:tc>
      </w:tr>
      <w:tr>
        <w:trPr>
          <w:trHeight w:val="239"/>
        </w:trPr>
        <w:tc>
          <w:tcPr>
            <w:tcW w:w="648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0"/>
                <w:szCs w:val="20"/>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1,347</w:t>
            </w:r>
          </w:p>
        </w:tc>
        <w:tc>
          <w:tcPr>
            <w:tcW w:w="102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1,182</w:t>
            </w:r>
          </w:p>
        </w:tc>
      </w:tr>
      <w:tr>
        <w:trPr>
          <w:trHeight w:val="247"/>
        </w:trPr>
        <w:tc>
          <w:tcPr>
            <w:tcW w:w="648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Earnings and gain on bank owned life insurance</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158</w:t>
            </w:r>
          </w:p>
        </w:tc>
        <w:tc>
          <w:tcPr>
            <w:tcW w:w="10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162</w:t>
            </w:r>
          </w:p>
        </w:tc>
      </w:tr>
      <w:tr>
        <w:trPr>
          <w:trHeight w:val="211"/>
        </w:trPr>
        <w:tc>
          <w:tcPr>
            <w:tcW w:w="6480" w:type="dxa"/>
            <w:vAlign w:val="bottom"/>
          </w:tcPr>
          <w:p>
            <w:pPr>
              <w:ind w:left="120"/>
              <w:spacing w:after="0"/>
              <w:rPr>
                <w:sz w:val="20"/>
                <w:szCs w:val="20"/>
                <w:color w:val="auto"/>
              </w:rPr>
            </w:pPr>
            <w:r>
              <w:rPr>
                <w:rFonts w:ascii="Arial" w:cs="Arial" w:eastAsia="Arial" w:hAnsi="Arial"/>
                <w:sz w:val="18"/>
                <w:szCs w:val="18"/>
                <w:b w:val="1"/>
                <w:bCs w:val="1"/>
                <w:color w:val="auto"/>
              </w:rPr>
              <w:t>Net gains (losses) on sale and redemption of investment</w:t>
            </w: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6480" w:type="dxa"/>
            <w:vAlign w:val="bottom"/>
          </w:tcPr>
          <w:p>
            <w:pPr>
              <w:ind w:left="240"/>
              <w:spacing w:after="0"/>
              <w:rPr>
                <w:sz w:val="20"/>
                <w:szCs w:val="20"/>
                <w:color w:val="auto"/>
              </w:rPr>
            </w:pPr>
            <w:r>
              <w:rPr>
                <w:rFonts w:ascii="Arial" w:cs="Arial" w:eastAsia="Arial" w:hAnsi="Arial"/>
                <w:sz w:val="18"/>
                <w:szCs w:val="18"/>
                <w:b w:val="1"/>
                <w:bCs w:val="1"/>
                <w:color w:val="auto"/>
              </w:rPr>
              <w:t>securities</w:t>
            </w:r>
          </w:p>
        </w:tc>
        <w:tc>
          <w:tcPr>
            <w:tcW w:w="460" w:type="dxa"/>
            <w:vAlign w:val="bottom"/>
          </w:tcPr>
          <w:p>
            <w:pPr>
              <w:spacing w:after="0"/>
              <w:rPr>
                <w:sz w:val="20"/>
                <w:szCs w:val="20"/>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10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50"/>
        </w:trPr>
        <w:tc>
          <w:tcPr>
            <w:tcW w:w="648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Gains on marketable equity securities</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68</w:t>
            </w:r>
          </w:p>
        </w:tc>
      </w:tr>
      <w:tr>
        <w:trPr>
          <w:trHeight w:val="239"/>
        </w:trPr>
        <w:tc>
          <w:tcPr>
            <w:tcW w:w="64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 miscellaneous income</w:t>
            </w:r>
          </w:p>
        </w:tc>
        <w:tc>
          <w:tcPr>
            <w:tcW w:w="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197</w:t>
            </w:r>
          </w:p>
        </w:tc>
      </w:tr>
      <w:tr>
        <w:trPr>
          <w:trHeight w:val="276"/>
        </w:trPr>
        <w:tc>
          <w:tcPr>
            <w:tcW w:w="64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noninterest income</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1,592</w:t>
            </w:r>
          </w:p>
        </w:tc>
        <w:tc>
          <w:tcPr>
            <w:tcW w:w="10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1,603</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discussion of key revenues within the scope of ASC 606 guidance:</w:t>
      </w:r>
    </w:p>
    <w:p>
      <w:pPr>
        <w:spacing w:after="0" w:line="16" w:lineRule="exact"/>
        <w:rPr>
          <w:sz w:val="20"/>
          <w:szCs w:val="20"/>
          <w:color w:val="auto"/>
        </w:rPr>
      </w:pPr>
    </w:p>
    <w:p>
      <w:pPr>
        <w:jc w:val="both"/>
        <w:ind w:left="760" w:hanging="378"/>
        <w:spacing w:after="0" w:line="266"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Service charges on deposit accounts – </w:t>
      </w:r>
      <w:r>
        <w:rPr>
          <w:rFonts w:ascii="Arial" w:cs="Arial" w:eastAsia="Arial" w:hAnsi="Arial"/>
          <w:sz w:val="18"/>
          <w:szCs w:val="18"/>
          <w:color w:val="auto"/>
        </w:rPr>
        <w:t>Revenue is earned through insufficient funds fees, customer initiated activities or passage of</w:t>
      </w:r>
      <w:r>
        <w:rPr>
          <w:rFonts w:ascii="Arial" w:cs="Arial" w:eastAsia="Arial" w:hAnsi="Arial"/>
          <w:sz w:val="18"/>
          <w:szCs w:val="18"/>
          <w:i w:val="1"/>
          <w:iCs w:val="1"/>
          <w:color w:val="auto"/>
        </w:rPr>
        <w:t xml:space="preserve"> </w:t>
      </w:r>
      <w:r>
        <w:rPr>
          <w:rFonts w:ascii="Arial" w:cs="Arial" w:eastAsia="Arial" w:hAnsi="Arial"/>
          <w:sz w:val="18"/>
          <w:szCs w:val="18"/>
          <w:color w:val="auto"/>
        </w:rPr>
        <w:t>time for deposit related fees, and ATM service fees. Transaction-based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jc w:val="both"/>
        <w:ind w:left="760" w:hanging="378"/>
        <w:spacing w:after="0" w:line="299"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Fee income – </w:t>
      </w:r>
      <w:r>
        <w:rPr>
          <w:rFonts w:ascii="Arial" w:cs="Arial" w:eastAsia="Arial" w:hAnsi="Arial"/>
          <w:sz w:val="16"/>
          <w:szCs w:val="16"/>
          <w:color w:val="auto"/>
        </w:rPr>
        <w:t>Revenue is earned through commissions on insurance and securities sales, ATM surcharge fees, and banking house</w:t>
      </w:r>
      <w:r>
        <w:rPr>
          <w:rFonts w:ascii="Arial" w:cs="Arial" w:eastAsia="Arial" w:hAnsi="Arial"/>
          <w:sz w:val="16"/>
          <w:szCs w:val="16"/>
          <w:i w:val="1"/>
          <w:iCs w:val="1"/>
          <w:color w:val="auto"/>
        </w:rPr>
        <w:t xml:space="preserve"> </w:t>
      </w:r>
      <w:r>
        <w:rPr>
          <w:rFonts w:ascii="Arial" w:cs="Arial" w:eastAsia="Arial" w:hAnsi="Arial"/>
          <w:sz w:val="16"/>
          <w:szCs w:val="16"/>
          <w:color w:val="auto"/>
        </w:rPr>
        <w:t>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spacing w:after="0" w:line="1" w:lineRule="exact"/>
        <w:rPr>
          <w:rFonts w:ascii="Arial" w:cs="Arial" w:eastAsia="Arial" w:hAnsi="Arial"/>
          <w:sz w:val="16"/>
          <w:szCs w:val="16"/>
          <w:color w:val="auto"/>
        </w:rPr>
      </w:pPr>
    </w:p>
    <w:p>
      <w:pPr>
        <w:jc w:val="both"/>
        <w:ind w:left="760" w:hanging="378"/>
        <w:spacing w:after="0" w:line="239" w:lineRule="auto"/>
        <w:tabs>
          <w:tab w:leader="none" w:pos="760" w:val="left"/>
        </w:tabs>
        <w:numPr>
          <w:ilvl w:val="0"/>
          <w:numId w:val="7"/>
        </w:numPr>
        <w:rPr>
          <w:rFonts w:ascii="Arial" w:cs="Arial" w:eastAsia="Arial" w:hAnsi="Arial"/>
          <w:sz w:val="20"/>
          <w:szCs w:val="20"/>
          <w:color w:val="auto"/>
        </w:rPr>
      </w:pPr>
      <w:r>
        <w:rPr>
          <w:rFonts w:ascii="Arial" w:cs="Arial" w:eastAsia="Arial" w:hAnsi="Arial"/>
          <w:sz w:val="20"/>
          <w:szCs w:val="20"/>
          <w:i w:val="1"/>
          <w:iCs w:val="1"/>
          <w:color w:val="auto"/>
        </w:rPr>
        <w:t xml:space="preserve">Card income – </w:t>
      </w:r>
      <w:r>
        <w:rPr>
          <w:rFonts w:ascii="Arial" w:cs="Arial" w:eastAsia="Arial" w:hAnsi="Arial"/>
          <w:sz w:val="20"/>
          <w:szCs w:val="20"/>
          <w:color w:val="auto"/>
        </w:rPr>
        <w:t>Card income consists of interchange fees from consumer debit card networks and other related services. Interchange</w:t>
      </w:r>
      <w:r>
        <w:rPr>
          <w:rFonts w:ascii="Arial" w:cs="Arial" w:eastAsia="Arial" w:hAnsi="Arial"/>
          <w:sz w:val="20"/>
          <w:szCs w:val="20"/>
          <w:i w:val="1"/>
          <w:iCs w:val="1"/>
          <w:color w:val="auto"/>
        </w:rPr>
        <w:t xml:space="preserve"> </w:t>
      </w:r>
      <w:r>
        <w:rPr>
          <w:rFonts w:ascii="Arial" w:cs="Arial" w:eastAsia="Arial" w:hAnsi="Arial"/>
          <w:sz w:val="20"/>
          <w:szCs w:val="20"/>
          <w:color w:val="auto"/>
        </w:rPr>
        <w:t>rates are set by the card networks. Interchange fees are based on purchase volumes and other factors and are recognized as transactions occur.</w:t>
      </w:r>
    </w:p>
    <w:p>
      <w:pPr>
        <w:spacing w:after="0" w:line="1" w:lineRule="exact"/>
        <w:rPr>
          <w:rFonts w:ascii="Arial" w:cs="Arial" w:eastAsia="Arial" w:hAnsi="Arial"/>
          <w:sz w:val="20"/>
          <w:szCs w:val="20"/>
          <w:color w:val="auto"/>
        </w:rPr>
      </w:pPr>
    </w:p>
    <w:p>
      <w:pPr>
        <w:jc w:val="both"/>
        <w:ind w:left="760" w:hanging="378"/>
        <w:spacing w:after="0" w:line="257" w:lineRule="auto"/>
        <w:tabs>
          <w:tab w:leader="none" w:pos="760" w:val="left"/>
        </w:tabs>
        <w:numPr>
          <w:ilvl w:val="0"/>
          <w:numId w:val="7"/>
        </w:numPr>
        <w:rPr>
          <w:rFonts w:ascii="Arial" w:cs="Arial" w:eastAsia="Arial" w:hAnsi="Arial"/>
          <w:sz w:val="19"/>
          <w:szCs w:val="19"/>
          <w:color w:val="auto"/>
        </w:rPr>
      </w:pPr>
      <w:r>
        <w:rPr>
          <w:rFonts w:ascii="Arial" w:cs="Arial" w:eastAsia="Arial" w:hAnsi="Arial"/>
          <w:sz w:val="19"/>
          <w:szCs w:val="19"/>
          <w:i w:val="1"/>
          <w:iCs w:val="1"/>
          <w:color w:val="auto"/>
        </w:rPr>
        <w:t xml:space="preserve">Mortgage fee income and realized gain on sale of loans and foreclosed real estate </w:t>
      </w:r>
      <w:r>
        <w:rPr>
          <w:rFonts w:ascii="Arial" w:cs="Arial" w:eastAsia="Arial" w:hAnsi="Arial"/>
          <w:sz w:val="19"/>
          <w:szCs w:val="19"/>
          <w:color w:val="auto"/>
        </w:rPr>
        <w:t>– Revenue from mortgage fee income and</w:t>
      </w:r>
      <w:r>
        <w:rPr>
          <w:rFonts w:ascii="Arial" w:cs="Arial" w:eastAsia="Arial" w:hAnsi="Arial"/>
          <w:sz w:val="19"/>
          <w:szCs w:val="19"/>
          <w:i w:val="1"/>
          <w:iCs w:val="1"/>
          <w:color w:val="auto"/>
        </w:rPr>
        <w:t xml:space="preserve"> </w:t>
      </w:r>
      <w:r>
        <w:rPr>
          <w:rFonts w:ascii="Arial" w:cs="Arial" w:eastAsia="Arial" w:hAnsi="Arial"/>
          <w:sz w:val="19"/>
          <w:szCs w:val="19"/>
          <w:color w:val="auto"/>
        </w:rPr>
        <w:t>realized gain on sale of loans and foreclosed real estate is earned through the origination of residential and commercial mortgage loans, sales of one-to-four family residential mortgage loans, sales of government guarantees portions of Small Business Administration loans (“SBA loans”), and sales of foreclosed real estate, and is earned as the transaction occurs.</w:t>
      </w:r>
    </w:p>
    <w:p>
      <w:pPr>
        <w:spacing w:after="0" w:line="180" w:lineRule="exact"/>
        <w:rPr>
          <w:rFonts w:ascii="Arial" w:cs="Arial" w:eastAsia="Arial" w:hAnsi="Arial"/>
          <w:sz w:val="19"/>
          <w:szCs w:val="19"/>
          <w:color w:val="auto"/>
        </w:rPr>
      </w:pPr>
    </w:p>
    <w:p>
      <w:pPr>
        <w:ind w:left="5540" w:hanging="111"/>
        <w:spacing w:after="0"/>
        <w:tabs>
          <w:tab w:leader="none" w:pos="554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40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Note 14: Leases</w:t>
      </w:r>
    </w:p>
    <w:p>
      <w:pPr>
        <w:spacing w:after="0" w:line="23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Company has operating and finance leases for certain banking offices and land under noncancelable agreements. Our leases have remaining lease terms that vary from less than two years up to 28 years, some of which include options to extend the leases for various renewal periods. All options to renew are included in the current lease term when we believe it is reasonably certain that the renewal options will be exercised.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lease expense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color w:val="auto"/>
              </w:rPr>
              <w:t>For the three months ended</w:t>
            </w:r>
          </w:p>
        </w:tc>
      </w:tr>
      <w:tr>
        <w:trPr>
          <w:trHeight w:val="237"/>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March 31, 2023</w:t>
            </w:r>
          </w:p>
        </w:tc>
        <w:tc>
          <w:tcPr>
            <w:tcW w:w="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March 31, 2022</w:t>
            </w:r>
          </w:p>
        </w:tc>
      </w:tr>
      <w:tr>
        <w:trPr>
          <w:trHeight w:val="24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59</w:t>
            </w:r>
          </w:p>
        </w:tc>
        <w:tc>
          <w:tcPr>
            <w:tcW w:w="6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w:t>
            </w:r>
          </w:p>
        </w:tc>
      </w:tr>
      <w:tr>
        <w:trPr>
          <w:trHeight w:val="237"/>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Finance lease cost</w:t>
            </w: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w:t>
            </w:r>
          </w:p>
        </w:tc>
        <w:tc>
          <w:tcPr>
            <w:tcW w:w="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r>
      <w:tr>
        <w:trPr>
          <w:trHeight w:val="463"/>
        </w:trPr>
        <w:tc>
          <w:tcPr>
            <w:tcW w:w="6660" w:type="dxa"/>
            <w:vAlign w:val="bottom"/>
          </w:tcPr>
          <w:p>
            <w:pPr>
              <w:spacing w:after="0"/>
              <w:rPr>
                <w:sz w:val="20"/>
                <w:szCs w:val="20"/>
                <w:color w:val="auto"/>
              </w:rPr>
            </w:pPr>
            <w:r>
              <w:rPr>
                <w:rFonts w:ascii="Arial" w:cs="Arial" w:eastAsia="Arial" w:hAnsi="Arial"/>
                <w:sz w:val="20"/>
                <w:szCs w:val="20"/>
                <w:color w:val="auto"/>
              </w:rPr>
              <w:t>Supplemental cash flow information related to leases was as follows:</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9"/>
        </w:trPr>
        <w:tc>
          <w:tcPr>
            <w:tcW w:w="6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color w:val="auto"/>
              </w:rPr>
              <w:t>For the three months ended</w:t>
            </w:r>
          </w:p>
        </w:tc>
      </w:tr>
      <w:tr>
        <w:trPr>
          <w:trHeight w:val="237"/>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March 31, 2023</w:t>
            </w:r>
          </w:p>
        </w:tc>
        <w:tc>
          <w:tcPr>
            <w:tcW w:w="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March 31, 2022</w:t>
            </w:r>
          </w:p>
        </w:tc>
      </w:tr>
      <w:tr>
        <w:trPr>
          <w:trHeight w:val="24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paid for amount included in the measurement of lease liabilities:</w:t>
            </w:r>
          </w:p>
        </w:tc>
        <w:tc>
          <w:tcPr>
            <w:tcW w:w="38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r>
      <w:tr>
        <w:trPr>
          <w:trHeight w:val="237"/>
        </w:trPr>
        <w:tc>
          <w:tcPr>
            <w:tcW w:w="666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54</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52</w:t>
            </w:r>
          </w:p>
        </w:tc>
      </w:tr>
      <w:tr>
        <w:trPr>
          <w:trHeight w:val="249"/>
        </w:trPr>
        <w:tc>
          <w:tcPr>
            <w:tcW w:w="6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38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55</w:t>
            </w:r>
          </w:p>
        </w:tc>
        <w:tc>
          <w:tcPr>
            <w:tcW w:w="62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r>
      <w:tr>
        <w:trPr>
          <w:trHeight w:val="237"/>
        </w:trPr>
        <w:tc>
          <w:tcPr>
            <w:tcW w:w="66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w:t>
            </w:r>
          </w:p>
        </w:tc>
        <w:tc>
          <w:tcPr>
            <w:tcW w:w="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Supplemental balance sheet information related to leases was as follows: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lease term and discount rate)</w:t>
            </w:r>
          </w:p>
        </w:tc>
        <w:tc>
          <w:tcPr>
            <w:tcW w:w="268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March 31, 2023</w:t>
            </w:r>
          </w:p>
        </w:tc>
        <w:tc>
          <w:tcPr>
            <w:tcW w:w="58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March 31, 2022</w:t>
            </w:r>
          </w:p>
        </w:tc>
      </w:tr>
      <w:tr>
        <w:trPr>
          <w:trHeight w:val="243"/>
        </w:trPr>
        <w:tc>
          <w:tcPr>
            <w:tcW w:w="45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Operating Leases:</w:t>
            </w:r>
          </w:p>
        </w:tc>
        <w:tc>
          <w:tcPr>
            <w:tcW w:w="26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56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2,062</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2,102</w:t>
            </w:r>
          </w:p>
        </w:tc>
        <w:tc>
          <w:tcPr>
            <w:tcW w:w="20" w:type="dxa"/>
            <w:vAlign w:val="bottom"/>
          </w:tcPr>
          <w:p>
            <w:pPr>
              <w:spacing w:after="0"/>
              <w:rPr>
                <w:sz w:val="20"/>
                <w:szCs w:val="20"/>
                <w:color w:val="auto"/>
              </w:rPr>
            </w:pPr>
          </w:p>
        </w:tc>
      </w:tr>
      <w:tr>
        <w:trPr>
          <w:trHeight w:val="249"/>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26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2,385</w:t>
            </w:r>
          </w:p>
        </w:tc>
        <w:tc>
          <w:tcPr>
            <w:tcW w:w="5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2,409</w:t>
            </w:r>
          </w:p>
        </w:tc>
        <w:tc>
          <w:tcPr>
            <w:tcW w:w="20" w:type="dxa"/>
            <w:vAlign w:val="bottom"/>
          </w:tcPr>
          <w:p>
            <w:pPr>
              <w:spacing w:after="0"/>
              <w:rPr>
                <w:sz w:val="21"/>
                <w:szCs w:val="21"/>
                <w:color w:val="auto"/>
              </w:rPr>
            </w:pPr>
          </w:p>
        </w:tc>
      </w:tr>
      <w:tr>
        <w:trPr>
          <w:trHeight w:val="243"/>
        </w:trPr>
        <w:tc>
          <w:tcPr>
            <w:tcW w:w="45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Finance Leases:</w:t>
            </w:r>
          </w:p>
        </w:tc>
        <w:tc>
          <w:tcPr>
            <w:tcW w:w="26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560" w:type="dxa"/>
            <w:vAlign w:val="bottom"/>
          </w:tcPr>
          <w:p>
            <w:pPr>
              <w:ind w:left="120"/>
              <w:spacing w:after="0"/>
              <w:rPr>
                <w:sz w:val="20"/>
                <w:szCs w:val="20"/>
                <w:color w:val="auto"/>
              </w:rPr>
            </w:pPr>
            <w:r>
              <w:rPr>
                <w:rFonts w:ascii="Arial" w:cs="Arial" w:eastAsia="Arial" w:hAnsi="Arial"/>
                <w:sz w:val="18"/>
                <w:szCs w:val="18"/>
                <w:color w:val="auto"/>
              </w:rPr>
              <w:t>Finance lease right-of-use assets</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4,178</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9"/>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 liability</w:t>
            </w:r>
          </w:p>
        </w:tc>
        <w:tc>
          <w:tcPr>
            <w:tcW w:w="26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4,411</w:t>
            </w:r>
          </w:p>
        </w:tc>
        <w:tc>
          <w:tcPr>
            <w:tcW w:w="5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21"/>
                <w:szCs w:val="21"/>
                <w:color w:val="auto"/>
              </w:rPr>
            </w:pPr>
          </w:p>
        </w:tc>
      </w:tr>
      <w:tr>
        <w:trPr>
          <w:trHeight w:val="243"/>
        </w:trPr>
        <w:tc>
          <w:tcPr>
            <w:tcW w:w="45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26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68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18.17 years</w:t>
            </w:r>
          </w:p>
        </w:tc>
        <w:tc>
          <w:tcPr>
            <w:tcW w:w="580" w:type="dxa"/>
            <w:vAlign w:val="bottom"/>
          </w:tcPr>
          <w:p>
            <w:pPr>
              <w:spacing w:after="0"/>
              <w:rPr>
                <w:sz w:val="20"/>
                <w:szCs w:val="20"/>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18.16 years</w:t>
            </w:r>
          </w:p>
        </w:tc>
        <w:tc>
          <w:tcPr>
            <w:tcW w:w="20" w:type="dxa"/>
            <w:vAlign w:val="bottom"/>
          </w:tcPr>
          <w:p>
            <w:pPr>
              <w:spacing w:after="0"/>
              <w:rPr>
                <w:sz w:val="20"/>
                <w:szCs w:val="20"/>
                <w:color w:val="auto"/>
              </w:rPr>
            </w:pPr>
          </w:p>
        </w:tc>
      </w:tr>
      <w:tr>
        <w:trPr>
          <w:trHeight w:val="256"/>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2680" w:type="dxa"/>
            <w:vAlign w:val="bottom"/>
            <w:shd w:val="clear" w:color="auto" w:fill="CFF0FC"/>
          </w:tcPr>
          <w:p>
            <w:pPr>
              <w:spacing w:after="0"/>
              <w:rPr>
                <w:sz w:val="22"/>
                <w:szCs w:val="22"/>
                <w:color w:val="auto"/>
              </w:rPr>
            </w:pPr>
          </w:p>
        </w:tc>
        <w:tc>
          <w:tcPr>
            <w:tcW w:w="18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28.10 years</w:t>
            </w:r>
          </w:p>
        </w:tc>
        <w:tc>
          <w:tcPr>
            <w:tcW w:w="580" w:type="dxa"/>
            <w:vAlign w:val="bottom"/>
            <w:shd w:val="clear" w:color="auto" w:fill="CFF0FC"/>
          </w:tcPr>
          <w:p>
            <w:pPr>
              <w:spacing w:after="0"/>
              <w:rPr>
                <w:sz w:val="22"/>
                <w:szCs w:val="22"/>
                <w:color w:val="auto"/>
              </w:rPr>
            </w:pPr>
          </w:p>
        </w:tc>
        <w:tc>
          <w:tcPr>
            <w:tcW w:w="1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27.17 years</w:t>
            </w:r>
          </w:p>
        </w:tc>
        <w:tc>
          <w:tcPr>
            <w:tcW w:w="20" w:type="dxa"/>
            <w:vAlign w:val="bottom"/>
          </w:tcPr>
          <w:p>
            <w:pPr>
              <w:spacing w:after="0"/>
              <w:rPr>
                <w:sz w:val="22"/>
                <w:szCs w:val="22"/>
                <w:color w:val="auto"/>
              </w:rPr>
            </w:pPr>
          </w:p>
        </w:tc>
      </w:tr>
      <w:tr>
        <w:trPr>
          <w:trHeight w:val="243"/>
        </w:trPr>
        <w:tc>
          <w:tcPr>
            <w:tcW w:w="45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6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6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3.86 %</w:t>
            </w:r>
          </w:p>
        </w:tc>
        <w:tc>
          <w:tcPr>
            <w:tcW w:w="5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3.73 %</w:t>
            </w:r>
          </w:p>
        </w:tc>
        <w:tc>
          <w:tcPr>
            <w:tcW w:w="20" w:type="dxa"/>
            <w:vAlign w:val="bottom"/>
          </w:tcPr>
          <w:p>
            <w:pPr>
              <w:spacing w:after="0"/>
              <w:rPr>
                <w:sz w:val="20"/>
                <w:szCs w:val="20"/>
                <w:color w:val="auto"/>
              </w:rPr>
            </w:pPr>
          </w:p>
        </w:tc>
      </w:tr>
      <w:tr>
        <w:trPr>
          <w:trHeight w:val="249"/>
        </w:trPr>
        <w:tc>
          <w:tcPr>
            <w:tcW w:w="45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268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9.41 %</w:t>
            </w:r>
          </w:p>
        </w:tc>
        <w:tc>
          <w:tcPr>
            <w:tcW w:w="5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13.75 %</w:t>
            </w:r>
          </w:p>
        </w:tc>
        <w:tc>
          <w:tcPr>
            <w:tcW w:w="20" w:type="dxa"/>
            <w:vAlign w:val="bottom"/>
          </w:tcPr>
          <w:p>
            <w:pPr>
              <w:spacing w:after="0"/>
              <w:rPr>
                <w:sz w:val="21"/>
                <w:szCs w:val="21"/>
                <w:color w:val="auto"/>
              </w:rPr>
            </w:pPr>
          </w:p>
        </w:tc>
      </w:tr>
      <w:tr>
        <w:trPr>
          <w:trHeight w:val="445"/>
        </w:trPr>
        <w:tc>
          <w:tcPr>
            <w:tcW w:w="4560" w:type="dxa"/>
            <w:vAlign w:val="bottom"/>
          </w:tcPr>
          <w:p>
            <w:pPr>
              <w:spacing w:after="0"/>
              <w:rPr>
                <w:sz w:val="20"/>
                <w:szCs w:val="20"/>
                <w:color w:val="auto"/>
              </w:rPr>
            </w:pPr>
            <w:r>
              <w:rPr>
                <w:rFonts w:ascii="Arial" w:cs="Arial" w:eastAsia="Arial" w:hAnsi="Arial"/>
                <w:sz w:val="18"/>
                <w:szCs w:val="18"/>
                <w:color w:val="auto"/>
              </w:rPr>
              <w:t>Maturities of lease liabilities are as follows:</w:t>
            </w:r>
          </w:p>
        </w:tc>
        <w:tc>
          <w:tcPr>
            <w:tcW w:w="2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9"/>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Twelve Months Ending March 31,</w:t>
            </w:r>
          </w:p>
        </w:tc>
        <w:tc>
          <w:tcPr>
            <w:tcW w:w="2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4560" w:type="dxa"/>
            <w:vAlign w:val="bottom"/>
          </w:tcPr>
          <w:p>
            <w:pPr>
              <w:ind w:left="20"/>
              <w:spacing w:after="0"/>
              <w:rPr>
                <w:sz w:val="20"/>
                <w:szCs w:val="20"/>
                <w:color w:val="auto"/>
              </w:rPr>
            </w:pPr>
            <w:r>
              <w:rPr>
                <w:rFonts w:ascii="Arial" w:cs="Arial" w:eastAsia="Arial" w:hAnsi="Arial"/>
                <w:sz w:val="18"/>
                <w:szCs w:val="18"/>
                <w:color w:val="auto"/>
              </w:rPr>
              <w:t>2024</w:t>
            </w:r>
          </w:p>
        </w:tc>
        <w:tc>
          <w:tcPr>
            <w:tcW w:w="26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117</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164</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2026</w:t>
            </w:r>
          </w:p>
        </w:tc>
        <w:tc>
          <w:tcPr>
            <w:tcW w:w="26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175</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186</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2028</w:t>
            </w:r>
          </w:p>
        </w:tc>
        <w:tc>
          <w:tcPr>
            <w:tcW w:w="26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198</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5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26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5,956</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minimum lease payments</w:t>
            </w:r>
          </w:p>
        </w:tc>
        <w:tc>
          <w:tcPr>
            <w:tcW w:w="26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6,796</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9"/>
        </w:trPr>
        <w:tc>
          <w:tcPr>
            <w:tcW w:w="4560" w:type="dxa"/>
            <w:vAlign w:val="bottom"/>
          </w:tcPr>
          <w:p>
            <w:pPr>
              <w:spacing w:after="0"/>
              <w:rPr>
                <w:sz w:val="24"/>
                <w:szCs w:val="24"/>
                <w:color w:val="auto"/>
              </w:rPr>
            </w:pPr>
          </w:p>
        </w:tc>
        <w:tc>
          <w:tcPr>
            <w:tcW w:w="2680" w:type="dxa"/>
            <w:vAlign w:val="bottom"/>
          </w:tcPr>
          <w:p>
            <w:pPr>
              <w:jc w:val="right"/>
              <w:ind w:right="133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41</w:t>
            </w:r>
            <w:r>
              <w:rPr>
                <w:rFonts w:ascii="Arial" w:cs="Arial" w:eastAsia="Arial" w:hAnsi="Arial"/>
                <w:sz w:val="18"/>
                <w:szCs w:val="18"/>
                <w:color w:val="auto"/>
              </w:rPr>
              <w:t xml:space="preserve"> -</w:t>
            </w: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20"/>
          <w:szCs w:val="20"/>
          <w:color w:val="auto"/>
        </w:rPr>
        <w:t>The Company owns certain properties that it leases to unaffiliated third parties at market rates. Lease rental income was $48,000 and $55,000 for the three months ended March 31, 2023 and 2022 respectively. All lease agreements, in which the Company is the lessor, are accounted for as operating leases.</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Related Party Transactions:</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ordinary course of business, the Company has granted loans to certain directors, executive officers and their affiliates (collectively referred to as “related parties”). None of the related party loans were classified as nonaccrual, past due, restructured, or potential problem loans at March 31, 2023 or December 31, 2022.</w:t>
      </w:r>
    </w:p>
    <w:p>
      <w:pPr>
        <w:spacing w:after="0" w:line="78"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The following represents the activity associated with loans to related parties during the three months ended March 31, 2023 and the year ended December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March 31,</w:t>
            </w:r>
          </w:p>
        </w:tc>
        <w:tc>
          <w:tcPr>
            <w:tcW w:w="46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December 31,</w:t>
            </w:r>
          </w:p>
        </w:tc>
      </w:tr>
      <w:tr>
        <w:trPr>
          <w:trHeight w:val="25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5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r>
      <w:tr>
        <w:trPr>
          <w:trHeight w:val="24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the beginning of the year</w:t>
            </w:r>
          </w:p>
        </w:tc>
        <w:tc>
          <w:tcPr>
            <w:tcW w:w="2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32,531</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22,427</w:t>
            </w:r>
          </w:p>
        </w:tc>
      </w:tr>
      <w:tr>
        <w:trPr>
          <w:trHeight w:val="237"/>
        </w:trPr>
        <w:tc>
          <w:tcPr>
            <w:tcW w:w="5540" w:type="dxa"/>
            <w:vAlign w:val="bottom"/>
          </w:tcPr>
          <w:p>
            <w:pPr>
              <w:ind w:left="120"/>
              <w:spacing w:after="0"/>
              <w:rPr>
                <w:sz w:val="20"/>
                <w:szCs w:val="20"/>
                <w:color w:val="auto"/>
              </w:rPr>
            </w:pPr>
            <w:r>
              <w:rPr>
                <w:rFonts w:ascii="Arial" w:cs="Arial" w:eastAsia="Arial" w:hAnsi="Arial"/>
                <w:sz w:val="18"/>
                <w:szCs w:val="18"/>
                <w:color w:val="auto"/>
              </w:rPr>
              <w:t>Originations and related party additions</w:t>
            </w:r>
          </w:p>
        </w:tc>
        <w:tc>
          <w:tcPr>
            <w:tcW w:w="254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15,278</w:t>
            </w:r>
          </w:p>
        </w:tc>
      </w:tr>
      <w:tr>
        <w:trPr>
          <w:trHeight w:val="243"/>
        </w:trPr>
        <w:tc>
          <w:tcPr>
            <w:tcW w:w="55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Principal payments and related party removals</w:t>
            </w:r>
          </w:p>
        </w:tc>
        <w:tc>
          <w:tcPr>
            <w:tcW w:w="25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(611 )</w:t>
            </w:r>
          </w:p>
        </w:tc>
        <w:tc>
          <w:tcPr>
            <w:tcW w:w="4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(5,174 )</w:t>
            </w:r>
          </w:p>
        </w:tc>
      </w:tr>
      <w:tr>
        <w:trPr>
          <w:trHeight w:val="236"/>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the end of the period</w:t>
            </w:r>
          </w:p>
        </w:tc>
        <w:tc>
          <w:tcPr>
            <w:tcW w:w="2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31,995</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32,531</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right="1960"/>
        <w:spacing w:after="0" w:line="446" w:lineRule="auto"/>
        <w:rPr>
          <w:sz w:val="20"/>
          <w:szCs w:val="20"/>
          <w:color w:val="auto"/>
        </w:rPr>
      </w:pPr>
      <w:r>
        <w:rPr>
          <w:rFonts w:ascii="Arial" w:cs="Arial" w:eastAsia="Arial" w:hAnsi="Arial"/>
          <w:sz w:val="20"/>
          <w:szCs w:val="20"/>
          <w:b w:val="1"/>
          <w:bCs w:val="1"/>
          <w:color w:val="auto"/>
        </w:rPr>
        <w:t>Item 2 - Management's Discussion and Analysis of Financial Condition and Results of Operations (Unaudited) General</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Company is a Maryland corporation headquartered in Oswego, New York. The Company is 100% owned by public shareholders. The primary business of the Company is its investment in Pathfinder Bank (the "Bank"), a New York State chartered commercial bank, which is 100% owned by the Company. The Bank has two wholly owned operating subsidiaries, Pathfinder Risk Management Company, Inc. (“PRMC”) and Whispering Oaks Development Corp. All significant inter-company accounts and activity have been eliminated in consolidation. Although the Company owns, through its subsidiary PRMC, 51% of the membership interest in FitzGibbons Agency, LLC (“Fitzgibbons” or “Agency”), the Company is required to consolidate 100% of FitzGibbons within the consolidated financial statements. The 49% of which the Company does not own, is accounted for separately as a noncontrolling interest within the consolidated financial statements. At March 31, 2023, the Company and subsidiaries had total consolidated assets of $1.40 billion, total consolidated liabilities of $1.29 billion and shareholders' equity of $111.7 million, plus noncontrolling interest of $661,000, which represents the 49% of FitzGibbons not owned by the Company.</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discussion reviews the Company's financial condition at March 31, 2023 and the results of operations for the three month period ended March 31, 2023 and 2022. Operating results for the three months ended March 31, 2023 are not necessarily indicative of the results that may be expected for the year ending December 31, 2023 or any other period.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following material under the heading "Management's Discussion and Analysis of Financial Condition and Results of Operations" is written with the presumption that the users of the interim financial statements have read, or have access to, the Company's latest audited financial statements and notes thereto, together with Management's Discussion and Analysis of Financial Condition and Results of Operations included in the 2022 Annual Report on Form 10-K filed with the Securities and Exchange Commission on March 31, 2023 (“the consolidated annual financial statements”) as of December 31, 2022 and 2021 and for the two years then ended. Therefore, only material changes in financial condition and results of operations are discussed in the remainder of Item 2.</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Regarding Forward-Looking Statements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Certain statements contained herein are “forward looking statements” within the meaning of Section 27A of the Securities Act of 1933 and Section 21E of the Securities Exchange Act of 1934. These forward-looking statements are generally identified by use of the words "believe," "expect," "intend," "anticipate," "estimate," "project" or similar expressions, or future or conditional verbs, such as “will,” “would,” “should,” “could,” or “may.” These forward-looking statements 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42</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2" w:name="page43"/>
    <w:bookmarkEnd w:id="42"/>
    <w:p>
      <w:pPr>
        <w:jc w:val="both"/>
        <w:spacing w:after="0" w:line="254" w:lineRule="auto"/>
        <w:rPr>
          <w:sz w:val="20"/>
          <w:szCs w:val="20"/>
          <w:color w:val="auto"/>
        </w:rPr>
      </w:pPr>
      <w:r>
        <w:rPr>
          <w:rFonts w:ascii="Arial" w:cs="Arial" w:eastAsia="Arial" w:hAnsi="Arial"/>
          <w:sz w:val="19"/>
          <w:szCs w:val="19"/>
          <w:color w:val="auto"/>
        </w:rPr>
        <w:t>based on current beliefs and expectations of the Company’s and the Bank’s management and are inherently subject to significant business, economic and competitive uncertainties and contingencies, many of which are beyond the Company’s and the Bank’s control. In addition, these forward-looking statements are subject to assumptions with respect to future business strategies and decisions that are subject to change. Actual results may differ materially from those set forth in the forward-looking statements as a result of numerous factors. Factors that could cause such differences to exist include, but are not limited to: risks related to the real estate and economic environment, particularly in the market areas in which the Company and the Bank operate; fiscal and monetary policies of the U.S. Government; inflation; changes in government regulations affecting financial institutions, including regulatory compliance costs and capital requirements; fluctuations in the adequacy of the allowance for credit losses; decreases in deposit levels necessitating increased borrowing to fund loans and investments; the effects of the COVID-19 pandemic; operational risks including, but not limited to, cybersecurity, fraud and natural disasters; the risk that the Company may not be successful in the implementation of its business strategy; changes in prevailing interest rates; credit risk management; asset-liability management; recent events involving the failure of financial institutions and the impact on the Company's business and the market price of its common stock; any future increase in FDIC insurance assessments or special assessments; and other risks described in the Company’s filings with the Securities and Exchange Commission, which are available at the SEC’s website, www.sec.gov.</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and the Bank caution prospective investors not to place undue reliance on any such forward-looking statements, which speak only as of the date made. The Company disclaims any obligation to revise or update any forward-looking statements contained in this quarterly report on Form 10-Q to reflect future events or developments.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Application of Critical Accounting Estimates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consolidated quarterly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quarterly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most significant accounting policies followed by the Company are presented in Note 1 to the annual audited consolidated financial statements. These policies, along with the disclosures presented in the other financial statement notes and in this discussion, provide information on how significant assets and liabilities are valued in the consolidated quarterly financial statements and how those values are determined. Based on the valuation techniques used and the sensitivity of financial statement amounts to the methods, assumptions, and estimates underlying those amounts, management has identified the allowance for credit losses, deferred income taxes, pension obligations, the evaluation of investment securities for credit losses, the estimation of fair values for accounting and disclosure purposes, and the evaluation of goodwill for impairment to be the accounting areas that require the most subjective and complex judgments. These areas could be the most subject to revision as new information becomes available.</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June 2016, the FASB issued Accounting Standards Update (ASU) 2016-13, Financial Instruments - Credit Losses (Topic 326): Measurement of Credit Losses on Financial Instruments. The standard’s stated main goal is to improve financial reporting by requiring earlier recognition of credit losses on financing receivables (such as loans) and other financial assets in scope. The ASU requires entities to measure credit losses on most financial assets carried at amortized costs and certain other instruments using an expected credit loss model. Banks in the United States above $5.0 billion in assets generally adopted this new way of measuring loan losses called the “Current Expected Credit Loss” (“CECL”) model in 2020, with smaller public and private banks, such as Pathfinder, required to convert to this method in fiscal years beginning after December 15, 2022. The Company computed its Allowance for Loan Losses at December 31, 2022 using a methodology called the "Incurred Loss Model" ("ILM"),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43</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43" w:name="page44"/>
    <w:bookmarkEnd w:id="43"/>
    <w:p>
      <w:pPr>
        <w:jc w:val="both"/>
        <w:spacing w:after="0" w:line="245" w:lineRule="auto"/>
        <w:rPr>
          <w:sz w:val="20"/>
          <w:szCs w:val="20"/>
          <w:color w:val="auto"/>
        </w:rPr>
      </w:pPr>
      <w:r>
        <w:rPr>
          <w:rFonts w:ascii="Arial" w:cs="Arial" w:eastAsia="Arial" w:hAnsi="Arial"/>
          <w:sz w:val="19"/>
          <w:szCs w:val="19"/>
          <w:color w:val="auto"/>
        </w:rPr>
        <w:t>remained applicable GAAP at that date. ILM (previous GAAP) assumes that all loans will be repaid until evidence to the contrary (known as a loss or trigger event) is identified. Only at that point is the impaired loan (or portfolio of loans) written down to a lower value. CECL requires that an estimate of loss for the entire life cycle of each asset with credit loss exposure be recorded at the funding date of that asset as a component of the reported Allowance for Credit Losses ("ACL").</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Beginning on January 1, 2023, the Bank will have to account for all credit loss exposures using this CECL methodology. In determining the beginning ACL balance for the quarter ended March 31, 2023, a nonrecurring adjustment from ILM to CECL was made on January 1, 2023, increasing the ALLL at December 31, 2022 by $1.9 million. The adoption of CECL also resulted in a decrease in the recorded book value of HTM securities by $450,000 and an increase in other liabilities by $552,000 for credit losses associated with unfunded contractual commitments on financial assets. This one-time transition adjustment was booked to retained earnings in the first quarter of 2023 and therefore was a subtraction from shareholders' equity, after tax effects of approximately $2.1 million.</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ACL represents management's estimate of probable credit losses inherent in the loan portfolio. Determining the amount of the allowance for credit losses is considered a critical accounting estimate because it requires significant judgment on the use of estimates related to the amount and timing of expected future cash flows on impaired loans, estimated losses on pools of homogeneous loans based on historical loss experience, and environmental factors, all of which may be susceptible to significant change. The Company establishes a specific allowance for all commercial loans in excess of the total related credit threshold of $100,000 and single borrower residential mortgage loans in excess of the total related credit threshold of $300,000 identified as being impaired which are on nonaccrual and have been risk rated under the Company’s risk rating system as substandard, doubtful, or loss. In addition, an accruing substandard loan could be identified as being impaired.</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Loan impairment is measured by determining the present value of expected future cash flows or, for collateral-dependent loans, the fair value of the collateral adjusted for market conditions and selling expenses as compared to the loan carrying value. For all other loans and leases, the Company uses the general allocation methodology that establishes an allowance to estimate the probable incurred loss for each risk-rating category. The measurement of impaired loans is generally based upon the present value of future cash flows discounted at the historical effective interest rate, except that all collateral-dependent loans are measured for impairment based on the fair value of the collateral, less costs to sell. At March 31, 2023, the Bank’s position in impaired loans consisted of 74 loans totaling $23.4 million. Of these loans, 17 loans, totaling $3.5 million, were valued using the present value of future cash flows method; and 57 loans, totaling $19.9 million, were valued based on a collateral analysis. For all other loans, the Company uses the general allocation methodology that establishes an allowance to estimate the probable incurred loss for each risk-rating category.</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estimating the ACL on loans, management considers the sensitivity of the model and significant judgments and assumptions that could result in an amount that is materially different from management’s estimate. At March 31, 2023, the Bank held $520.8 million in commercial real estate and commercial &amp; industrial loans (collectively, commercial loans) representing 57.2% of the Bank’s entire loan portfolio. The Bank allocated $12.4 million to the ACL for these loans, including $3.0 million derived from the use of qualitative factors in the calculation.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$852,000,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March 31, 2023 in the final recorded estimation of the ACL on loans recognized on the Statements of Financial Condition.</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Deferred income tax assets and liabilities are determined using the liability method. Under this method, the net deferred tax asset or liability is recognized for the future tax consequences. This is attributable to the differences between the financial statement carrying amounts of existing assets and liabilities and their respective tax bases as well as net operating and capital loss carry-forwards.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44</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 w:name="page45"/>
    <w:bookmarkEnd w:id="44"/>
    <w:p>
      <w:pPr>
        <w:jc w:val="both"/>
        <w:spacing w:after="0" w:line="246" w:lineRule="auto"/>
        <w:rPr>
          <w:sz w:val="20"/>
          <w:szCs w:val="20"/>
          <w:color w:val="auto"/>
        </w:rPr>
      </w:pPr>
      <w:r>
        <w:rPr>
          <w:rFonts w:ascii="Arial" w:cs="Arial" w:eastAsia="Arial" w:hAnsi="Arial"/>
          <w:sz w:val="20"/>
          <w:szCs w:val="20"/>
          <w:color w:val="auto"/>
        </w:rPr>
        <w:t>The Company’s effective tax rate typically differs from the 21% federal statutory tax rate due primarily to New York State income taxes, partially offset by tax-exempt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maintain a noncontributory defined benefit pension plan covering most employees. The plan provides defined benefits based on years of service and final average salary. On May 14, 2012, we informed our employees of our decision to freeze participation and benefit accruals under the plan, primarily to reduce some of the volatility in earnings that can accompany the maintenance of a defined benefit plan. Pension and post-retirement benefit plan liabilities and expenses are based upon actuarial assumptions of future events; including fair value of plan assets, interest rates, and the length of time the Company will have to provide those benefits. The assumptions used by management are discussed in Note 14 to the consolidated annual financial statements.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When the fair value of a security categorized as available-for-sale ("AFS") or held-to-maturity ("HTM") is less than its amortized cost basis, an assessment is made as to whether or not credit loss is present. Management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and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carries all of its AFS investments at fair value with any unrealized gains or losses reported, net of tax, as an adjustment to shareholders' equity and included in accumulated other comprehensive income (loss), except for the credit-related portion of debt securities’ impairment losses securities which are charged to earnings. The Company's ability to fully realize the value of its investments in various securities, including corporate debt securities, is dependent on the underlying creditworthiness of the issuing organization. In evaluating the debt securities portfolio, for both AFS and HTM securities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estimation of fair value is significant to several of our assets; including AFS and marketable equity investment securities,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annual audited consolidated financial statements. Fair values on our AFS securities may be influenced by a number of factors including market interest rates, prepayment speeds, discount rates, and the shape of yield curves.</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Fair values for securities AFS are obtained from unaffiliated third party pricing services.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sources. Fair values for marketable equity securities are based on quoted prices on a nationally recognized securities exchange for similar benchmark securities. The fair values of foreclosed real estate and the underlying collateral value of impaired loans are typically determined based on evaluations by third parties, less estimated costs to sell. When necessary, appraisals are updated to reflect changes in market conditions.</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Management performs an annual evaluation of our goodwill for possible impairment at each of our reporting units. Based on the results of the December 31, 2022 evaluation, management has determined that the carrying value of goodwill was not impaired as of that date. Management will continuously evaluate all relevant economic and operational factors potentially affecting the Bank or the fair value of its assets, including goodwill. Should the pandemic or recent banking crisis, or the future economic consequences thereof, require a significant and sustained change in the operations of the Bank, re-evaluations of the Bank’s goodwill valuation will be conducted on a more frequent basis.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45</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Recent Events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On March 31, 2023, the Company announced that its Board of Directors declared a cash dividend of $0.09 per share on the Company's voting common and non-voting common stock, and a cash dividend of $0.09 per notional share for the issued warrant relating to the fiscal quarter ended March 31, 2023. The dividends are payable to all shareholders of record on April 24, 2023 and will be paid on May 19, 2023.</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and Results of Operations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represents the significant highlights of the Company’s operating results between the first quarter of 2023 and the first quarter of 2022.</w:t>
      </w:r>
    </w:p>
    <w:p>
      <w:pPr>
        <w:spacing w:after="0" w:line="190"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Net income attributable to Pathfinder Bancorp, Inc. decreased $351,000 or 11.9% to $2.6 million.</w:t>
      </w:r>
    </w:p>
    <w:p>
      <w:pPr>
        <w:spacing w:after="0" w:line="15" w:lineRule="exact"/>
        <w:rPr>
          <w:rFonts w:ascii="Arial" w:cs="Arial" w:eastAsia="Arial" w:hAnsi="Arial"/>
          <w:sz w:val="20"/>
          <w:szCs w:val="20"/>
          <w:color w:val="auto"/>
        </w:rPr>
      </w:pPr>
    </w:p>
    <w:p>
      <w:pPr>
        <w:ind w:left="1020" w:hanging="503"/>
        <w:spacing w:after="0" w:line="239" w:lineRule="auto"/>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Basic and diluted earnings per voting common share were both $0.43 per share and decreased $0.06 per share from $0.49 per share.</w:t>
      </w:r>
    </w:p>
    <w:p>
      <w:pPr>
        <w:ind w:left="1020" w:hanging="503"/>
        <w:spacing w:after="0" w:line="239" w:lineRule="auto"/>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Return on average assets decreased 15 basis points to 0.75% as the decrease in income outpaced the increase in average asset balances.</w:t>
      </w:r>
    </w:p>
    <w:p>
      <w:pPr>
        <w:jc w:val="both"/>
        <w:ind w:left="1020" w:hanging="503"/>
        <w:spacing w:after="0" w:line="252" w:lineRule="auto"/>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Net interest income, after provision for credit losses, decreased $89,000, or 0.95% to $9.3 million. Excluding the provision, net interest income increased $501,000, or 5.29%, to $10.0 million. The increase in net interest income, before provision for credit losses, was primarily due to the increase in the average balance of interest-earning assets of $79.0 million, coupled with an increase in the average yield earned on those assets of 102 basis points, from 3.54% for the three months ended March 31, 2022 to 4.56% for the three months ended March 31, 2023. The increase in net interest income was partially offset by an increase in the average balance of interest-bearing liabilities of $85.2 million, combined with a 127 basis points increase in the average rates paid on interest-bearing liabilities.</w:t>
      </w:r>
    </w:p>
    <w:p>
      <w:pPr>
        <w:ind w:left="1020" w:hanging="503"/>
        <w:spacing w:after="0" w:line="239" w:lineRule="auto"/>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increase in the provision for credit losses of $590,000 was primarily due to management's decision to downgrade certain loans with two large credit relationships.</w:t>
      </w:r>
    </w:p>
    <w:p>
      <w:pPr>
        <w:ind w:left="1020" w:hanging="503"/>
        <w:spacing w:after="0" w:line="246" w:lineRule="auto"/>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net interest margin for the first quarter of 2023 was 3.02%, a four basis point decrease compared to 3.06% for the same quarter in 2022.</w:t>
      </w:r>
    </w:p>
    <w:p>
      <w:pPr>
        <w:spacing w:after="0" w:line="1" w:lineRule="exact"/>
        <w:rPr>
          <w:rFonts w:ascii="Arial" w:cs="Arial" w:eastAsia="Arial" w:hAnsi="Arial"/>
          <w:sz w:val="20"/>
          <w:szCs w:val="20"/>
          <w:color w:val="auto"/>
        </w:rPr>
      </w:pPr>
    </w:p>
    <w:p>
      <w:pPr>
        <w:jc w:val="both"/>
        <w:ind w:left="1020" w:hanging="503"/>
        <w:spacing w:after="0" w:line="241" w:lineRule="auto"/>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effective income tax rate increased 0.6% to 20.0% for the three months ended March 31, 2023 as compared to 19.4% for the same three month period in 2022. The nominal increase in the tax rate in the first quarter of 2023, as compared to the same quarter in 2022, was primarily related to a decrease in tax exempt income derived from investments in securities issued by state and political subdivisions.</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reflects the significant changes in financial condition between December 31, 2022 and March 31, 2023. In addition, the following reflects significant changes in asset quality metrics between March 31, 2023 and March 31, 2022.</w:t>
      </w:r>
    </w:p>
    <w:p>
      <w:pPr>
        <w:spacing w:after="0" w:line="190" w:lineRule="exact"/>
        <w:rPr>
          <w:sz w:val="20"/>
          <w:szCs w:val="20"/>
          <w:color w:val="auto"/>
        </w:rPr>
      </w:pPr>
    </w:p>
    <w:p>
      <w:pPr>
        <w:ind w:left="1020" w:hanging="503"/>
        <w:spacing w:after="0" w:line="247" w:lineRule="auto"/>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Total assets increased $4.3 million, or 0.3% to $1.40 billion at March 31, 2023 as compared to December 31, 2022, primarily driven by higher investment securities balances and loan balances.</w:t>
      </w:r>
    </w:p>
    <w:p>
      <w:pPr>
        <w:spacing w:after="0" w:line="1" w:lineRule="exact"/>
        <w:rPr>
          <w:rFonts w:ascii="Arial" w:cs="Arial" w:eastAsia="Arial" w:hAnsi="Arial"/>
          <w:sz w:val="20"/>
          <w:szCs w:val="20"/>
          <w:color w:val="auto"/>
        </w:rPr>
      </w:pPr>
    </w:p>
    <w:p>
      <w:pPr>
        <w:jc w:val="both"/>
        <w:ind w:left="1020" w:hanging="503"/>
        <w:spacing w:after="0" w:line="239" w:lineRule="auto"/>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Asset quality metrics, as measured by net loan charge-offs, declined in comparison to linked reporting periods. The annualized net loan charge-offs to average loans ratio was 0.01% for the first quarter of 2023, compared to 0.01% for the first quarter of 2022, and 0.04% for the fourth quarter of 2022.</w:t>
      </w:r>
    </w:p>
    <w:p>
      <w:pPr>
        <w:spacing w:after="0" w:line="1" w:lineRule="exact"/>
        <w:rPr>
          <w:rFonts w:ascii="Arial" w:cs="Arial" w:eastAsia="Arial" w:hAnsi="Arial"/>
          <w:sz w:val="20"/>
          <w:szCs w:val="20"/>
          <w:color w:val="auto"/>
        </w:rPr>
      </w:pPr>
    </w:p>
    <w:p>
      <w:pPr>
        <w:jc w:val="both"/>
        <w:ind w:left="1020" w:hanging="503"/>
        <w:spacing w:after="0" w:line="241" w:lineRule="auto"/>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Nonperforming loans to total loans were 2.10% at March 31, 2023, compared to 0.93% at March 31, 2022 and 1.00% at December 31, 2022. Correspondingly, the ratio of the allowance for credit losses to nonperforming loans was 93.55% at March 31, 2023, as compared to 163.78% at March 31, 2022, and 169.93% at December 31, 2022.</w:t>
      </w:r>
    </w:p>
    <w:p>
      <w:pPr>
        <w:spacing w:after="0" w:line="20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had net income of $2.6 million for the three months ended March 31, 2023 compared to net income of $3.0 million for the three months ended March 31, 2022. The $351,000 decrease in net income was due primarily to a $3.6 million increase in total interest expense, a $590,000 increase in provision for credit losses, a $272,000 increase in total noninterest expenses and an $11,000 decrease in total noninterest income. These were partially offset by a $4.1 million increase in total interest and dividend income and a $52,000 decrease in provision for income taxes.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46</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8"/>
          <w:szCs w:val="18"/>
          <w:color w:val="auto"/>
        </w:rPr>
        <w:t>Net interest income before the provision for credit losses increased $501,000, or 5.29%, to $10.0 million for the three months ended March 31, 2023 as compared to $9.5 million for the same three month period in 2022. The increase was primarily the result of increases in the average yields of loans and taxable and tax-exempt investment securities portfolios, combined with increases in the average balances of the loan portfolio of $53.8 million and $42.9 million in the investment portfolios. These increases resulted in a 102 basis points increase to 4.56% in total average interest-earning asset yield for the three months ended March 31, 2023 as compared to 3.54% for the same three month period of the previous year. The increase in the average yield received on interest-earning assets in the first quarter of 2023, as compared to the same quarter in 2022, reflects generally increased rates of interest for newly funded loans and investments securities, as compared to the average yields within these portfolios, as well as increases in coupon rates for certain adjustable-rate loans and securities in the rising interest rate environment that has occurred in 2022 and 2023. These increases in the average yield on loans during 2023, were partially offset by reduced fee recognition related to PPP loans. PPP fee recognition revenues were $900,000 in the first quarter of 2023, as compared to $278,000 in the first quarter of the previous year.</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These increases in interest income were partially offset by a 127 basis points increase in the average cost of total interest-bearing liabilities in the first quarter of 2023, as compared to the same quarter in 2022, combined with an $85.2 million increase in the average balance of total interest-bearing liabilities. The increase in the average rates paid on interest-bearing liabilities in the first quarter of 2023, as compared to the same quarter in 2022, reflects the generally increased rates of interest for all financial instruments that has occurred in 2023 due to the rising interest rate environment and increased competition for deposits.</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$11,000, or 0.7%, decrease in noninterest income in the quarter ended March 31, 2023, as compared to the same quarterly period in 2022, was primarily the result of a decrease of $157,000 in other charges, commissions and fees, a $68,000 decrease in gains on marketable equity securities, a $45,000 decrease in loan servicing fees and a $38,000 decrease in net gains on sales of loans and foreclosed real estate. Insurance agency revenue, debit card interchange fees and net gains on the sales of investment securities increased $121,000, $93,000 and $79,000, respectively. The $157,000 decrease in other charges, commissions and fees, as compared to the same quarter of the previous year, was primarily due to a non-recurring $176,000 gain recorded in the first quarter of 2022, related to the early termination of a free-standing derivative contract.</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Total noninterest expense for the first quarter of 2023 was $7.5 million, an increase of $272,000, or 3.8%, compared to $7.3 million for the same three month period in 2022. The increase was primarily a result of higher salaries and employee benefits expense of $134,000, or 3.3%. Professional and other expenses and insurance agency expenses increased $143,000 and $57,000, respectively. The increase in professional fees is due to legal fees incurred at March 31, 2023 as compared to March 31, 2022. Partially offsetting these increases was a $94,000, or 15.5%, reduction in other expenses and a $32,000, or 51.6%, reduction in community service activities. All other noninterest expense categories netted to a $64,000 increase in the three months ended March 31, 2023, as compared to the same quarter in 2022.</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extensively reviews recent trends in changes in the size and composition of the loan portfolio, historical loss experience, qualitative factors, and specific reserve needs on loans individually evaluated for impairment, in its determination of the adequacy of the allowance for credit losses. For the three months ended March 31, 2023, we recorded $692,000 in provision for credit losses as compared to $102,000 in the same prior year three month period. The primary driver of the increased provision expense in the first quarter of 2023, was management's decision to downgrade certain commercial real estate loans and commercial loans within two borrower relationships. These relationships are under active resolution management by the Company. Additionally, the provision in the quarter ended March 31, 2023 is reflective of (1) the qualitative factors used in determining the adequacy of the allowance for credit losses, (2) the increase in the size of the loan portfolio, and (3) changes in the levels of delinquent and nonaccrual loans. The first quarter provision for credit losses reflects an addition to reserves considering loan growth and asset quality metrics. The credit-sensitive portfolios continue to be carefully monitored, and the Bank will consistently apply its loan classification and reserve building methodologies to the analysis of these portfolios.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June 2016, the Financial Accounting Standards Board (“FASB”) issued Accounting Standards Update (ASU) 2016-13, Financial Instruments—Credit Losses (Topic 326): Measurement of Credit Losses on Financial Instruments, requiring financial institutions, such as the Bank, to adopt the Current Expected Credit Loss (“CECL”) methodology according to a specified implementation timeline. In order to meet this requirement, the Bank adopted the CECL methodology 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47</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47" w:name="page48"/>
    <w:bookmarkEnd w:id="47"/>
    <w:p>
      <w:pPr>
        <w:jc w:val="both"/>
        <w:spacing w:after="0" w:line="308" w:lineRule="auto"/>
        <w:rPr>
          <w:sz w:val="20"/>
          <w:szCs w:val="20"/>
          <w:color w:val="auto"/>
        </w:rPr>
      </w:pPr>
      <w:r>
        <w:rPr>
          <w:rFonts w:ascii="Arial" w:cs="Arial" w:eastAsia="Arial" w:hAnsi="Arial"/>
          <w:sz w:val="16"/>
          <w:szCs w:val="16"/>
          <w:color w:val="auto"/>
        </w:rPr>
        <w:t>calculating its Allowance for Credit Losses (“ACL”) on January 1, 2023. The amended guidance replaces the previously-required Allowance for Loan and Lease Losses (“ALLL”) calculated under what was known as the Incurred Loss Model. The ACL represents a valuation account that is deducted from the amortized cost basis of includable financial assets to present their net carrying value at the amount expected to be collected over the entire life of those assets. The income statement now reflects the measurement of credit losses for newly recognized financial assets as well as expected increases, or decreases, of expected credit losses that have taken place during the reporting period. When determining the ACL, expected credit losses over the expected term of the financial asset will be estimated considering relevant information about past events, current conditions, and reasonable and supportable forecasts that affect the future collectability of the reported amount. In addition, the amended guidance requires credit losses relating to assets such as held-to-maturity debt securities and open contractual funding commitments to be recorded through the ACL. Because the CECL methodology requires that reserves be established within the ACL for a broad range of financial assets, including all loans, through the entirety of their expected lives and also considers new items, such as open funding commitments, the initial ACL upon adoption would, in most cases, be expected to be greater than the ALLL that it replaced.</w:t>
      </w:r>
    </w:p>
    <w:p>
      <w:pPr>
        <w:spacing w:after="0" w:line="39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The transition adjustment that was recognized upon the adoption of CECL on January 1, 2023, was accounted for as a one-time increase in the ACL with a corresponding one-time adjustment to retained earnings, adjusted for income tax effects. This transition adjustment did not impact earnings or earnings per share at adoption. </w:t>
      </w:r>
      <w:r>
        <w:rPr>
          <w:rFonts w:ascii="Arial" w:cs="Arial" w:eastAsia="Arial" w:hAnsi="Arial"/>
          <w:sz w:val="17"/>
          <w:szCs w:val="17"/>
          <w:color w:val="auto"/>
        </w:rPr>
        <w:t>In determining the beginning ACL balance for the quarter ended March 31, 2023, a</w:t>
      </w:r>
      <w:r>
        <w:rPr>
          <w:rFonts w:ascii="Arial" w:cs="Arial" w:eastAsia="Arial" w:hAnsi="Arial"/>
          <w:sz w:val="19"/>
          <w:szCs w:val="19"/>
          <w:color w:val="auto"/>
        </w:rPr>
        <w:t xml:space="preserve"> </w:t>
      </w:r>
      <w:r>
        <w:rPr>
          <w:rFonts w:ascii="Arial" w:cs="Arial" w:eastAsia="Arial" w:hAnsi="Arial"/>
          <w:sz w:val="17"/>
          <w:szCs w:val="17"/>
          <w:color w:val="auto"/>
        </w:rPr>
        <w:t>nonrecurring adjustment from ILM to CECL was made on January 1, 2023, increasing the ALLL at December 31, 2022 by $1.9 million. In addition, the adoption of CECL decreased the recorded book value of HTM securities by $450,000 and increased other liabilities by $552,000 for</w:t>
      </w:r>
    </w:p>
    <w:p>
      <w:pPr>
        <w:jc w:val="both"/>
        <w:spacing w:after="0" w:line="269" w:lineRule="auto"/>
        <w:rPr>
          <w:sz w:val="20"/>
          <w:szCs w:val="20"/>
          <w:color w:val="auto"/>
        </w:rPr>
      </w:pPr>
      <w:r>
        <w:rPr>
          <w:rFonts w:ascii="Arial" w:cs="Arial" w:eastAsia="Arial" w:hAnsi="Arial"/>
          <w:sz w:val="19"/>
          <w:szCs w:val="19"/>
          <w:color w:val="auto"/>
        </w:rPr>
        <w:t>credit losses associated with unfunded contractual commitments on financial assets. Retained earnings at March 31, 2023 therefore reflects the effects of the one-time transition adjustment of $2.1 million, recorded on January 1, 2023, after income tax effects.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comparing the year-over-year first quarter periods, the Company’s return on average assets decreased 15 basis points to 0.75% due to the combined effects of the decrease in net income (the numerator in the ratio), and an increase in average assets (the denominator in the ratio). Average assets increased due to increases in the balances of average investment securities and average loans of $53.8 million and $42.9 million, respectively, in the first quarter of 2023 as compared to the same quarter of 2022. Average interest-bearing deposits increased $61.8 million in the first quarter of 2023, as compared with the same quarter in 2022. The increase in deposits was primarily due to increased time deposits, including brokered deposits, of $77.1 million. All other deposits accounts in aggregate decreased $33.5 million when compared with the same quarter in 2022.</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Interest Income</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interest income is the Company's primary source of operating income for payment of operating expenses and providing for credit losses. It is the amount by which interest earned on loans, interest-earning deposits, and investment securities, exceeds the interest paid on deposits and other interest-bearing liabilities. Changes in net interest income and net interest margin result from the interaction between the volume and composition of interest-earning assets, interest-bearing liabilities, related yields, and associated funding costs.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48</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48" w:name="page49"/>
    <w:bookmarkEnd w:id="48"/>
    <w:p>
      <w:pPr>
        <w:jc w:val="both"/>
        <w:ind w:right="20"/>
        <w:spacing w:after="0" w:line="263" w:lineRule="auto"/>
        <w:rPr>
          <w:sz w:val="20"/>
          <w:szCs w:val="20"/>
          <w:color w:val="auto"/>
        </w:rPr>
      </w:pPr>
      <w:r>
        <w:rPr>
          <w:rFonts w:ascii="Arial" w:cs="Arial" w:eastAsia="Arial" w:hAnsi="Arial"/>
          <w:sz w:val="19"/>
          <w:szCs w:val="19"/>
          <w:color w:val="auto"/>
        </w:rPr>
        <w:t>The following tables set forth information concerning average interest-earning assets and interest-bearing liabilities and the average yields and rates thereon for the periods indicated. Interest income and resultant yield information in the tables have not been adjusted for tax equivalency. Averages are computed on the daily average balance for each month in the period divided by the number of days in the period. Nonaccrual loans have been included in interest-earning assets for purposes of these calculations.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i w:val="1"/>
                <w:iCs w:val="1"/>
                <w:color w:val="auto"/>
              </w:rPr>
              <w:t>(Unaudited)</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3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For the three months ended March 31,</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2023</w:t>
            </w: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4"/>
              </w:rPr>
              <w:t>2022</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Average</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Average</w:t>
            </w:r>
          </w:p>
        </w:tc>
        <w:tc>
          <w:tcPr>
            <w:tcW w:w="20" w:type="dxa"/>
            <w:vAlign w:val="bottom"/>
          </w:tcPr>
          <w:p>
            <w:pPr>
              <w:spacing w:after="0"/>
              <w:rPr>
                <w:sz w:val="20"/>
                <w:szCs w:val="20"/>
                <w:color w:val="auto"/>
              </w:rPr>
            </w:pPr>
          </w:p>
        </w:tc>
      </w:tr>
      <w:tr>
        <w:trPr>
          <w:trHeight w:val="242"/>
        </w:trPr>
        <w:tc>
          <w:tcPr>
            <w:tcW w:w="3740" w:type="dxa"/>
            <w:vAlign w:val="bottom"/>
          </w:tcPr>
          <w:p>
            <w:pPr>
              <w:ind w:left="6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Average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Yield /</w:t>
            </w:r>
          </w:p>
        </w:tc>
        <w:tc>
          <w:tcPr>
            <w:tcW w:w="24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Average</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Yield /</w:t>
            </w:r>
          </w:p>
        </w:tc>
      </w:tr>
      <w:tr>
        <w:trPr>
          <w:trHeight w:val="250"/>
        </w:trPr>
        <w:tc>
          <w:tcPr>
            <w:tcW w:w="374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Balance</w:t>
            </w:r>
          </w:p>
        </w:tc>
        <w:tc>
          <w:tcPr>
            <w:tcW w:w="26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Interest</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Balance</w:t>
            </w:r>
          </w:p>
        </w:tc>
        <w:tc>
          <w:tcPr>
            <w:tcW w:w="260" w:type="dxa"/>
            <w:vAlign w:val="bottom"/>
          </w:tcPr>
          <w:p>
            <w:pPr>
              <w:spacing w:after="0"/>
              <w:rPr>
                <w:sz w:val="21"/>
                <w:szCs w:val="21"/>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Interest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Cost</w:t>
            </w:r>
          </w:p>
        </w:tc>
      </w:tr>
      <w:tr>
        <w:trPr>
          <w:trHeight w:val="243"/>
        </w:trPr>
        <w:tc>
          <w:tcPr>
            <w:tcW w:w="37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Interest-earning assets:</w:t>
            </w:r>
          </w:p>
        </w:tc>
        <w:tc>
          <w:tcPr>
            <w:tcW w:w="28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3740" w:type="dxa"/>
            <w:vAlign w:val="bottom"/>
          </w:tcPr>
          <w:p>
            <w:pPr>
              <w:ind w:left="120"/>
              <w:spacing w:after="0"/>
              <w:rPr>
                <w:sz w:val="20"/>
                <w:szCs w:val="20"/>
                <w:color w:val="auto"/>
              </w:rPr>
            </w:pPr>
            <w:r>
              <w:rPr>
                <w:rFonts w:ascii="Arial" w:cs="Arial" w:eastAsia="Arial" w:hAnsi="Arial"/>
                <w:sz w:val="18"/>
                <w:szCs w:val="18"/>
                <w:color w:val="auto"/>
              </w:rPr>
              <w:t>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899,258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10,658</w:t>
            </w:r>
          </w:p>
        </w:tc>
        <w:tc>
          <w:tcPr>
            <w:tcW w:w="1100" w:type="dxa"/>
            <w:vAlign w:val="bottom"/>
          </w:tcPr>
          <w:p>
            <w:pPr>
              <w:jc w:val="right"/>
              <w:spacing w:after="0"/>
              <w:rPr>
                <w:sz w:val="20"/>
                <w:szCs w:val="20"/>
                <w:color w:val="auto"/>
              </w:rPr>
            </w:pPr>
            <w:r>
              <w:rPr>
                <w:rFonts w:ascii="Arial" w:cs="Arial" w:eastAsia="Arial" w:hAnsi="Arial"/>
                <w:sz w:val="18"/>
                <w:szCs w:val="18"/>
                <w:color w:val="auto"/>
              </w:rPr>
              <w:t>4.74 %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845,461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8,692</w:t>
            </w:r>
          </w:p>
        </w:tc>
        <w:tc>
          <w:tcPr>
            <w:tcW w:w="1060" w:type="dxa"/>
            <w:vAlign w:val="bottom"/>
          </w:tcPr>
          <w:p>
            <w:pPr>
              <w:jc w:val="right"/>
              <w:spacing w:after="0"/>
              <w:rPr>
                <w:sz w:val="20"/>
                <w:szCs w:val="20"/>
                <w:color w:val="auto"/>
              </w:rPr>
            </w:pPr>
            <w:r>
              <w:rPr>
                <w:rFonts w:ascii="Arial" w:cs="Arial" w:eastAsia="Arial" w:hAnsi="Arial"/>
                <w:sz w:val="18"/>
                <w:szCs w:val="18"/>
                <w:color w:val="auto"/>
              </w:rPr>
              <w:t>4.11 %</w:t>
            </w:r>
          </w:p>
        </w:tc>
        <w:tc>
          <w:tcPr>
            <w:tcW w:w="20" w:type="dxa"/>
            <w:vAlign w:val="bottom"/>
          </w:tcPr>
          <w:p>
            <w:pPr>
              <w:spacing w:after="0"/>
              <w:rPr>
                <w:sz w:val="20"/>
                <w:szCs w:val="20"/>
                <w:color w:val="auto"/>
              </w:rPr>
            </w:pPr>
          </w:p>
        </w:tc>
      </w:tr>
      <w:tr>
        <w:trPr>
          <w:trHeight w:val="256"/>
        </w:trPr>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Taxable investment securities</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368,437</w:t>
            </w:r>
          </w:p>
        </w:tc>
        <w:tc>
          <w:tcPr>
            <w:tcW w:w="26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3,825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4.15 %</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329,291</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2,168</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2.63 %</w:t>
            </w:r>
          </w:p>
        </w:tc>
        <w:tc>
          <w:tcPr>
            <w:tcW w:w="20" w:type="dxa"/>
            <w:vAlign w:val="bottom"/>
          </w:tcPr>
          <w:p>
            <w:pPr>
              <w:spacing w:after="0"/>
              <w:rPr>
                <w:sz w:val="22"/>
                <w:szCs w:val="22"/>
                <w:color w:val="auto"/>
              </w:rPr>
            </w:pPr>
          </w:p>
        </w:tc>
      </w:tr>
      <w:tr>
        <w:trPr>
          <w:trHeight w:val="230"/>
        </w:trPr>
        <w:tc>
          <w:tcPr>
            <w:tcW w:w="3740" w:type="dxa"/>
            <w:vAlign w:val="bottom"/>
          </w:tcPr>
          <w:p>
            <w:pPr>
              <w:ind w:left="120"/>
              <w:spacing w:after="0"/>
              <w:rPr>
                <w:sz w:val="20"/>
                <w:szCs w:val="20"/>
                <w:color w:val="auto"/>
              </w:rPr>
            </w:pPr>
            <w:r>
              <w:rPr>
                <w:rFonts w:ascii="Arial" w:cs="Arial" w:eastAsia="Arial" w:hAnsi="Arial"/>
                <w:sz w:val="18"/>
                <w:szCs w:val="18"/>
                <w:color w:val="auto"/>
              </w:rPr>
              <w:t>Tax-exempt investment securities</w:t>
            </w:r>
          </w:p>
        </w:tc>
        <w:tc>
          <w:tcPr>
            <w:tcW w:w="2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36,480</w:t>
            </w:r>
          </w:p>
        </w:tc>
        <w:tc>
          <w:tcPr>
            <w:tcW w:w="26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455</w:t>
            </w:r>
          </w:p>
        </w:tc>
        <w:tc>
          <w:tcPr>
            <w:tcW w:w="1100" w:type="dxa"/>
            <w:vAlign w:val="bottom"/>
          </w:tcPr>
          <w:p>
            <w:pPr>
              <w:jc w:val="right"/>
              <w:spacing w:after="0"/>
              <w:rPr>
                <w:sz w:val="20"/>
                <w:szCs w:val="20"/>
                <w:color w:val="auto"/>
              </w:rPr>
            </w:pPr>
            <w:r>
              <w:rPr>
                <w:rFonts w:ascii="Arial" w:cs="Arial" w:eastAsia="Arial" w:hAnsi="Arial"/>
                <w:sz w:val="18"/>
                <w:szCs w:val="18"/>
                <w:color w:val="auto"/>
              </w:rPr>
              <w:t>4.99 %</w:t>
            </w:r>
          </w:p>
        </w:tc>
        <w:tc>
          <w:tcPr>
            <w:tcW w:w="2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32,721</w:t>
            </w:r>
          </w:p>
        </w:tc>
        <w:tc>
          <w:tcPr>
            <w:tcW w:w="2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118</w:t>
            </w:r>
          </w:p>
        </w:tc>
        <w:tc>
          <w:tcPr>
            <w:tcW w:w="1060" w:type="dxa"/>
            <w:vAlign w:val="bottom"/>
          </w:tcPr>
          <w:p>
            <w:pPr>
              <w:jc w:val="right"/>
              <w:spacing w:after="0"/>
              <w:rPr>
                <w:sz w:val="20"/>
                <w:szCs w:val="20"/>
                <w:color w:val="auto"/>
              </w:rPr>
            </w:pPr>
            <w:r>
              <w:rPr>
                <w:rFonts w:ascii="Arial" w:cs="Arial" w:eastAsia="Arial" w:hAnsi="Arial"/>
                <w:sz w:val="18"/>
                <w:szCs w:val="18"/>
                <w:color w:val="auto"/>
              </w:rPr>
              <w:t>1.44 %</w:t>
            </w:r>
          </w:p>
        </w:tc>
        <w:tc>
          <w:tcPr>
            <w:tcW w:w="20" w:type="dxa"/>
            <w:vAlign w:val="bottom"/>
          </w:tcPr>
          <w:p>
            <w:pPr>
              <w:spacing w:after="0"/>
              <w:rPr>
                <w:sz w:val="20"/>
                <w:szCs w:val="20"/>
                <w:color w:val="auto"/>
              </w:rPr>
            </w:pPr>
          </w:p>
        </w:tc>
      </w:tr>
      <w:tr>
        <w:trPr>
          <w:trHeight w:val="249"/>
        </w:trPr>
        <w:tc>
          <w:tcPr>
            <w:tcW w:w="37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Fed funds sold and interest-earning deposits</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14,163</w:t>
            </w: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105</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2.97 %</w:t>
            </w: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31,830</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4</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0.05 %</w:t>
            </w:r>
          </w:p>
        </w:tc>
        <w:tc>
          <w:tcPr>
            <w:tcW w:w="20" w:type="dxa"/>
            <w:vAlign w:val="bottom"/>
          </w:tcPr>
          <w:p>
            <w:pPr>
              <w:spacing w:after="0"/>
              <w:rPr>
                <w:sz w:val="21"/>
                <w:szCs w:val="21"/>
                <w:color w:val="auto"/>
              </w:rPr>
            </w:pPr>
          </w:p>
        </w:tc>
      </w:tr>
      <w:tr>
        <w:trPr>
          <w:trHeight w:val="237"/>
        </w:trPr>
        <w:tc>
          <w:tcPr>
            <w:tcW w:w="3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interest-earning assets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1,318,338</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15,043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4.56 %</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1,239,303</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10,982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3.54 %</w:t>
            </w:r>
          </w:p>
        </w:tc>
        <w:tc>
          <w:tcPr>
            <w:tcW w:w="20" w:type="dxa"/>
            <w:vAlign w:val="bottom"/>
          </w:tcPr>
          <w:p>
            <w:pPr>
              <w:spacing w:after="0"/>
              <w:rPr>
                <w:sz w:val="20"/>
                <w:szCs w:val="20"/>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Noninterest-earning assets: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7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101,194</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91,622</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Allowance for credit losses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(17,061 )</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(13,031 )</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8"/>
                <w:szCs w:val="18"/>
                <w:color w:val="auto"/>
              </w:rPr>
              <w:t>Net unrealized losses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37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on available-for-sale securities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(12,529 )</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(1,334 )</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7"/>
        </w:trPr>
        <w:tc>
          <w:tcPr>
            <w:tcW w:w="374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1,389,942</w:t>
            </w:r>
          </w:p>
        </w:tc>
        <w:tc>
          <w:tcPr>
            <w:tcW w:w="26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4"/>
              </w:rPr>
              <w:t>1,316,560</w:t>
            </w: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Interest-bearing liabilities: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NOW accounts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97,796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91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0.37 %</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106,894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71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0.27 %</w:t>
            </w:r>
          </w:p>
        </w:tc>
        <w:tc>
          <w:tcPr>
            <w:tcW w:w="20" w:type="dxa"/>
            <w:vAlign w:val="bottom"/>
          </w:tcPr>
          <w:p>
            <w:pPr>
              <w:spacing w:after="0"/>
              <w:rPr>
                <w:sz w:val="21"/>
                <w:szCs w:val="21"/>
                <w:color w:val="auto"/>
              </w:rPr>
            </w:pPr>
          </w:p>
        </w:tc>
      </w:tr>
      <w:tr>
        <w:trPr>
          <w:trHeight w:val="230"/>
        </w:trPr>
        <w:tc>
          <w:tcPr>
            <w:tcW w:w="3740" w:type="dxa"/>
            <w:vAlign w:val="bottom"/>
          </w:tcPr>
          <w:p>
            <w:pPr>
              <w:ind w:left="120"/>
              <w:spacing w:after="0"/>
              <w:rPr>
                <w:sz w:val="20"/>
                <w:szCs w:val="20"/>
                <w:color w:val="auto"/>
              </w:rPr>
            </w:pPr>
            <w:r>
              <w:rPr>
                <w:rFonts w:ascii="Arial" w:cs="Arial" w:eastAsia="Arial" w:hAnsi="Arial"/>
                <w:sz w:val="18"/>
                <w:szCs w:val="18"/>
                <w:color w:val="auto"/>
              </w:rPr>
              <w:t>Money management accounts</w:t>
            </w:r>
          </w:p>
        </w:tc>
        <w:tc>
          <w:tcPr>
            <w:tcW w:w="2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15,300</w:t>
            </w:r>
          </w:p>
        </w:tc>
        <w:tc>
          <w:tcPr>
            <w:tcW w:w="26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1100" w:type="dxa"/>
            <w:vAlign w:val="bottom"/>
          </w:tcPr>
          <w:p>
            <w:pPr>
              <w:jc w:val="right"/>
              <w:spacing w:after="0"/>
              <w:rPr>
                <w:sz w:val="20"/>
                <w:szCs w:val="20"/>
                <w:color w:val="auto"/>
              </w:rPr>
            </w:pPr>
            <w:r>
              <w:rPr>
                <w:rFonts w:ascii="Arial" w:cs="Arial" w:eastAsia="Arial" w:hAnsi="Arial"/>
                <w:sz w:val="18"/>
                <w:szCs w:val="18"/>
                <w:color w:val="auto"/>
              </w:rPr>
              <w:t>0.10 %</w:t>
            </w:r>
          </w:p>
        </w:tc>
        <w:tc>
          <w:tcPr>
            <w:tcW w:w="2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16,072</w:t>
            </w:r>
          </w:p>
        </w:tc>
        <w:tc>
          <w:tcPr>
            <w:tcW w:w="2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0.10 %</w:t>
            </w:r>
          </w:p>
        </w:tc>
        <w:tc>
          <w:tcPr>
            <w:tcW w:w="20" w:type="dxa"/>
            <w:vAlign w:val="bottom"/>
          </w:tcPr>
          <w:p>
            <w:pPr>
              <w:spacing w:after="0"/>
              <w:rPr>
                <w:sz w:val="20"/>
                <w:szCs w:val="20"/>
                <w:color w:val="auto"/>
              </w:rPr>
            </w:pPr>
          </w:p>
        </w:tc>
      </w:tr>
      <w:tr>
        <w:trPr>
          <w:trHeight w:val="256"/>
        </w:trPr>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MMDA accounts</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261,594</w:t>
            </w:r>
          </w:p>
        </w:tc>
        <w:tc>
          <w:tcPr>
            <w:tcW w:w="26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1,275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1.95 %</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261,898</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246</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0.38 %</w:t>
            </w:r>
          </w:p>
        </w:tc>
        <w:tc>
          <w:tcPr>
            <w:tcW w:w="20" w:type="dxa"/>
            <w:vAlign w:val="bottom"/>
          </w:tcPr>
          <w:p>
            <w:pPr>
              <w:spacing w:after="0"/>
              <w:rPr>
                <w:sz w:val="22"/>
                <w:szCs w:val="22"/>
                <w:color w:val="auto"/>
              </w:rPr>
            </w:pPr>
          </w:p>
        </w:tc>
      </w:tr>
      <w:tr>
        <w:trPr>
          <w:trHeight w:val="230"/>
        </w:trPr>
        <w:tc>
          <w:tcPr>
            <w:tcW w:w="3740" w:type="dxa"/>
            <w:vAlign w:val="bottom"/>
          </w:tcPr>
          <w:p>
            <w:pPr>
              <w:ind w:left="120"/>
              <w:spacing w:after="0"/>
              <w:rPr>
                <w:sz w:val="20"/>
                <w:szCs w:val="20"/>
                <w:color w:val="auto"/>
              </w:rPr>
            </w:pPr>
            <w:r>
              <w:rPr>
                <w:rFonts w:ascii="Arial" w:cs="Arial" w:eastAsia="Arial" w:hAnsi="Arial"/>
                <w:sz w:val="18"/>
                <w:szCs w:val="18"/>
                <w:color w:val="auto"/>
              </w:rPr>
              <w:t>Savings and club accounts</w:t>
            </w:r>
          </w:p>
        </w:tc>
        <w:tc>
          <w:tcPr>
            <w:tcW w:w="2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133,532</w:t>
            </w:r>
          </w:p>
        </w:tc>
        <w:tc>
          <w:tcPr>
            <w:tcW w:w="26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64</w:t>
            </w:r>
          </w:p>
        </w:tc>
        <w:tc>
          <w:tcPr>
            <w:tcW w:w="1100" w:type="dxa"/>
            <w:vAlign w:val="bottom"/>
          </w:tcPr>
          <w:p>
            <w:pPr>
              <w:jc w:val="right"/>
              <w:spacing w:after="0"/>
              <w:rPr>
                <w:sz w:val="20"/>
                <w:szCs w:val="20"/>
                <w:color w:val="auto"/>
              </w:rPr>
            </w:pPr>
            <w:r>
              <w:rPr>
                <w:rFonts w:ascii="Arial" w:cs="Arial" w:eastAsia="Arial" w:hAnsi="Arial"/>
                <w:sz w:val="18"/>
                <w:szCs w:val="18"/>
                <w:color w:val="auto"/>
              </w:rPr>
              <w:t>0.19 %</w:t>
            </w:r>
          </w:p>
        </w:tc>
        <w:tc>
          <w:tcPr>
            <w:tcW w:w="2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138,585</w:t>
            </w:r>
          </w:p>
        </w:tc>
        <w:tc>
          <w:tcPr>
            <w:tcW w:w="2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48</w:t>
            </w:r>
          </w:p>
        </w:tc>
        <w:tc>
          <w:tcPr>
            <w:tcW w:w="1060" w:type="dxa"/>
            <w:vAlign w:val="bottom"/>
          </w:tcPr>
          <w:p>
            <w:pPr>
              <w:jc w:val="right"/>
              <w:spacing w:after="0"/>
              <w:rPr>
                <w:sz w:val="20"/>
                <w:szCs w:val="20"/>
                <w:color w:val="auto"/>
              </w:rPr>
            </w:pPr>
            <w:r>
              <w:rPr>
                <w:rFonts w:ascii="Arial" w:cs="Arial" w:eastAsia="Arial" w:hAnsi="Arial"/>
                <w:sz w:val="18"/>
                <w:szCs w:val="18"/>
                <w:color w:val="auto"/>
              </w:rPr>
              <w:t>0.14 %</w:t>
            </w:r>
          </w:p>
        </w:tc>
        <w:tc>
          <w:tcPr>
            <w:tcW w:w="20" w:type="dxa"/>
            <w:vAlign w:val="bottom"/>
          </w:tcPr>
          <w:p>
            <w:pPr>
              <w:spacing w:after="0"/>
              <w:rPr>
                <w:sz w:val="20"/>
                <w:szCs w:val="20"/>
                <w:color w:val="auto"/>
              </w:rPr>
            </w:pPr>
          </w:p>
        </w:tc>
      </w:tr>
      <w:tr>
        <w:trPr>
          <w:trHeight w:val="256"/>
        </w:trPr>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Time deposits</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454,980</w:t>
            </w:r>
          </w:p>
        </w:tc>
        <w:tc>
          <w:tcPr>
            <w:tcW w:w="26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2,603</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2.29 %</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377,907</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596</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0.63 %</w:t>
            </w:r>
          </w:p>
        </w:tc>
        <w:tc>
          <w:tcPr>
            <w:tcW w:w="20" w:type="dxa"/>
            <w:vAlign w:val="bottom"/>
          </w:tcPr>
          <w:p>
            <w:pPr>
              <w:spacing w:after="0"/>
              <w:rPr>
                <w:sz w:val="22"/>
                <w:szCs w:val="22"/>
                <w:color w:val="auto"/>
              </w:rPr>
            </w:pPr>
          </w:p>
        </w:tc>
      </w:tr>
      <w:tr>
        <w:trPr>
          <w:trHeight w:val="230"/>
        </w:trPr>
        <w:tc>
          <w:tcPr>
            <w:tcW w:w="3740" w:type="dxa"/>
            <w:vAlign w:val="bottom"/>
          </w:tcPr>
          <w:p>
            <w:pPr>
              <w:ind w:left="120"/>
              <w:spacing w:after="0"/>
              <w:rPr>
                <w:sz w:val="20"/>
                <w:szCs w:val="20"/>
                <w:color w:val="auto"/>
              </w:rPr>
            </w:pPr>
            <w:r>
              <w:rPr>
                <w:rFonts w:ascii="Arial" w:cs="Arial" w:eastAsia="Arial" w:hAnsi="Arial"/>
                <w:sz w:val="18"/>
                <w:szCs w:val="18"/>
                <w:color w:val="auto"/>
              </w:rPr>
              <w:t>Subordinated debt</w:t>
            </w:r>
          </w:p>
        </w:tc>
        <w:tc>
          <w:tcPr>
            <w:tcW w:w="2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29,748</w:t>
            </w:r>
          </w:p>
        </w:tc>
        <w:tc>
          <w:tcPr>
            <w:tcW w:w="26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472</w:t>
            </w:r>
          </w:p>
        </w:tc>
        <w:tc>
          <w:tcPr>
            <w:tcW w:w="1100" w:type="dxa"/>
            <w:vAlign w:val="bottom"/>
          </w:tcPr>
          <w:p>
            <w:pPr>
              <w:jc w:val="right"/>
              <w:spacing w:after="0"/>
              <w:rPr>
                <w:sz w:val="20"/>
                <w:szCs w:val="20"/>
                <w:color w:val="auto"/>
              </w:rPr>
            </w:pPr>
            <w:r>
              <w:rPr>
                <w:rFonts w:ascii="Arial" w:cs="Arial" w:eastAsia="Arial" w:hAnsi="Arial"/>
                <w:sz w:val="18"/>
                <w:szCs w:val="18"/>
                <w:color w:val="auto"/>
              </w:rPr>
              <w:t>6.35 %</w:t>
            </w:r>
          </w:p>
        </w:tc>
        <w:tc>
          <w:tcPr>
            <w:tcW w:w="2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29,578</w:t>
            </w:r>
          </w:p>
        </w:tc>
        <w:tc>
          <w:tcPr>
            <w:tcW w:w="2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412</w:t>
            </w:r>
          </w:p>
        </w:tc>
        <w:tc>
          <w:tcPr>
            <w:tcW w:w="1060" w:type="dxa"/>
            <w:vAlign w:val="bottom"/>
          </w:tcPr>
          <w:p>
            <w:pPr>
              <w:jc w:val="right"/>
              <w:spacing w:after="0"/>
              <w:rPr>
                <w:sz w:val="20"/>
                <w:szCs w:val="20"/>
                <w:color w:val="auto"/>
              </w:rPr>
            </w:pPr>
            <w:r>
              <w:rPr>
                <w:rFonts w:ascii="Arial" w:cs="Arial" w:eastAsia="Arial" w:hAnsi="Arial"/>
                <w:sz w:val="18"/>
                <w:szCs w:val="18"/>
                <w:color w:val="auto"/>
              </w:rPr>
              <w:t>5.57 %</w:t>
            </w:r>
          </w:p>
        </w:tc>
        <w:tc>
          <w:tcPr>
            <w:tcW w:w="20" w:type="dxa"/>
            <w:vAlign w:val="bottom"/>
          </w:tcPr>
          <w:p>
            <w:pPr>
              <w:spacing w:after="0"/>
              <w:rPr>
                <w:sz w:val="20"/>
                <w:szCs w:val="20"/>
                <w:color w:val="auto"/>
              </w:rPr>
            </w:pPr>
          </w:p>
        </w:tc>
      </w:tr>
      <w:tr>
        <w:trPr>
          <w:trHeight w:val="249"/>
        </w:trPr>
        <w:tc>
          <w:tcPr>
            <w:tcW w:w="37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Borrowings</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86,761</w:t>
            </w: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566</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2.61 %</w:t>
            </w: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63,528</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138</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0.87 %</w:t>
            </w:r>
          </w:p>
        </w:tc>
        <w:tc>
          <w:tcPr>
            <w:tcW w:w="20" w:type="dxa"/>
            <w:vAlign w:val="bottom"/>
          </w:tcPr>
          <w:p>
            <w:pPr>
              <w:spacing w:after="0"/>
              <w:rPr>
                <w:sz w:val="21"/>
                <w:szCs w:val="21"/>
                <w:color w:val="auto"/>
              </w:rPr>
            </w:pPr>
          </w:p>
        </w:tc>
      </w:tr>
      <w:tr>
        <w:trPr>
          <w:trHeight w:val="237"/>
        </w:trPr>
        <w:tc>
          <w:tcPr>
            <w:tcW w:w="3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interest-bearing liabilities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1,079,711</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5,075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1.88 %</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994,462</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1,515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0.61 %</w:t>
            </w:r>
          </w:p>
        </w:tc>
        <w:tc>
          <w:tcPr>
            <w:tcW w:w="20" w:type="dxa"/>
            <w:vAlign w:val="bottom"/>
          </w:tcPr>
          <w:p>
            <w:pPr>
              <w:spacing w:after="0"/>
              <w:rPr>
                <w:sz w:val="20"/>
                <w:szCs w:val="20"/>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Noninterest-bearing liabilities: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740" w:type="dxa"/>
            <w:vAlign w:val="bottom"/>
          </w:tcPr>
          <w:p>
            <w:pPr>
              <w:ind w:left="120"/>
              <w:spacing w:after="0"/>
              <w:rPr>
                <w:sz w:val="20"/>
                <w:szCs w:val="20"/>
                <w:color w:val="auto"/>
              </w:rPr>
            </w:pPr>
            <w:r>
              <w:rPr>
                <w:rFonts w:ascii="Arial" w:cs="Arial" w:eastAsia="Arial" w:hAnsi="Arial"/>
                <w:sz w:val="18"/>
                <w:szCs w:val="18"/>
                <w:color w:val="auto"/>
              </w:rPr>
              <w:t>Demand deposits</w:t>
            </w:r>
          </w:p>
        </w:tc>
        <w:tc>
          <w:tcPr>
            <w:tcW w:w="2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180,845</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199,164</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7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16,403</w:t>
            </w: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11,904</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1,276,959</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1,205,530</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37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112,983</w:t>
            </w:r>
          </w:p>
        </w:tc>
        <w:tc>
          <w:tcPr>
            <w:tcW w:w="2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111,030</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liabilities &amp; shareholders'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1,389,942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1,316,560</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interest income</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9,968</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9,467</w:t>
            </w:r>
          </w:p>
        </w:tc>
        <w:tc>
          <w:tcPr>
            <w:tcW w:w="10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Net interest rate spread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2.68 %</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2.93 %</w:t>
            </w:r>
          </w:p>
        </w:tc>
        <w:tc>
          <w:tcPr>
            <w:tcW w:w="20" w:type="dxa"/>
            <w:vAlign w:val="bottom"/>
          </w:tcPr>
          <w:p>
            <w:pPr>
              <w:spacing w:after="0"/>
              <w:rPr>
                <w:sz w:val="20"/>
                <w:szCs w:val="20"/>
                <w:color w:val="auto"/>
              </w:rPr>
            </w:pPr>
          </w:p>
        </w:tc>
      </w:tr>
      <w:tr>
        <w:trPr>
          <w:trHeight w:val="249"/>
        </w:trPr>
        <w:tc>
          <w:tcPr>
            <w:tcW w:w="37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interest margin</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3.02 %</w:t>
            </w: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3.06 %</w:t>
            </w:r>
          </w:p>
        </w:tc>
        <w:tc>
          <w:tcPr>
            <w:tcW w:w="20" w:type="dxa"/>
            <w:vAlign w:val="bottom"/>
          </w:tcPr>
          <w:p>
            <w:pPr>
              <w:spacing w:after="0"/>
              <w:rPr>
                <w:sz w:val="21"/>
                <w:szCs w:val="2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8"/>
                <w:szCs w:val="18"/>
                <w:color w:val="auto"/>
              </w:rPr>
              <w:t>Ratio of average interest-earning assets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3740" w:type="dxa"/>
            <w:vAlign w:val="bottom"/>
          </w:tcPr>
          <w:p>
            <w:pPr>
              <w:ind w:left="160"/>
              <w:spacing w:after="0"/>
              <w:rPr>
                <w:sz w:val="20"/>
                <w:szCs w:val="20"/>
                <w:color w:val="auto"/>
              </w:rPr>
            </w:pPr>
            <w:r>
              <w:rPr>
                <w:rFonts w:ascii="Arial" w:cs="Arial" w:eastAsia="Arial" w:hAnsi="Arial"/>
                <w:sz w:val="18"/>
                <w:szCs w:val="18"/>
                <w:color w:val="auto"/>
              </w:rPr>
              <w:t>to average interest-bearing liabilities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122.10 %</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124.62 %</w:t>
            </w:r>
          </w:p>
        </w:tc>
      </w:tr>
      <w:tr>
        <w:trPr>
          <w:trHeight w:val="20"/>
        </w:trPr>
        <w:tc>
          <w:tcPr>
            <w:tcW w:w="3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the first quarter of 2023, net interest income, before provision for credit losses, for the Company increased by $501,000, or 5.3%, compared to the same quarter in 2022, reaching a total of $10.0 million. Interest and dividend income in the first quarter of 2023 was $15.0 million, compared to $11.0 million in the same quarter in 2022. The increase in interest and dividend income between comparable quarters was a result of a $2.0 million increase in loan interest income and a $2.0 million increase in interest income derived from investments in taxable and tax-exempt investment securities. The increases in interest income was the result of a 63 basis point increase in the average loan yield, accompanied by a $53.8 million increase in the average outstanding balance of loans and a 170 basis point increase in the average yield on investment securities, accompanied by a $42.9 million increase in the average outstanding balance of investment securities. The increase in the average yield received on interest-earning assets in the first quarter of 2023, as compared to the same quarter in 2022, reflects generally increased rates of interest for newly funded loans and investment securities, as compared to the average yields within these portfolios, as well as increases in coupon rates for certain adjustable-rate loans and securities in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49</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68" w:right="319" w:bottom="1440" w:gutter="0" w:footer="0" w:header="0"/>
        </w:sectPr>
      </w:pPr>
    </w:p>
    <w:bookmarkStart w:id="49" w:name="page50"/>
    <w:bookmarkEnd w:id="49"/>
    <w:p>
      <w:pPr>
        <w:jc w:val="both"/>
        <w:spacing w:after="0" w:line="256" w:lineRule="auto"/>
        <w:rPr>
          <w:sz w:val="20"/>
          <w:szCs w:val="20"/>
          <w:color w:val="auto"/>
        </w:rPr>
      </w:pPr>
      <w:r>
        <w:rPr>
          <w:rFonts w:ascii="Arial" w:cs="Arial" w:eastAsia="Arial" w:hAnsi="Arial"/>
          <w:sz w:val="19"/>
          <w:szCs w:val="19"/>
          <w:color w:val="auto"/>
        </w:rPr>
        <w:t>the rising interest rate environment that has occurred in 2022 and 2023. These increases in the average yield on loans during 2023 were partially offset by reduced fee recognition related to PPP loans. PPP fee recognition revenues were less than $1,000 in the first quarter of 2023, as compared to $278,000 in the first quarter of the previous year. Partially offsetting those increases was an increase in total interest expense for the first quarter of 2023 to $5.1 million, an increase of $3.6 million, or 235.0%, from $1.5 million for the prior year quarter. Interest expense increased due to a 127 basis point increase in the average rates paid on interest-bearing liabilities, accompanied by an increase in the average outstanding balance of those liabilities of $85.2 million. The increase in the quarterly interest expense was primarily a result of the increase in cost of deposits resulting from the rapidly rising interest rate environment and increased competition. The deposit mix included a $77.1 million increase in average time deposit balances, including brokered deposits, combined with a 168 basis point increase in the average interest rate paid on those deposits.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resultant net interest margin for the first quarter of 2023 was 3.02%, a four basis point decrease compared to a net interest margin of 3.06% in the first quarter of 2022. Over the past year, the Company’s management has been able to effectively manage net interest margin by active management of the Bank’s assets and liabilities in the current challenging interest rate environment.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Rate/Volume Analysis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Net interest income can also be analyzed in terms of the impact of changing interest rates on interest-earning assets and interest-bearing liabilities and changes in the volume or amount of these assets and liabilities. The following table represents the extent to which changes in interest rates and changes in the volume of interest-earning assets and interest-bearing liabilities have affected the Company’s interest income and interest expense during the periods indicated. Information is provided in each category with respect to: (i) changes attributable to changes in volume (change in volume multiplied by prior rate); (ii) changes attributable to changes in rate (changes in rate multiplied by prior volume); and (iii) total increase or decrease. Changes attributable to both rate and volume have been allocated ratably. Tax-exempt securities have not been adjusted for tax equivalency.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1220" w:type="dxa"/>
            <w:vAlign w:val="bottom"/>
          </w:tcPr>
          <w:p>
            <w:pPr>
              <w:spacing w:after="0"/>
              <w:rPr>
                <w:sz w:val="20"/>
                <w:szCs w:val="20"/>
                <w:color w:val="auto"/>
              </w:rPr>
            </w:pPr>
          </w:p>
        </w:tc>
      </w:tr>
      <w:tr>
        <w:trPr>
          <w:trHeight w:val="243"/>
        </w:trPr>
        <w:tc>
          <w:tcPr>
            <w:tcW w:w="39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jc w:val="right"/>
              <w:ind w:right="470"/>
              <w:spacing w:after="0"/>
              <w:rPr>
                <w:sz w:val="20"/>
                <w:szCs w:val="20"/>
                <w:color w:val="auto"/>
              </w:rPr>
            </w:pPr>
            <w:r>
              <w:rPr>
                <w:rFonts w:ascii="Arial" w:cs="Arial" w:eastAsia="Arial" w:hAnsi="Arial"/>
                <w:sz w:val="18"/>
                <w:szCs w:val="18"/>
                <w:b w:val="1"/>
                <w:bCs w:val="1"/>
                <w:color w:val="auto"/>
                <w:w w:val="92"/>
              </w:rPr>
              <w:t>2023 vs. 2022</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39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Increase/(Decrease) Due to</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234"/>
        </w:trPr>
        <w:tc>
          <w:tcPr>
            <w:tcW w:w="3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w:t>
            </w:r>
          </w:p>
        </w:tc>
      </w:tr>
      <w:tr>
        <w:trPr>
          <w:trHeight w:val="238"/>
        </w:trPr>
        <w:tc>
          <w:tcPr>
            <w:tcW w:w="3980" w:type="dxa"/>
            <w:vAlign w:val="bottom"/>
          </w:tcPr>
          <w:p>
            <w:pPr>
              <w:ind w:left="60"/>
              <w:spacing w:after="0"/>
              <w:rPr>
                <w:sz w:val="20"/>
                <w:szCs w:val="20"/>
                <w:color w:val="auto"/>
              </w:rPr>
            </w:pPr>
            <w:r>
              <w:rPr>
                <w:rFonts w:ascii="Arial" w:cs="Arial" w:eastAsia="Arial" w:hAnsi="Arial"/>
                <w:sz w:val="18"/>
                <w:szCs w:val="18"/>
                <w:b w:val="1"/>
                <w:bCs w:val="1"/>
                <w:color w:val="auto"/>
              </w:rPr>
              <w:t>Unaudited</w:t>
            </w: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Increase</w:t>
            </w:r>
          </w:p>
        </w:tc>
      </w:tr>
      <w:tr>
        <w:trPr>
          <w:trHeight w:val="25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Volume</w:t>
            </w:r>
          </w:p>
        </w:tc>
        <w:tc>
          <w:tcPr>
            <w:tcW w:w="4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(Decrease)</w:t>
            </w:r>
          </w:p>
        </w:tc>
      </w:tr>
      <w:tr>
        <w:trPr>
          <w:trHeight w:val="24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Interest Income:</w:t>
            </w:r>
          </w:p>
        </w:tc>
        <w:tc>
          <w:tcPr>
            <w:tcW w:w="20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37"/>
        </w:trPr>
        <w:tc>
          <w:tcPr>
            <w:tcW w:w="3980" w:type="dxa"/>
            <w:vAlign w:val="bottom"/>
          </w:tcPr>
          <w:p>
            <w:pPr>
              <w:ind w:left="120"/>
              <w:spacing w:after="0"/>
              <w:rPr>
                <w:sz w:val="20"/>
                <w:szCs w:val="20"/>
                <w:color w:val="auto"/>
              </w:rPr>
            </w:pPr>
            <w:r>
              <w:rPr>
                <w:rFonts w:ascii="Arial" w:cs="Arial" w:eastAsia="Arial" w:hAnsi="Arial"/>
                <w:sz w:val="18"/>
                <w:szCs w:val="18"/>
                <w:color w:val="auto"/>
              </w:rPr>
              <w:t>Loans</w:t>
            </w:r>
          </w:p>
        </w:tc>
        <w:tc>
          <w:tcPr>
            <w:tcW w:w="2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1,390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1,966</w:t>
            </w:r>
          </w:p>
        </w:tc>
      </w:tr>
      <w:tr>
        <w:trPr>
          <w:trHeight w:val="249"/>
        </w:trPr>
        <w:tc>
          <w:tcPr>
            <w:tcW w:w="3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Taxable investment securities</w:t>
            </w:r>
          </w:p>
        </w:tc>
        <w:tc>
          <w:tcPr>
            <w:tcW w:w="20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4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1,375</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1,657</w:t>
            </w:r>
          </w:p>
        </w:tc>
      </w:tr>
      <w:tr>
        <w:trPr>
          <w:trHeight w:val="237"/>
        </w:trPr>
        <w:tc>
          <w:tcPr>
            <w:tcW w:w="3980" w:type="dxa"/>
            <w:vAlign w:val="bottom"/>
          </w:tcPr>
          <w:p>
            <w:pPr>
              <w:ind w:left="120"/>
              <w:spacing w:after="0"/>
              <w:rPr>
                <w:sz w:val="20"/>
                <w:szCs w:val="20"/>
                <w:color w:val="auto"/>
              </w:rPr>
            </w:pPr>
            <w:r>
              <w:rPr>
                <w:rFonts w:ascii="Arial" w:cs="Arial" w:eastAsia="Arial" w:hAnsi="Arial"/>
                <w:sz w:val="18"/>
                <w:szCs w:val="18"/>
                <w:color w:val="auto"/>
              </w:rPr>
              <w:t>Tax-exempt investment securities</w:t>
            </w: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0"/>
                <w:szCs w:val="20"/>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322</w:t>
            </w:r>
          </w:p>
        </w:tc>
        <w:tc>
          <w:tcPr>
            <w:tcW w:w="3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337</w:t>
            </w:r>
          </w:p>
        </w:tc>
      </w:tr>
      <w:tr>
        <w:trPr>
          <w:trHeight w:val="243"/>
        </w:trPr>
        <w:tc>
          <w:tcPr>
            <w:tcW w:w="39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Interest-earning deposits</w:t>
            </w:r>
          </w:p>
        </w:tc>
        <w:tc>
          <w:tcPr>
            <w:tcW w:w="20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46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118</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w:t>
            </w:r>
          </w:p>
        </w:tc>
      </w:tr>
      <w:tr>
        <w:trPr>
          <w:trHeight w:val="236"/>
        </w:trPr>
        <w:tc>
          <w:tcPr>
            <w:tcW w:w="3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interest income</w:t>
            </w:r>
          </w:p>
        </w:tc>
        <w:tc>
          <w:tcPr>
            <w:tcW w:w="20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3,205</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4,061</w:t>
            </w:r>
          </w:p>
        </w:tc>
      </w:tr>
      <w:tr>
        <w:trPr>
          <w:trHeight w:val="24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Interest Expense:</w:t>
            </w:r>
          </w:p>
        </w:tc>
        <w:tc>
          <w:tcPr>
            <w:tcW w:w="20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37"/>
        </w:trPr>
        <w:tc>
          <w:tcPr>
            <w:tcW w:w="3980" w:type="dxa"/>
            <w:vAlign w:val="bottom"/>
          </w:tcPr>
          <w:p>
            <w:pPr>
              <w:ind w:left="120"/>
              <w:spacing w:after="0"/>
              <w:rPr>
                <w:sz w:val="20"/>
                <w:szCs w:val="20"/>
                <w:color w:val="auto"/>
              </w:rPr>
            </w:pPr>
            <w:r>
              <w:rPr>
                <w:rFonts w:ascii="Arial" w:cs="Arial" w:eastAsia="Arial" w:hAnsi="Arial"/>
                <w:sz w:val="18"/>
                <w:szCs w:val="18"/>
                <w:color w:val="auto"/>
              </w:rPr>
              <w:t>NOW accounts</w:t>
            </w: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(36 )</w:t>
            </w:r>
          </w:p>
        </w:tc>
        <w:tc>
          <w:tcPr>
            <w:tcW w:w="460" w:type="dxa"/>
            <w:vAlign w:val="bottom"/>
          </w:tcPr>
          <w:p>
            <w:pPr>
              <w:spacing w:after="0"/>
              <w:rPr>
                <w:sz w:val="20"/>
                <w:szCs w:val="20"/>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20</w:t>
            </w:r>
          </w:p>
        </w:tc>
      </w:tr>
      <w:tr>
        <w:trPr>
          <w:trHeight w:val="249"/>
        </w:trPr>
        <w:tc>
          <w:tcPr>
            <w:tcW w:w="3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management accounts</w:t>
            </w:r>
          </w:p>
        </w:tc>
        <w:tc>
          <w:tcPr>
            <w:tcW w:w="20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4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3980" w:type="dxa"/>
            <w:vAlign w:val="bottom"/>
          </w:tcPr>
          <w:p>
            <w:pPr>
              <w:ind w:left="120"/>
              <w:spacing w:after="0"/>
              <w:rPr>
                <w:sz w:val="20"/>
                <w:szCs w:val="20"/>
                <w:color w:val="auto"/>
              </w:rPr>
            </w:pPr>
            <w:r>
              <w:rPr>
                <w:rFonts w:ascii="Arial" w:cs="Arial" w:eastAsia="Arial" w:hAnsi="Arial"/>
                <w:sz w:val="18"/>
                <w:szCs w:val="18"/>
                <w:color w:val="auto"/>
              </w:rPr>
              <w:t>MMDA accounts</w:t>
            </w: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(2 )</w:t>
            </w:r>
          </w:p>
        </w:tc>
        <w:tc>
          <w:tcPr>
            <w:tcW w:w="460" w:type="dxa"/>
            <w:vAlign w:val="bottom"/>
          </w:tcPr>
          <w:p>
            <w:pPr>
              <w:spacing w:after="0"/>
              <w:rPr>
                <w:sz w:val="20"/>
                <w:szCs w:val="20"/>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1,031</w:t>
            </w:r>
          </w:p>
        </w:tc>
        <w:tc>
          <w:tcPr>
            <w:tcW w:w="3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1,029</w:t>
            </w:r>
          </w:p>
        </w:tc>
      </w:tr>
      <w:tr>
        <w:trPr>
          <w:trHeight w:val="249"/>
        </w:trPr>
        <w:tc>
          <w:tcPr>
            <w:tcW w:w="3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Savings and club accounts</w:t>
            </w:r>
          </w:p>
        </w:tc>
        <w:tc>
          <w:tcPr>
            <w:tcW w:w="20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4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r>
      <w:tr>
        <w:trPr>
          <w:trHeight w:val="237"/>
        </w:trPr>
        <w:tc>
          <w:tcPr>
            <w:tcW w:w="3980" w:type="dxa"/>
            <w:vAlign w:val="bottom"/>
          </w:tcPr>
          <w:p>
            <w:pPr>
              <w:ind w:left="120"/>
              <w:spacing w:after="0"/>
              <w:rPr>
                <w:sz w:val="20"/>
                <w:szCs w:val="20"/>
                <w:color w:val="auto"/>
              </w:rPr>
            </w:pPr>
            <w:r>
              <w:rPr>
                <w:rFonts w:ascii="Arial" w:cs="Arial" w:eastAsia="Arial" w:hAnsi="Arial"/>
                <w:sz w:val="18"/>
                <w:szCs w:val="18"/>
                <w:color w:val="auto"/>
              </w:rPr>
              <w:t>Time deposits</w:t>
            </w: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460" w:type="dxa"/>
            <w:vAlign w:val="bottom"/>
          </w:tcPr>
          <w:p>
            <w:pPr>
              <w:spacing w:after="0"/>
              <w:rPr>
                <w:sz w:val="20"/>
                <w:szCs w:val="20"/>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1,862</w:t>
            </w:r>
          </w:p>
        </w:tc>
        <w:tc>
          <w:tcPr>
            <w:tcW w:w="3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2,007</w:t>
            </w:r>
          </w:p>
        </w:tc>
      </w:tr>
      <w:tr>
        <w:trPr>
          <w:trHeight w:val="249"/>
        </w:trPr>
        <w:tc>
          <w:tcPr>
            <w:tcW w:w="3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Subordinated debt</w:t>
            </w:r>
          </w:p>
        </w:tc>
        <w:tc>
          <w:tcPr>
            <w:tcW w:w="20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w:t>
            </w:r>
          </w:p>
        </w:tc>
      </w:tr>
      <w:tr>
        <w:trPr>
          <w:trHeight w:val="237"/>
        </w:trPr>
        <w:tc>
          <w:tcPr>
            <w:tcW w:w="3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Borrowings</w:t>
            </w:r>
          </w:p>
        </w:tc>
        <w:tc>
          <w:tcPr>
            <w:tcW w:w="20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362</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428</w:t>
            </w:r>
          </w:p>
        </w:tc>
      </w:tr>
      <w:tr>
        <w:trPr>
          <w:trHeight w:val="237"/>
        </w:trPr>
        <w:tc>
          <w:tcPr>
            <w:tcW w:w="39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Total interest expense</w:t>
            </w:r>
          </w:p>
        </w:tc>
        <w:tc>
          <w:tcPr>
            <w:tcW w:w="206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46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3,397</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3,560</w:t>
            </w:r>
          </w:p>
        </w:tc>
      </w:tr>
      <w:tr>
        <w:trPr>
          <w:trHeight w:val="236"/>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change in net interest income</w:t>
            </w:r>
          </w:p>
        </w:tc>
        <w:tc>
          <w:tcPr>
            <w:tcW w:w="25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(192 )</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501</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9"/>
        </w:trPr>
        <w:tc>
          <w:tcPr>
            <w:tcW w:w="3980" w:type="dxa"/>
            <w:vAlign w:val="bottom"/>
          </w:tcPr>
          <w:p>
            <w:pPr>
              <w:spacing w:after="0"/>
              <w:rPr>
                <w:sz w:val="24"/>
                <w:szCs w:val="24"/>
                <w:color w:val="auto"/>
              </w:rPr>
            </w:pPr>
          </w:p>
        </w:tc>
        <w:tc>
          <w:tcPr>
            <w:tcW w:w="2060" w:type="dxa"/>
            <w:vAlign w:val="bottom"/>
          </w:tcPr>
          <w:p>
            <w:pPr>
              <w:jc w:val="right"/>
              <w:ind w:right="13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50</w:t>
            </w:r>
            <w:r>
              <w:rPr>
                <w:rFonts w:ascii="Arial" w:cs="Arial" w:eastAsia="Arial" w:hAnsi="Arial"/>
                <w:sz w:val="18"/>
                <w:szCs w:val="18"/>
                <w:color w:val="auto"/>
              </w:rPr>
              <w:t xml:space="preserve"> -</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Provision for Credit Losses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establish a provision for credit losses, which is charged to operations, at a level management believes is appropriate to absorb expected credit losses in the loan portfolio. In evaluating the level of the allowance for credit losses, management considers historical loss experience, the types of loans and the amount of loans in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 represents management’s estimate of the amount necessary to maintain the allowance for credit losses at an adequate level.</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Instruments—Credit Losses (Topic 326): Measurement of Credit Losses on Financial Instruments, </w:t>
      </w:r>
      <w:r>
        <w:rPr>
          <w:rFonts w:ascii="Arial" w:cs="Arial" w:eastAsia="Arial" w:hAnsi="Arial"/>
          <w:sz w:val="18"/>
          <w:szCs w:val="18"/>
          <w:color w:val="auto"/>
        </w:rPr>
        <w:t>requiring financial institutions, such as the</w:t>
      </w:r>
      <w:r>
        <w:rPr>
          <w:rFonts w:ascii="Arial" w:cs="Arial" w:eastAsia="Arial" w:hAnsi="Arial"/>
          <w:sz w:val="18"/>
          <w:szCs w:val="18"/>
          <w:i w:val="1"/>
          <w:iCs w:val="1"/>
          <w:color w:val="auto"/>
        </w:rPr>
        <w:t xml:space="preserve"> </w:t>
      </w:r>
      <w:r>
        <w:rPr>
          <w:rFonts w:ascii="Arial" w:cs="Arial" w:eastAsia="Arial" w:hAnsi="Arial"/>
          <w:sz w:val="18"/>
          <w:szCs w:val="18"/>
          <w:color w:val="auto"/>
        </w:rPr>
        <w:t>Bank, to adopt the Current Expected Credit Loss (“CECL”) methodology according to a specified implementation timeline. In order to meet this requirement, the Bank adopted the CECL methodology for calculating its Allowance for Credit Losses (“ACL”) on January 1, 2023. The amended guidance replaces the previously-required Allowance for Loan and Lease Losses (“ALLL”) calculated under what was known as the Incurred Loss Model. The ACL represents a valuation account that is deducted from the amortized cost basis of includable financial assets to present their net carrying value at the amount expected to be collected over the entire life of those assets. The income statement now reflects the measurement of credit losses for newly recognized financial assets as well as expected increases, or decreases, of expected credit losses that have taken place during the reporting period. When determining the ACL, expected credit losses over the expected term of the financial asset will be estimated considering relevant information about past events, current conditions, and reasonable and supportable forecasts that affect the future collectability of the reported amount. In addition, the amended guidance requires credit losses relating to assets such as held-to-maturity debt securities and open contractual funding commitments to be recorded through the ACL. Because the CECL methodology requires that reserves be established within the ACL for a broad range of financial assets, including all loans, through the entirety of their expected lives and also considers new items, such as open funding commitments, the initial ACL upon adoption would, in most cases, be expected to be greater than the ALLL that it replaced.</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The transition adjustment that was recognized upon the adoption of CECL on January 1, 2023, was accounted for as a one-time increase in the ACL with a corresponding one-time charge to retained earnings, adjusted for income tax effects. </w:t>
      </w:r>
      <w:r>
        <w:rPr>
          <w:rFonts w:ascii="Arial" w:cs="Arial" w:eastAsia="Arial" w:hAnsi="Arial"/>
          <w:sz w:val="16"/>
          <w:szCs w:val="16"/>
          <w:color w:val="auto"/>
        </w:rPr>
        <w:t>In determining the beginning ACL</w:t>
      </w:r>
      <w:r>
        <w:rPr>
          <w:rFonts w:ascii="Arial" w:cs="Arial" w:eastAsia="Arial" w:hAnsi="Arial"/>
          <w:sz w:val="18"/>
          <w:szCs w:val="18"/>
          <w:color w:val="auto"/>
        </w:rPr>
        <w:t xml:space="preserve"> </w:t>
      </w:r>
      <w:r>
        <w:rPr>
          <w:rFonts w:ascii="Arial" w:cs="Arial" w:eastAsia="Arial" w:hAnsi="Arial"/>
          <w:sz w:val="16"/>
          <w:szCs w:val="16"/>
          <w:color w:val="auto"/>
        </w:rPr>
        <w:t>balance for the quarter ended March 31, 2023, a nonrecurring adjustment from ILM to CECL was made on January 1, 2023, increasing the ALLL at December 31, 2022 by $1.9 million. In addition, the adoption of CECL decreased the recorded book value of HTM securities by $450,000 and</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increased other liabilities by $552,000 for credit losses associated with unfunded contractual commitments on financial assets. Retained earnings at March 31, 2023 therefore reflects the effects of the one-time transition adjustment of $2.1 million, recorded on January 1, 2023, after income tax effects.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recorded $692,000 in provision for credit losses for the three month period ended March 31, 2023, as compared to $102,000 for the three month period ended March 31, 2022. The provisioning in the first quarter of 2023 and 2022 reflects management’s determination of the appropriate level of additions to reserves the composition of the loan portfolio, changes in quantifiable econometric data statistically correlated to historical charge-off rates, subjective qualitative assessments of changes in a broad array of factors including both changes to underwriting criteria, loan staffing and local market conditions. The $590,000 increase in provision for credit losses in the first quarter of 2023, as compared to the same period in 2022, primarily reflecting management's decision to downgrade certain loans within two specifically-identified commercial real estate and commercial loan credit relationships with an aggregate outstanding balance of $13.0 million. The Bank's credit sensitive portfolios continue to be carefully monitored, and the Bank will consistently apply its loan classification and reserve building methodologies to the analysis of these portfolios. Please refer to the asset quality section below for a further discussion of asset quality as it relates to the allowance for credit losses.</w:t>
      </w:r>
    </w:p>
    <w:p>
      <w:pPr>
        <w:spacing w:after="0" w:line="14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measures delinquency based on the amount of past due loans as a percentage of total loans. The ratio of delinquent loans to total loans decreased to 2.84% at March 31, 2023 as compared to 2.89% at December 31, 2022. Delinquent loans (numerator) decreased $57,000 while total loan balances (denominator) increased $12.5 million at March 31, 2023, as compared to December 31, 2022. The decrease in past due loans was driven by a decrease of $8.5 million in loans delinquent 30-59 days, and a decrease of $1.8 million in loans delinquent 60-89 days, offset by a $10.2 million increase in loans delinquent 90 days and over past due at March 31, 2023, as compared to December 31, 2022.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51</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jc w:val="both"/>
        <w:ind w:right="20"/>
        <w:spacing w:after="0" w:line="246" w:lineRule="auto"/>
        <w:rPr>
          <w:sz w:val="20"/>
          <w:szCs w:val="20"/>
          <w:color w:val="auto"/>
        </w:rPr>
      </w:pPr>
      <w:r>
        <w:rPr>
          <w:rFonts w:ascii="Arial" w:cs="Arial" w:eastAsia="Arial" w:hAnsi="Arial"/>
          <w:sz w:val="20"/>
          <w:szCs w:val="20"/>
          <w:color w:val="auto"/>
        </w:rPr>
        <w:t>At March 31, 2022, there were $25.9 million in loans past due including $4.5 million in loans 30-59 days past due, $2.5 million in loans 60-89 days past due and $18.9 million in loans 90 or more days past due. At December 31, 2022, there were $26.0 million in loans past due including $13.0 million in loans 30-59 days past due, $4.3 million in loans 60-89 days past due and $8.7 million in loans 90 or more days past due.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Noninterest Income</w:t>
      </w:r>
    </w:p>
    <w:p>
      <w:pPr>
        <w:spacing w:after="0" w:line="195"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Company's noninterest income is primarily comprised of fees on deposit account balances and transactions, loan servicing, commissions, including insurance agency commissions, and net gains on sales of securities, loans, and foreclosed real estate.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on noninterest income for the periods indicated: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Unaudited</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For the three months ended</w:t>
            </w:r>
          </w:p>
        </w:tc>
        <w:tc>
          <w:tcPr>
            <w:tcW w:w="1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5"/>
              </w:rPr>
              <w:t>March 31, 2023</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5"/>
              </w:rPr>
              <w:t>March 31, 2022</w:t>
            </w:r>
          </w:p>
        </w:tc>
        <w:tc>
          <w:tcPr>
            <w:tcW w:w="9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Change</w:t>
            </w: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charges on deposit accounts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267</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259</w:t>
            </w:r>
          </w:p>
        </w:tc>
        <w:tc>
          <w:tcPr>
            <w:tcW w:w="98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839"/>
              <w:spacing w:after="0"/>
              <w:rPr>
                <w:sz w:val="20"/>
                <w:szCs w:val="20"/>
                <w:color w:val="auto"/>
              </w:rPr>
            </w:pPr>
            <w:r>
              <w:rPr>
                <w:rFonts w:ascii="Arial" w:cs="Arial" w:eastAsia="Arial" w:hAnsi="Arial"/>
                <w:sz w:val="16"/>
                <w:szCs w:val="16"/>
                <w:color w:val="auto"/>
              </w:rPr>
              <w:t>8</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3.1 %</w:t>
            </w:r>
          </w:p>
        </w:tc>
        <w:tc>
          <w:tcPr>
            <w:tcW w:w="20" w:type="dxa"/>
            <w:vAlign w:val="bottom"/>
          </w:tcPr>
          <w:p>
            <w:pPr>
              <w:spacing w:after="0"/>
              <w:rPr>
                <w:sz w:val="19"/>
                <w:szCs w:val="19"/>
                <w:color w:val="auto"/>
              </w:rPr>
            </w:pPr>
          </w:p>
        </w:tc>
      </w:tr>
      <w:tr>
        <w:trPr>
          <w:trHeight w:val="220"/>
        </w:trPr>
        <w:tc>
          <w:tcPr>
            <w:tcW w:w="5240" w:type="dxa"/>
            <w:vAlign w:val="bottom"/>
          </w:tcPr>
          <w:p>
            <w:pPr>
              <w:ind w:left="20"/>
              <w:spacing w:after="0"/>
              <w:rPr>
                <w:sz w:val="20"/>
                <w:szCs w:val="20"/>
                <w:color w:val="auto"/>
              </w:rPr>
            </w:pPr>
            <w:r>
              <w:rPr>
                <w:rFonts w:ascii="Arial" w:cs="Arial" w:eastAsia="Arial" w:hAnsi="Arial"/>
                <w:sz w:val="16"/>
                <w:szCs w:val="16"/>
                <w:color w:val="auto"/>
              </w:rPr>
              <w:t>Earnings and gain on bank owned life insurance</w:t>
            </w:r>
          </w:p>
        </w:tc>
        <w:tc>
          <w:tcPr>
            <w:tcW w:w="1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158</w:t>
            </w:r>
          </w:p>
        </w:tc>
        <w:tc>
          <w:tcPr>
            <w:tcW w:w="2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162</w:t>
            </w:r>
          </w:p>
        </w:tc>
        <w:tc>
          <w:tcPr>
            <w:tcW w:w="980" w:type="dxa"/>
            <w:vAlign w:val="bottom"/>
          </w:tcPr>
          <w:p>
            <w:pPr>
              <w:spacing w:after="0"/>
              <w:rPr>
                <w:sz w:val="19"/>
                <w:szCs w:val="19"/>
                <w:color w:val="auto"/>
              </w:rPr>
            </w:pPr>
          </w:p>
        </w:tc>
        <w:tc>
          <w:tcPr>
            <w:tcW w:w="1220" w:type="dxa"/>
            <w:vAlign w:val="bottom"/>
          </w:tcPr>
          <w:p>
            <w:pPr>
              <w:jc w:val="right"/>
              <w:ind w:right="759"/>
              <w:spacing w:after="0"/>
              <w:rPr>
                <w:sz w:val="20"/>
                <w:szCs w:val="20"/>
                <w:color w:val="auto"/>
              </w:rPr>
            </w:pPr>
            <w:r>
              <w:rPr>
                <w:rFonts w:ascii="Arial" w:cs="Arial" w:eastAsia="Arial" w:hAnsi="Arial"/>
                <w:sz w:val="16"/>
                <w:szCs w:val="16"/>
                <w:color w:val="auto"/>
              </w:rPr>
              <w:t>(4 )</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-2.5 %</w:t>
            </w:r>
          </w:p>
        </w:tc>
      </w:tr>
      <w:tr>
        <w:trPr>
          <w:trHeight w:val="23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Loan servicing fees</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w:t>
            </w: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117</w:t>
            </w:r>
          </w:p>
        </w:tc>
        <w:tc>
          <w:tcPr>
            <w:tcW w:w="9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rPr>
              <w:t>(45 )</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-38.5 %</w:t>
            </w:r>
          </w:p>
        </w:tc>
        <w:tc>
          <w:tcPr>
            <w:tcW w:w="20" w:type="dxa"/>
            <w:vAlign w:val="bottom"/>
          </w:tcPr>
          <w:p>
            <w:pPr>
              <w:spacing w:after="0"/>
              <w:rPr>
                <w:sz w:val="20"/>
                <w:szCs w:val="20"/>
                <w:color w:val="auto"/>
              </w:rPr>
            </w:pPr>
          </w:p>
        </w:tc>
      </w:tr>
      <w:tr>
        <w:trPr>
          <w:trHeight w:val="220"/>
        </w:trPr>
        <w:tc>
          <w:tcPr>
            <w:tcW w:w="5240" w:type="dxa"/>
            <w:vAlign w:val="bottom"/>
          </w:tcPr>
          <w:p>
            <w:pPr>
              <w:ind w:left="20"/>
              <w:spacing w:after="0"/>
              <w:rPr>
                <w:sz w:val="20"/>
                <w:szCs w:val="20"/>
                <w:color w:val="auto"/>
              </w:rPr>
            </w:pPr>
            <w:r>
              <w:rPr>
                <w:rFonts w:ascii="Arial" w:cs="Arial" w:eastAsia="Arial" w:hAnsi="Arial"/>
                <w:sz w:val="16"/>
                <w:szCs w:val="16"/>
                <w:color w:val="auto"/>
              </w:rPr>
              <w:t>Debit card interchange fees</w:t>
            </w:r>
          </w:p>
        </w:tc>
        <w:tc>
          <w:tcPr>
            <w:tcW w:w="1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321</w:t>
            </w:r>
          </w:p>
        </w:tc>
        <w:tc>
          <w:tcPr>
            <w:tcW w:w="2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228</w:t>
            </w:r>
          </w:p>
        </w:tc>
        <w:tc>
          <w:tcPr>
            <w:tcW w:w="980" w:type="dxa"/>
            <w:vAlign w:val="bottom"/>
          </w:tcPr>
          <w:p>
            <w:pPr>
              <w:spacing w:after="0"/>
              <w:rPr>
                <w:sz w:val="19"/>
                <w:szCs w:val="19"/>
                <w:color w:val="auto"/>
              </w:rPr>
            </w:pPr>
          </w:p>
        </w:tc>
        <w:tc>
          <w:tcPr>
            <w:tcW w:w="1220" w:type="dxa"/>
            <w:vAlign w:val="bottom"/>
          </w:tcPr>
          <w:p>
            <w:pPr>
              <w:jc w:val="right"/>
              <w:ind w:right="839"/>
              <w:spacing w:after="0"/>
              <w:rPr>
                <w:sz w:val="20"/>
                <w:szCs w:val="20"/>
                <w:color w:val="auto"/>
              </w:rPr>
            </w:pPr>
            <w:r>
              <w:rPr>
                <w:rFonts w:ascii="Arial" w:cs="Arial" w:eastAsia="Arial" w:hAnsi="Arial"/>
                <w:sz w:val="16"/>
                <w:szCs w:val="16"/>
                <w:color w:val="auto"/>
              </w:rPr>
              <w:t>93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40.8 %</w:t>
            </w:r>
          </w:p>
        </w:tc>
      </w:tr>
      <w:tr>
        <w:trPr>
          <w:trHeight w:val="23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Insurance agency revenue</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420</w:t>
            </w: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299</w:t>
            </w:r>
          </w:p>
        </w:tc>
        <w:tc>
          <w:tcPr>
            <w:tcW w:w="9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839"/>
              <w:spacing w:after="0"/>
              <w:rPr>
                <w:sz w:val="20"/>
                <w:szCs w:val="20"/>
                <w:color w:val="auto"/>
              </w:rPr>
            </w:pPr>
            <w:r>
              <w:rPr>
                <w:rFonts w:ascii="Arial" w:cs="Arial" w:eastAsia="Arial" w:hAnsi="Arial"/>
                <w:sz w:val="16"/>
                <w:szCs w:val="16"/>
                <w:color w:val="auto"/>
              </w:rPr>
              <w:t>121</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40.5 %</w:t>
            </w:r>
          </w:p>
        </w:tc>
        <w:tc>
          <w:tcPr>
            <w:tcW w:w="20" w:type="dxa"/>
            <w:vAlign w:val="bottom"/>
          </w:tcPr>
          <w:p>
            <w:pPr>
              <w:spacing w:after="0"/>
              <w:rPr>
                <w:sz w:val="20"/>
                <w:szCs w:val="20"/>
                <w:color w:val="auto"/>
              </w:rPr>
            </w:pPr>
          </w:p>
        </w:tc>
      </w:tr>
      <w:tr>
        <w:trPr>
          <w:trHeight w:val="22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charges, commissions and fees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256</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413</w:t>
            </w:r>
          </w:p>
        </w:tc>
        <w:tc>
          <w:tcPr>
            <w:tcW w:w="9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6"/>
              </w:rPr>
              <w:t>(157 )</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-38.0 %</w:t>
            </w:r>
          </w:p>
        </w:tc>
      </w:tr>
      <w:tr>
        <w:trPr>
          <w:trHeight w:val="230"/>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income before gains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1,494</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1,478</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839"/>
              <w:spacing w:after="0"/>
              <w:rPr>
                <w:sz w:val="20"/>
                <w:szCs w:val="20"/>
                <w:color w:val="auto"/>
              </w:rPr>
            </w:pPr>
            <w:r>
              <w:rPr>
                <w:rFonts w:ascii="Arial" w:cs="Arial" w:eastAsia="Arial" w:hAnsi="Arial"/>
                <w:sz w:val="16"/>
                <w:szCs w:val="16"/>
                <w:color w:val="auto"/>
              </w:rPr>
              <w:t>16</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1.1 %</w:t>
            </w:r>
          </w:p>
        </w:tc>
        <w:tc>
          <w:tcPr>
            <w:tcW w:w="20" w:type="dxa"/>
            <w:vAlign w:val="bottom"/>
          </w:tcPr>
          <w:p>
            <w:pPr>
              <w:spacing w:after="0"/>
              <w:rPr>
                <w:sz w:val="19"/>
                <w:szCs w:val="19"/>
                <w:color w:val="auto"/>
              </w:rPr>
            </w:pPr>
          </w:p>
        </w:tc>
      </w:tr>
      <w:tr>
        <w:trPr>
          <w:trHeight w:val="206"/>
        </w:trPr>
        <w:tc>
          <w:tcPr>
            <w:tcW w:w="5240" w:type="dxa"/>
            <w:vAlign w:val="bottom"/>
          </w:tcPr>
          <w:p>
            <w:pPr>
              <w:ind w:left="20"/>
              <w:spacing w:after="0"/>
              <w:rPr>
                <w:sz w:val="20"/>
                <w:szCs w:val="20"/>
                <w:color w:val="auto"/>
              </w:rPr>
            </w:pPr>
            <w:r>
              <w:rPr>
                <w:rFonts w:ascii="Arial" w:cs="Arial" w:eastAsia="Arial" w:hAnsi="Arial"/>
                <w:sz w:val="16"/>
                <w:szCs w:val="16"/>
                <w:color w:val="auto"/>
              </w:rPr>
              <w:t>Net gains on sales of securities, fixed assets, loans and foreclosed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240" w:type="dxa"/>
            <w:vAlign w:val="bottom"/>
          </w:tcPr>
          <w:p>
            <w:pPr>
              <w:ind w:left="140"/>
              <w:spacing w:after="0"/>
              <w:rPr>
                <w:sz w:val="20"/>
                <w:szCs w:val="20"/>
                <w:color w:val="auto"/>
              </w:rPr>
            </w:pPr>
            <w:r>
              <w:rPr>
                <w:rFonts w:ascii="Arial" w:cs="Arial" w:eastAsia="Arial" w:hAnsi="Arial"/>
                <w:sz w:val="16"/>
                <w:szCs w:val="16"/>
                <w:color w:val="auto"/>
              </w:rPr>
              <w:t>real estate</w:t>
            </w:r>
          </w:p>
        </w:tc>
        <w:tc>
          <w:tcPr>
            <w:tcW w:w="12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98</w:t>
            </w:r>
          </w:p>
        </w:tc>
        <w:tc>
          <w:tcPr>
            <w:tcW w:w="2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57</w:t>
            </w:r>
          </w:p>
        </w:tc>
        <w:tc>
          <w:tcPr>
            <w:tcW w:w="980" w:type="dxa"/>
            <w:vAlign w:val="bottom"/>
          </w:tcPr>
          <w:p>
            <w:pPr>
              <w:spacing w:after="0"/>
              <w:rPr>
                <w:sz w:val="18"/>
                <w:szCs w:val="18"/>
                <w:color w:val="auto"/>
              </w:rPr>
            </w:pPr>
          </w:p>
        </w:tc>
        <w:tc>
          <w:tcPr>
            <w:tcW w:w="1220" w:type="dxa"/>
            <w:vAlign w:val="bottom"/>
          </w:tcPr>
          <w:p>
            <w:pPr>
              <w:jc w:val="right"/>
              <w:ind w:right="839"/>
              <w:spacing w:after="0"/>
              <w:rPr>
                <w:sz w:val="20"/>
                <w:szCs w:val="20"/>
                <w:color w:val="auto"/>
              </w:rPr>
            </w:pPr>
            <w:r>
              <w:rPr>
                <w:rFonts w:ascii="Arial" w:cs="Arial" w:eastAsia="Arial" w:hAnsi="Arial"/>
                <w:sz w:val="16"/>
                <w:szCs w:val="16"/>
                <w:color w:val="auto"/>
              </w:rPr>
              <w:t>41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71.9 %</w:t>
            </w:r>
          </w:p>
        </w:tc>
      </w:tr>
      <w:tr>
        <w:trPr>
          <w:trHeight w:val="233"/>
        </w:trPr>
        <w:tc>
          <w:tcPr>
            <w:tcW w:w="5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Gains on marketable equity securities</w:t>
            </w:r>
          </w:p>
        </w:tc>
        <w:tc>
          <w:tcPr>
            <w:tcW w:w="1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68</w:t>
            </w:r>
          </w:p>
        </w:tc>
        <w:tc>
          <w:tcPr>
            <w:tcW w:w="9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6"/>
                <w:szCs w:val="16"/>
                <w:color w:val="auto"/>
              </w:rPr>
              <w:t>(68 )</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-100.0 %</w:t>
            </w:r>
          </w:p>
        </w:tc>
        <w:tc>
          <w:tcPr>
            <w:tcW w:w="20" w:type="dxa"/>
            <w:vAlign w:val="bottom"/>
          </w:tcPr>
          <w:p>
            <w:pPr>
              <w:spacing w:after="0"/>
              <w:rPr>
                <w:sz w:val="20"/>
                <w:szCs w:val="20"/>
                <w:color w:val="auto"/>
              </w:rPr>
            </w:pPr>
          </w:p>
        </w:tc>
      </w:tr>
      <w:tr>
        <w:trPr>
          <w:trHeight w:val="22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noninterest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1,603</w:t>
            </w:r>
          </w:p>
        </w:tc>
        <w:tc>
          <w:tcPr>
            <w:tcW w:w="9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(11 )</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-0.7 %</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During the first quarter of 2023, the Company’s noninterest income was essentially unchanged at $1.6 million, with a recorded decrease of $11,000, or 0.7%, compared to the same period in 2022. Recurring noninterest income that excludes certain items that can cause volatility in noninterest income, such as unrealized gains or losses on equity securities, and nonrecurring gains on sales of loans, investment securities, foreclosed real estate, premises and equipment, was also essentially unchanged in the first quarter of 2023, as compared to the first quarter of the previous year.</w:t>
      </w:r>
    </w:p>
    <w:p>
      <w:pPr>
        <w:spacing w:after="0" w:line="316"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The $11,000, or 0.7%, decrease in noninterest income in the quarter ended March 31, 2023, as compared to the same quarterly period in 2022, was primarily the result of a decrease of $157,000 in other charges, commissions and fees, a $68,000 decrease in gains on marketable equity securities, a $45,000 decrease in loan servicing fees and a $38,000 decrease in net gains on sales of loans and foreclosed real estate. Insurance agency revenue, debit card interchange fees and net gains on the sales of investment securities increased $121,000, $93,000 and $79,000, respectively. The $157,000 decrease in other charges, commissions and fees, as compared to the same quarter of the previous year, was primarily due to a non-recurring $176,000 gain recorded in the first quarter of 2022, related to the early termination of a free-standing derivative contract.</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52</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03" w:right="31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Noninterest Expense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on noninterest expense for the periods indicated: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Unaudited</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For the three months ended</w:t>
            </w:r>
          </w:p>
        </w:tc>
        <w:tc>
          <w:tcPr>
            <w:tcW w:w="1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3"/>
              </w:rPr>
              <w:t>March 31, 2023</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5"/>
              </w:rPr>
              <w:t>March 31, 2022</w:t>
            </w:r>
          </w:p>
        </w:tc>
        <w:tc>
          <w:tcPr>
            <w:tcW w:w="10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Change</w:t>
            </w: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Salaries and employee benefits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4,183</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4,049</w:t>
            </w:r>
          </w:p>
        </w:tc>
        <w:tc>
          <w:tcPr>
            <w:tcW w:w="1020" w:type="dxa"/>
            <w:vAlign w:val="bottom"/>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w w:val="97"/>
              </w:rPr>
              <w:t>134</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3.3 %</w:t>
            </w:r>
          </w:p>
        </w:tc>
        <w:tc>
          <w:tcPr>
            <w:tcW w:w="20" w:type="dxa"/>
            <w:vAlign w:val="bottom"/>
          </w:tcPr>
          <w:p>
            <w:pPr>
              <w:spacing w:after="0"/>
              <w:rPr>
                <w:sz w:val="19"/>
                <w:szCs w:val="19"/>
                <w:color w:val="auto"/>
              </w:rPr>
            </w:pPr>
          </w:p>
        </w:tc>
      </w:tr>
      <w:tr>
        <w:trPr>
          <w:trHeight w:val="220"/>
        </w:trPr>
        <w:tc>
          <w:tcPr>
            <w:tcW w:w="5200" w:type="dxa"/>
            <w:vAlign w:val="bottom"/>
          </w:tcPr>
          <w:p>
            <w:pPr>
              <w:ind w:left="20"/>
              <w:spacing w:after="0"/>
              <w:rPr>
                <w:sz w:val="20"/>
                <w:szCs w:val="20"/>
                <w:color w:val="auto"/>
              </w:rPr>
            </w:pPr>
            <w:r>
              <w:rPr>
                <w:rFonts w:ascii="Arial" w:cs="Arial" w:eastAsia="Arial" w:hAnsi="Arial"/>
                <w:sz w:val="16"/>
                <w:szCs w:val="16"/>
                <w:color w:val="auto"/>
              </w:rPr>
              <w:t>Building and occupancy</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852</w:t>
            </w:r>
          </w:p>
        </w:tc>
        <w:tc>
          <w:tcPr>
            <w:tcW w:w="2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826</w:t>
            </w:r>
          </w:p>
        </w:tc>
        <w:tc>
          <w:tcPr>
            <w:tcW w:w="1020" w:type="dxa"/>
            <w:vAlign w:val="bottom"/>
          </w:tcPr>
          <w:p>
            <w:pPr>
              <w:spacing w:after="0"/>
              <w:rPr>
                <w:sz w:val="19"/>
                <w:szCs w:val="19"/>
                <w:color w:val="auto"/>
              </w:rPr>
            </w:pPr>
          </w:p>
        </w:tc>
        <w:tc>
          <w:tcPr>
            <w:tcW w:w="1260" w:type="dxa"/>
            <w:vAlign w:val="bottom"/>
          </w:tcPr>
          <w:p>
            <w:pPr>
              <w:jc w:val="right"/>
              <w:ind w:right="899"/>
              <w:spacing w:after="0"/>
              <w:rPr>
                <w:sz w:val="20"/>
                <w:szCs w:val="20"/>
                <w:color w:val="auto"/>
              </w:rPr>
            </w:pPr>
            <w:r>
              <w:rPr>
                <w:rFonts w:ascii="Arial" w:cs="Arial" w:eastAsia="Arial" w:hAnsi="Arial"/>
                <w:sz w:val="16"/>
                <w:szCs w:val="16"/>
                <w:color w:val="auto"/>
              </w:rPr>
              <w:t>26</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3.1 %</w:t>
            </w:r>
          </w:p>
        </w:tc>
      </w:tr>
      <w:tr>
        <w:trPr>
          <w:trHeight w:val="23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Data processing</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553</w:t>
            </w: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550</w:t>
            </w:r>
          </w:p>
        </w:tc>
        <w:tc>
          <w:tcPr>
            <w:tcW w:w="10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3</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0.5 %</w:t>
            </w:r>
          </w:p>
        </w:tc>
        <w:tc>
          <w:tcPr>
            <w:tcW w:w="20" w:type="dxa"/>
            <w:vAlign w:val="bottom"/>
          </w:tcPr>
          <w:p>
            <w:pPr>
              <w:spacing w:after="0"/>
              <w:rPr>
                <w:sz w:val="20"/>
                <w:szCs w:val="20"/>
                <w:color w:val="auto"/>
              </w:rPr>
            </w:pPr>
          </w:p>
        </w:tc>
      </w:tr>
      <w:tr>
        <w:trPr>
          <w:trHeight w:val="220"/>
        </w:trPr>
        <w:tc>
          <w:tcPr>
            <w:tcW w:w="5200" w:type="dxa"/>
            <w:vAlign w:val="bottom"/>
          </w:tcPr>
          <w:p>
            <w:pPr>
              <w:ind w:left="20"/>
              <w:spacing w:after="0"/>
              <w:rPr>
                <w:sz w:val="20"/>
                <w:szCs w:val="20"/>
                <w:color w:val="auto"/>
              </w:rPr>
            </w:pPr>
            <w:r>
              <w:rPr>
                <w:rFonts w:ascii="Arial" w:cs="Arial" w:eastAsia="Arial" w:hAnsi="Arial"/>
                <w:sz w:val="16"/>
                <w:szCs w:val="16"/>
                <w:color w:val="auto"/>
              </w:rPr>
              <w:t>Professional and other services</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536</w:t>
            </w:r>
          </w:p>
        </w:tc>
        <w:tc>
          <w:tcPr>
            <w:tcW w:w="2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393</w:t>
            </w:r>
          </w:p>
        </w:tc>
        <w:tc>
          <w:tcPr>
            <w:tcW w:w="1020" w:type="dxa"/>
            <w:vAlign w:val="bottom"/>
          </w:tcPr>
          <w:p>
            <w:pPr>
              <w:spacing w:after="0"/>
              <w:rPr>
                <w:sz w:val="19"/>
                <w:szCs w:val="19"/>
                <w:color w:val="auto"/>
              </w:rPr>
            </w:pPr>
          </w:p>
        </w:tc>
        <w:tc>
          <w:tcPr>
            <w:tcW w:w="1260" w:type="dxa"/>
            <w:vAlign w:val="bottom"/>
          </w:tcPr>
          <w:p>
            <w:pPr>
              <w:jc w:val="right"/>
              <w:ind w:right="899"/>
              <w:spacing w:after="0"/>
              <w:rPr>
                <w:sz w:val="20"/>
                <w:szCs w:val="20"/>
                <w:color w:val="auto"/>
              </w:rPr>
            </w:pPr>
            <w:r>
              <w:rPr>
                <w:rFonts w:ascii="Arial" w:cs="Arial" w:eastAsia="Arial" w:hAnsi="Arial"/>
                <w:sz w:val="16"/>
                <w:szCs w:val="16"/>
                <w:color w:val="auto"/>
                <w:w w:val="97"/>
              </w:rPr>
              <w:t>143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36.4 %</w:t>
            </w:r>
          </w:p>
        </w:tc>
      </w:tr>
      <w:tr>
        <w:trPr>
          <w:trHeight w:val="23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Advertising</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206</w:t>
            </w: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187</w:t>
            </w:r>
          </w:p>
        </w:tc>
        <w:tc>
          <w:tcPr>
            <w:tcW w:w="10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19</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10.2 %</w:t>
            </w:r>
          </w:p>
        </w:tc>
        <w:tc>
          <w:tcPr>
            <w:tcW w:w="20" w:type="dxa"/>
            <w:vAlign w:val="bottom"/>
          </w:tcPr>
          <w:p>
            <w:pPr>
              <w:spacing w:after="0"/>
              <w:rPr>
                <w:sz w:val="20"/>
                <w:szCs w:val="20"/>
                <w:color w:val="auto"/>
              </w:rPr>
            </w:pPr>
          </w:p>
        </w:tc>
      </w:tr>
      <w:tr>
        <w:trPr>
          <w:trHeight w:val="220"/>
        </w:trPr>
        <w:tc>
          <w:tcPr>
            <w:tcW w:w="5200" w:type="dxa"/>
            <w:vAlign w:val="bottom"/>
          </w:tcPr>
          <w:p>
            <w:pPr>
              <w:ind w:left="20"/>
              <w:spacing w:after="0"/>
              <w:rPr>
                <w:sz w:val="20"/>
                <w:szCs w:val="20"/>
                <w:color w:val="auto"/>
              </w:rPr>
            </w:pPr>
            <w:r>
              <w:rPr>
                <w:rFonts w:ascii="Arial" w:cs="Arial" w:eastAsia="Arial" w:hAnsi="Arial"/>
                <w:sz w:val="16"/>
                <w:szCs w:val="16"/>
                <w:color w:val="auto"/>
              </w:rPr>
              <w:t>FDIC assessments</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219</w:t>
            </w:r>
          </w:p>
        </w:tc>
        <w:tc>
          <w:tcPr>
            <w:tcW w:w="2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222</w:t>
            </w:r>
          </w:p>
        </w:tc>
        <w:tc>
          <w:tcPr>
            <w:tcW w:w="1020" w:type="dxa"/>
            <w:vAlign w:val="bottom"/>
          </w:tcPr>
          <w:p>
            <w:pPr>
              <w:spacing w:after="0"/>
              <w:rPr>
                <w:sz w:val="19"/>
                <w:szCs w:val="19"/>
                <w:color w:val="auto"/>
              </w:rPr>
            </w:pPr>
          </w:p>
        </w:tc>
        <w:tc>
          <w:tcPr>
            <w:tcW w:w="1260" w:type="dxa"/>
            <w:vAlign w:val="bottom"/>
          </w:tcPr>
          <w:p>
            <w:pPr>
              <w:jc w:val="right"/>
              <w:ind w:right="819"/>
              <w:spacing w:after="0"/>
              <w:rPr>
                <w:sz w:val="20"/>
                <w:szCs w:val="20"/>
                <w:color w:val="auto"/>
              </w:rPr>
            </w:pPr>
            <w:r>
              <w:rPr>
                <w:rFonts w:ascii="Arial" w:cs="Arial" w:eastAsia="Arial" w:hAnsi="Arial"/>
                <w:sz w:val="16"/>
                <w:szCs w:val="16"/>
                <w:color w:val="auto"/>
              </w:rPr>
              <w:t>(3 )</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-1.4 %</w:t>
            </w:r>
          </w:p>
        </w:tc>
      </w:tr>
      <w:tr>
        <w:trPr>
          <w:trHeight w:val="23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Audits and exams</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159</w:t>
            </w: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141</w:t>
            </w:r>
          </w:p>
        </w:tc>
        <w:tc>
          <w:tcPr>
            <w:tcW w:w="10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18</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12.8 %</w:t>
            </w:r>
          </w:p>
        </w:tc>
        <w:tc>
          <w:tcPr>
            <w:tcW w:w="20" w:type="dxa"/>
            <w:vAlign w:val="bottom"/>
          </w:tcPr>
          <w:p>
            <w:pPr>
              <w:spacing w:after="0"/>
              <w:rPr>
                <w:sz w:val="20"/>
                <w:szCs w:val="20"/>
                <w:color w:val="auto"/>
              </w:rPr>
            </w:pPr>
          </w:p>
        </w:tc>
      </w:tr>
      <w:tr>
        <w:trPr>
          <w:trHeight w:val="220"/>
        </w:trPr>
        <w:tc>
          <w:tcPr>
            <w:tcW w:w="5200" w:type="dxa"/>
            <w:vAlign w:val="bottom"/>
          </w:tcPr>
          <w:p>
            <w:pPr>
              <w:ind w:left="20"/>
              <w:spacing w:after="0"/>
              <w:rPr>
                <w:sz w:val="20"/>
                <w:szCs w:val="20"/>
                <w:color w:val="auto"/>
              </w:rPr>
            </w:pPr>
            <w:r>
              <w:rPr>
                <w:rFonts w:ascii="Arial" w:cs="Arial" w:eastAsia="Arial" w:hAnsi="Arial"/>
                <w:sz w:val="16"/>
                <w:szCs w:val="16"/>
                <w:color w:val="auto"/>
              </w:rPr>
              <w:t>Insurance agency expense</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261</w:t>
            </w:r>
          </w:p>
        </w:tc>
        <w:tc>
          <w:tcPr>
            <w:tcW w:w="2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204</w:t>
            </w:r>
          </w:p>
        </w:tc>
        <w:tc>
          <w:tcPr>
            <w:tcW w:w="1020" w:type="dxa"/>
            <w:vAlign w:val="bottom"/>
          </w:tcPr>
          <w:p>
            <w:pPr>
              <w:spacing w:after="0"/>
              <w:rPr>
                <w:sz w:val="19"/>
                <w:szCs w:val="19"/>
                <w:color w:val="auto"/>
              </w:rPr>
            </w:pPr>
          </w:p>
        </w:tc>
        <w:tc>
          <w:tcPr>
            <w:tcW w:w="1260" w:type="dxa"/>
            <w:vAlign w:val="bottom"/>
          </w:tcPr>
          <w:p>
            <w:pPr>
              <w:jc w:val="right"/>
              <w:ind w:right="899"/>
              <w:spacing w:after="0"/>
              <w:rPr>
                <w:sz w:val="20"/>
                <w:szCs w:val="20"/>
                <w:color w:val="auto"/>
              </w:rPr>
            </w:pPr>
            <w:r>
              <w:rPr>
                <w:rFonts w:ascii="Arial" w:cs="Arial" w:eastAsia="Arial" w:hAnsi="Arial"/>
                <w:sz w:val="16"/>
                <w:szCs w:val="16"/>
                <w:color w:val="auto"/>
              </w:rPr>
              <w:t>57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27.9 %</w:t>
            </w:r>
          </w:p>
        </w:tc>
      </w:tr>
      <w:tr>
        <w:trPr>
          <w:trHeight w:val="23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Community service activities</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30</w:t>
            </w: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w:t>
            </w:r>
          </w:p>
        </w:tc>
        <w:tc>
          <w:tcPr>
            <w:tcW w:w="10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rPr>
              <w:t>(32 )</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-51.6 %</w:t>
            </w:r>
          </w:p>
        </w:tc>
        <w:tc>
          <w:tcPr>
            <w:tcW w:w="20" w:type="dxa"/>
            <w:vAlign w:val="bottom"/>
          </w:tcPr>
          <w:p>
            <w:pPr>
              <w:spacing w:after="0"/>
              <w:rPr>
                <w:sz w:val="20"/>
                <w:szCs w:val="20"/>
                <w:color w:val="auto"/>
              </w:rPr>
            </w:pPr>
          </w:p>
        </w:tc>
      </w:tr>
      <w:tr>
        <w:trPr>
          <w:trHeight w:val="220"/>
        </w:trPr>
        <w:tc>
          <w:tcPr>
            <w:tcW w:w="5200" w:type="dxa"/>
            <w:vAlign w:val="bottom"/>
          </w:tcPr>
          <w:p>
            <w:pPr>
              <w:ind w:left="20"/>
              <w:spacing w:after="0"/>
              <w:rPr>
                <w:sz w:val="20"/>
                <w:szCs w:val="20"/>
                <w:color w:val="auto"/>
              </w:rPr>
            </w:pPr>
            <w:r>
              <w:rPr>
                <w:rFonts w:ascii="Arial" w:cs="Arial" w:eastAsia="Arial" w:hAnsi="Arial"/>
                <w:sz w:val="16"/>
                <w:szCs w:val="16"/>
                <w:color w:val="auto"/>
              </w:rPr>
              <w:t>Foreclosed real estate expenses</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1020" w:type="dxa"/>
            <w:vAlign w:val="bottom"/>
          </w:tcPr>
          <w:p>
            <w:pPr>
              <w:spacing w:after="0"/>
              <w:rPr>
                <w:sz w:val="19"/>
                <w:szCs w:val="19"/>
                <w:color w:val="auto"/>
              </w:rPr>
            </w:pPr>
          </w:p>
        </w:tc>
        <w:tc>
          <w:tcPr>
            <w:tcW w:w="1260" w:type="dxa"/>
            <w:vAlign w:val="bottom"/>
          </w:tcPr>
          <w:p>
            <w:pPr>
              <w:jc w:val="right"/>
              <w:ind w:right="899"/>
              <w:spacing w:after="0"/>
              <w:rPr>
                <w:sz w:val="20"/>
                <w:szCs w:val="20"/>
                <w:color w:val="auto"/>
              </w:rPr>
            </w:pPr>
            <w:r>
              <w:rPr>
                <w:rFonts w:ascii="Arial" w:cs="Arial" w:eastAsia="Arial" w:hAnsi="Arial"/>
                <w:sz w:val="16"/>
                <w:szCs w:val="16"/>
                <w:color w:val="auto"/>
              </w:rPr>
              <w:t>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7.7 %</w:t>
            </w:r>
          </w:p>
        </w:tc>
      </w:tr>
      <w:tr>
        <w:trPr>
          <w:trHeight w:val="233"/>
        </w:trPr>
        <w:tc>
          <w:tcPr>
            <w:tcW w:w="5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Other expenses</w:t>
            </w: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511</w:t>
            </w: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605</w:t>
            </w:r>
          </w:p>
        </w:tc>
        <w:tc>
          <w:tcPr>
            <w:tcW w:w="10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rPr>
              <w:t>(94 )</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-15.5 %</w:t>
            </w:r>
          </w:p>
        </w:tc>
        <w:tc>
          <w:tcPr>
            <w:tcW w:w="20" w:type="dxa"/>
            <w:vAlign w:val="bottom"/>
          </w:tcPr>
          <w:p>
            <w:pPr>
              <w:spacing w:after="0"/>
              <w:rPr>
                <w:sz w:val="20"/>
                <w:szCs w:val="20"/>
                <w:color w:val="auto"/>
              </w:rPr>
            </w:pP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noninterest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7,524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7,252</w:t>
            </w:r>
          </w:p>
        </w:tc>
        <w:tc>
          <w:tcPr>
            <w:tcW w:w="10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97"/>
              </w:rPr>
              <w:t>272</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3.8 %</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Total noninterest expense for the first quarter of 2023 was $7.5 million, an increase of $272,000, or 3.8%, from the same three-month period in 2022. Noninterest expense for the first quarter of 2023, in comparison to the same quarter in the previous year, was driven by increases in salaries and benefits expense of $134,000, or 3.3%, and aggregate increases in all other expense categories of $138,000, or 4.3%. The $134,000 increase in salaries and benefits expense for the three months ended March 31, 2023, as compared to the same three month period in 2022, was primarily due to increases in individual staff salaries and certain commissions paid related to insurance and investment services activities. Staffing increases in the Bank's branch system were made as a result of the opening of the Bank's eleventh branch in November 2022. During the first quarter of 2023, the Company increased its salary structure where it was deemed appropriate in order to effectively respond to inflationary and competitive pressures within our marketplace to recruit and retain talent. Further increases within the Company’s personnel expenses are anticipated throughout the remainder of 2023 as certain position vacancies are filled and further compensation adjustments, in a limited number of areas are realized. The Bank's decision to invest in its workforce demonstrates its dedication to building a strong, skilled, and satisfied team of professionals, which is viewed by management as vital for maintaining a competitive edge in the ever-evolving banking sector.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35"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Income tax expense decreased $52,000 to $669,000, with an effective tax rate of 20.0%, for the quarter ended March 31, 2023, as compared to $721,000 with an effective tax rate of 19.4% for the same three month period in 2022. The reduction in income tax expense for the quarter ended March 31, 2023, as compared to the same quarter in 2022, was primarily driven by the aforementioned decrease in the effective tax rate, combined with a decrease of $372,000 in income before taxes. The effective income tax rate slightly increased 0.6% to 20.0% for the three months ended March 31, 2023 as compared to 19.4% for the same three month period in 2022. The nominal increase in the tax rate in the first quarter of 2023, as compared to the same quarter in 2022, was primarily related to a decrease in tax exempt income derived from investments in securities issued by state and political subdivisions.</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Company’s tax liability is a function of the 21% statutory federal tax rate, the level of pretax income, the varying effects of New York State income taxes, and is partially reduced by tax-exempt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195"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color w:val="auto"/>
        </w:rPr>
        <w:t>Basic and diluted earnings per Voting share were $0.43 per share for the first quarter of 2023, as compared to $0.49 per basic and diluted Voting share for the same quarter of 2022. Basic and diluted earnings per Series A Non-Voting share were $0.43 per share for the first quarter of 2023, as compared to $0.49 per basic and diluted Series A Non-Voting share for the same quarter of 2022.</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53</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53" w:name="page54"/>
    <w:bookmarkEnd w:id="53"/>
    <w:p>
      <w:pPr>
        <w:jc w:val="both"/>
        <w:spacing w:after="0" w:line="260" w:lineRule="auto"/>
        <w:rPr>
          <w:sz w:val="20"/>
          <w:szCs w:val="20"/>
          <w:color w:val="auto"/>
        </w:rPr>
      </w:pPr>
      <w:r>
        <w:rPr>
          <w:rFonts w:ascii="Arial" w:cs="Arial" w:eastAsia="Arial" w:hAnsi="Arial"/>
          <w:sz w:val="20"/>
          <w:szCs w:val="20"/>
          <w:color w:val="auto"/>
        </w:rPr>
        <w:t>The decrease in earnings per share between these two periods was due to the decrease in net income between these two time periods. Further information on earnings per share can be found in Note 3 of this Form 10-Q.</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Total assets increased $4.3 million, or 0.3%, staying at $1.40 billion at March 31, 2023 as compared to December 31, 2022. This increase was due primarily to increases in loans and investment securities.</w:t>
      </w:r>
    </w:p>
    <w:p>
      <w:pPr>
        <w:spacing w:after="0" w:line="15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Loans totaled $910.2 million at March 31, 2023, an increase of $12.4 million compared to $897.8 million at December 31, 2022, primarily due to increases of $7.3 million in commercial business loans, and $4.8 million in commercial real estate loans. Investment securities, including investment in FHLB-NY stock, increased $2.0 million, or 0.5%, to $396.0 million at March 31, 2023, as compared to $394.0 million at December 31, 2022, due principally to purchases of securities during the first three months of 2023 totaling $24.5 million, that were partially offset by sales and redemptions of securities totaling $24.8 million and a decrease in recorded unrealized losses of $2.8 million in the portion of the investment portfolio characterized as AFS primarily as a result of the increase in market interest rates through the first quarter of 2023.</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Liabilities</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Total liabilities increased $3.6 million, or 0.3%, staying at $1.29 billion at March 31, 2023 as compared to December 31, 2022. Deposits increased $18.8 million, or 1.7%, to $1.14 billion at March 31, 2023, compared to $1.13 billion at December 31, 2022. Interest-bearing deposits, primarily time deposits acquired through various broker channels, were the primary driver of growth between the comparable dates and interest-bearing deposits totaled $962.6 million at March 31, 2023, an increase of $21.0 million, or 2.2% from the 2022 year end.</w:t>
      </w:r>
    </w:p>
    <w:p>
      <w:pPr>
        <w:spacing w:after="0" w:line="14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Borrowed funds balances from the FHLB-NY decreased $16.8 million, or 27.8%, to $99.2 million at March 31, 2023 from $116.0 million at December 31, 2022 as the Bank primarily used net incoming deposit cash flows to repay borrowings at their scheduled maturity dates.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Shareholders’ Equity</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Shareholders' equity increased modestly by $703,000, or 0.6%, from $111.0 million at December 31, 2022, to $111.7 million on March 31, 2023. This increase was primarily due to the Company’s recorded net income of $2.6 million in the quarter, partially reduced by declared dividends to shareholders of $551,000. Additionally, on January 1, 2023, the Company adopted the CECL methodology for computing its ACL and related provision for credit losses. This adoption resulted in the recognition of a one-time transitional adjustment that reduced the Company’s retained earnings by $2.1 million on that date. In total therefore, retained earnings decreased by $86,000 in the quarter ended March 31, 2023. The effects of this net reduction in retained earnings was offset by a decrease in accumulated other comprehensive loss of $638,000 and an increase in all other components of shareholders’ equity of $151,000.</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March 31, 2023, the Bank met the regulatory definition of a “well-capitalized” institution, i.e. a leverage capital ratio exceeding 5%, a Tier 1 risk-based capital ratio exceeding 8%, Tier 1 common equity exceeding 6.5%, and a total risk-based capital ratio exceeding 10%.</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buffer is separate from the capital ratios required under the Prompt Corrective Actions (“PCA”) standards. In order to avoid these restrictions, the capital conservation buffer effectively increases the minimum</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54</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54" w:name="page55"/>
    <w:bookmarkEnd w:id="54"/>
    <w:p>
      <w:pPr>
        <w:jc w:val="both"/>
        <w:spacing w:after="0" w:line="260" w:lineRule="auto"/>
        <w:rPr>
          <w:sz w:val="20"/>
          <w:szCs w:val="20"/>
          <w:color w:val="auto"/>
        </w:rPr>
      </w:pPr>
      <w:r>
        <w:rPr>
          <w:rFonts w:ascii="Arial" w:cs="Arial" w:eastAsia="Arial" w:hAnsi="Arial"/>
          <w:sz w:val="20"/>
          <w:szCs w:val="20"/>
          <w:color w:val="auto"/>
        </w:rPr>
        <w:t>levels of the following capital to risk-weighted assets ratios: (1) Core Capital, (2) Total Capital and (3) Common Equity. At March 31, 2023, the Bank exceeded all regulatory required minimum capital ratios, including the capital buffer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Pathfinder Bank’s capital amounts and ratios as of the indicated dates are presented in the following table:</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68"/>
              <w:spacing w:after="0"/>
              <w:rPr>
                <w:sz w:val="20"/>
                <w:szCs w:val="20"/>
                <w:color w:val="auto"/>
              </w:rPr>
            </w:pPr>
            <w:r>
              <w:rPr>
                <w:rFonts w:ascii="Arial" w:cs="Arial" w:eastAsia="Arial" w:hAnsi="Arial"/>
                <w:sz w:val="14"/>
                <w:szCs w:val="14"/>
                <w:color w:val="auto"/>
                <w:w w:val="97"/>
              </w:rPr>
              <w:t>Minimum To Be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8"/>
        </w:trPr>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Minimum For</w:t>
            </w:r>
          </w:p>
        </w:tc>
        <w:tc>
          <w:tcPr>
            <w:tcW w:w="100" w:type="dxa"/>
            <w:vAlign w:val="bottom"/>
          </w:tcPr>
          <w:p>
            <w:pPr>
              <w:spacing w:after="0"/>
              <w:rPr>
                <w:sz w:val="12"/>
                <w:szCs w:val="12"/>
                <w:color w:val="auto"/>
              </w:rPr>
            </w:pPr>
          </w:p>
        </w:tc>
        <w:tc>
          <w:tcPr>
            <w:tcW w:w="1640" w:type="dxa"/>
            <w:vAlign w:val="bottom"/>
            <w:gridSpan w:val="2"/>
          </w:tcPr>
          <w:p>
            <w:pPr>
              <w:jc w:val="center"/>
              <w:ind w:right="168"/>
              <w:spacing w:after="0" w:line="149" w:lineRule="exact"/>
              <w:rPr>
                <w:sz w:val="20"/>
                <w:szCs w:val="20"/>
                <w:color w:val="auto"/>
              </w:rPr>
            </w:pPr>
            <w:r>
              <w:rPr>
                <w:rFonts w:ascii="Arial" w:cs="Arial" w:eastAsia="Arial" w:hAnsi="Arial"/>
                <w:sz w:val="14"/>
                <w:szCs w:val="14"/>
                <w:color w:val="auto"/>
                <w:w w:val="97"/>
              </w:rPr>
              <w:t>"Well-Capitalized"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68"/>
              <w:spacing w:after="0" w:line="149" w:lineRule="exact"/>
              <w:rPr>
                <w:sz w:val="20"/>
                <w:szCs w:val="20"/>
                <w:color w:val="auto"/>
              </w:rPr>
            </w:pPr>
            <w:r>
              <w:rPr>
                <w:rFonts w:ascii="Arial" w:cs="Arial" w:eastAsia="Arial" w:hAnsi="Arial"/>
                <w:sz w:val="14"/>
                <w:szCs w:val="14"/>
                <w:color w:val="auto"/>
              </w:rPr>
              <w:t>Minimum For</w:t>
            </w:r>
          </w:p>
        </w:tc>
      </w:tr>
      <w:tr>
        <w:trPr>
          <w:trHeight w:val="148"/>
        </w:trPr>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Capital Adequacy</w:t>
            </w:r>
          </w:p>
        </w:tc>
        <w:tc>
          <w:tcPr>
            <w:tcW w:w="100" w:type="dxa"/>
            <w:vAlign w:val="bottom"/>
          </w:tcPr>
          <w:p>
            <w:pPr>
              <w:spacing w:after="0"/>
              <w:rPr>
                <w:sz w:val="12"/>
                <w:szCs w:val="12"/>
                <w:color w:val="auto"/>
              </w:rPr>
            </w:pPr>
          </w:p>
        </w:tc>
        <w:tc>
          <w:tcPr>
            <w:tcW w:w="1640" w:type="dxa"/>
            <w:vAlign w:val="bottom"/>
            <w:gridSpan w:val="2"/>
          </w:tcPr>
          <w:p>
            <w:pPr>
              <w:jc w:val="center"/>
              <w:ind w:right="148"/>
              <w:spacing w:after="0" w:line="149" w:lineRule="exact"/>
              <w:rPr>
                <w:sz w:val="20"/>
                <w:szCs w:val="20"/>
                <w:color w:val="auto"/>
              </w:rPr>
            </w:pPr>
            <w:r>
              <w:rPr>
                <w:rFonts w:ascii="Arial" w:cs="Arial" w:eastAsia="Arial" w:hAnsi="Arial"/>
                <w:sz w:val="14"/>
                <w:szCs w:val="14"/>
                <w:color w:val="auto"/>
                <w:w w:val="94"/>
              </w:rPr>
              <w:t>Under Prompt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08"/>
              <w:spacing w:after="0" w:line="149" w:lineRule="exact"/>
              <w:rPr>
                <w:sz w:val="20"/>
                <w:szCs w:val="20"/>
                <w:color w:val="auto"/>
              </w:rPr>
            </w:pPr>
            <w:r>
              <w:rPr>
                <w:rFonts w:ascii="Arial" w:cs="Arial" w:eastAsia="Arial" w:hAnsi="Arial"/>
                <w:sz w:val="14"/>
                <w:szCs w:val="14"/>
                <w:color w:val="auto"/>
                <w:w w:val="92"/>
              </w:rPr>
              <w:t>Capital Adequacy</w:t>
            </w:r>
          </w:p>
        </w:tc>
      </w:tr>
      <w:tr>
        <w:trPr>
          <w:trHeight w:val="181"/>
        </w:trPr>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Actual</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w w:val="87"/>
              </w:rPr>
              <w:t>Purposes</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148"/>
              <w:spacing w:after="0"/>
              <w:rPr>
                <w:sz w:val="20"/>
                <w:szCs w:val="20"/>
                <w:color w:val="auto"/>
              </w:rPr>
            </w:pPr>
            <w:r>
              <w:rPr>
                <w:rFonts w:ascii="Arial" w:cs="Arial" w:eastAsia="Arial" w:hAnsi="Arial"/>
                <w:sz w:val="14"/>
                <w:szCs w:val="14"/>
                <w:color w:val="auto"/>
                <w:w w:val="95"/>
              </w:rPr>
              <w:t>Corrective Provisions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168"/>
              <w:spacing w:after="0"/>
              <w:rPr>
                <w:sz w:val="20"/>
                <w:szCs w:val="20"/>
                <w:color w:val="auto"/>
              </w:rPr>
            </w:pPr>
            <w:r>
              <w:rPr>
                <w:rFonts w:ascii="Arial" w:cs="Arial" w:eastAsia="Arial" w:hAnsi="Arial"/>
                <w:sz w:val="14"/>
                <w:szCs w:val="14"/>
                <w:color w:val="auto"/>
                <w:w w:val="99"/>
              </w:rPr>
              <w:t>with Buffer</w:t>
            </w:r>
          </w:p>
        </w:tc>
      </w:tr>
      <w:tr>
        <w:trPr>
          <w:trHeight w:val="169"/>
        </w:trPr>
        <w:tc>
          <w:tcPr>
            <w:tcW w:w="3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99"/>
              </w:rPr>
              <w:t>Amount</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Ratio</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Amount</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Ratio</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99"/>
              </w:rPr>
              <w:t>Amount</w:t>
            </w: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Ratio</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Amount</w:t>
            </w: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Ratio</w:t>
            </w:r>
          </w:p>
        </w:tc>
      </w:tr>
      <w:tr>
        <w:trPr>
          <w:trHeight w:val="142"/>
        </w:trPr>
        <w:tc>
          <w:tcPr>
            <w:tcW w:w="3820" w:type="dxa"/>
            <w:vAlign w:val="bottom"/>
            <w:tcBorders>
              <w:left w:val="single" w:sz="8" w:color="CFF0FC"/>
            </w:tcBorders>
            <w:gridSpan w:val="4"/>
            <w:shd w:val="clear" w:color="auto" w:fill="CFF0FC"/>
          </w:tcPr>
          <w:p>
            <w:pPr>
              <w:ind w:left="20"/>
              <w:spacing w:after="0" w:line="142" w:lineRule="exact"/>
              <w:rPr>
                <w:sz w:val="20"/>
                <w:szCs w:val="20"/>
                <w:color w:val="auto"/>
              </w:rPr>
            </w:pPr>
            <w:r>
              <w:rPr>
                <w:rFonts w:ascii="Arial" w:cs="Arial" w:eastAsia="Arial" w:hAnsi="Arial"/>
                <w:sz w:val="14"/>
                <w:szCs w:val="14"/>
                <w:color w:val="auto"/>
              </w:rPr>
              <w:t>As of March 31, 2023:</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r>
      <w:tr>
        <w:trPr>
          <w:trHeight w:val="27"/>
        </w:trPr>
        <w:tc>
          <w:tcPr>
            <w:tcW w:w="480" w:type="dxa"/>
            <w:vAlign w:val="bottom"/>
            <w:tcBorders>
              <w:left w:val="single" w:sz="8" w:color="CFF0FC"/>
            </w:tcBorders>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r>
      <w:tr>
        <w:trPr>
          <w:trHeight w:val="176"/>
        </w:trPr>
        <w:tc>
          <w:tcPr>
            <w:tcW w:w="3820" w:type="dxa"/>
            <w:vAlign w:val="bottom"/>
            <w:gridSpan w:val="4"/>
          </w:tcPr>
          <w:p>
            <w:pPr>
              <w:ind w:left="120"/>
              <w:spacing w:after="0"/>
              <w:rPr>
                <w:sz w:val="20"/>
                <w:szCs w:val="20"/>
                <w:color w:val="auto"/>
              </w:rPr>
            </w:pPr>
            <w:r>
              <w:rPr>
                <w:rFonts w:ascii="Arial" w:cs="Arial" w:eastAsia="Arial" w:hAnsi="Arial"/>
                <w:sz w:val="14"/>
                <w:szCs w:val="14"/>
                <w:color w:val="auto"/>
              </w:rPr>
              <w:t>Total Core Capital (to Risk-Weighted Assets)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348"/>
              <w:spacing w:after="0"/>
              <w:rPr>
                <w:sz w:val="20"/>
                <w:szCs w:val="20"/>
                <w:color w:val="auto"/>
              </w:rPr>
            </w:pPr>
            <w:r>
              <w:rPr>
                <w:rFonts w:ascii="Arial" w:cs="Arial" w:eastAsia="Arial" w:hAnsi="Arial"/>
                <w:sz w:val="14"/>
                <w:szCs w:val="14"/>
                <w:color w:val="auto"/>
              </w:rPr>
              <w:t>146,922</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15.11 %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160"/>
              <w:spacing w:after="0"/>
              <w:rPr>
                <w:sz w:val="20"/>
                <w:szCs w:val="20"/>
                <w:color w:val="auto"/>
              </w:rPr>
            </w:pPr>
            <w:r>
              <w:rPr>
                <w:rFonts w:ascii="Arial" w:cs="Arial" w:eastAsia="Arial" w:hAnsi="Arial"/>
                <w:sz w:val="14"/>
                <w:szCs w:val="14"/>
                <w:color w:val="auto"/>
              </w:rPr>
              <w:t>77,774</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8.00 %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97,217</w:t>
            </w:r>
          </w:p>
        </w:tc>
        <w:tc>
          <w:tcPr>
            <w:tcW w:w="820" w:type="dxa"/>
            <w:vAlign w:val="bottom"/>
          </w:tcPr>
          <w:p>
            <w:pPr>
              <w:jc w:val="right"/>
              <w:spacing w:after="0"/>
              <w:rPr>
                <w:sz w:val="20"/>
                <w:szCs w:val="20"/>
                <w:color w:val="auto"/>
              </w:rPr>
            </w:pPr>
            <w:r>
              <w:rPr>
                <w:rFonts w:ascii="Arial" w:cs="Arial" w:eastAsia="Arial" w:hAnsi="Arial"/>
                <w:sz w:val="14"/>
                <w:szCs w:val="14"/>
                <w:color w:val="auto"/>
              </w:rPr>
              <w:t>10.00 %</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w w:val="94"/>
              </w:rPr>
              <w:t>102,078</w:t>
            </w:r>
          </w:p>
        </w:tc>
        <w:tc>
          <w:tcPr>
            <w:tcW w:w="820" w:type="dxa"/>
            <w:vAlign w:val="bottom"/>
          </w:tcPr>
          <w:p>
            <w:pPr>
              <w:jc w:val="right"/>
              <w:spacing w:after="0"/>
              <w:rPr>
                <w:sz w:val="20"/>
                <w:szCs w:val="20"/>
                <w:color w:val="auto"/>
              </w:rPr>
            </w:pPr>
            <w:r>
              <w:rPr>
                <w:rFonts w:ascii="Arial" w:cs="Arial" w:eastAsia="Arial" w:hAnsi="Arial"/>
                <w:sz w:val="14"/>
                <w:szCs w:val="14"/>
                <w:color w:val="auto"/>
              </w:rPr>
              <w:t>10.50 %</w:t>
            </w:r>
          </w:p>
        </w:tc>
      </w:tr>
      <w:tr>
        <w:trPr>
          <w:trHeight w:val="175"/>
        </w:trPr>
        <w:tc>
          <w:tcPr>
            <w:tcW w:w="3820" w:type="dxa"/>
            <w:vAlign w:val="bottom"/>
            <w:tcBorders>
              <w:left w:val="single" w:sz="8" w:color="CFF0FC"/>
            </w:tcBorders>
            <w:gridSpan w:val="4"/>
            <w:shd w:val="clear" w:color="auto" w:fill="CFF0FC"/>
          </w:tcPr>
          <w:p>
            <w:pPr>
              <w:ind w:left="120"/>
              <w:spacing w:after="0"/>
              <w:rPr>
                <w:sz w:val="20"/>
                <w:szCs w:val="20"/>
                <w:color w:val="auto"/>
              </w:rPr>
            </w:pPr>
            <w:r>
              <w:rPr>
                <w:rFonts w:ascii="Arial" w:cs="Arial" w:eastAsia="Arial" w:hAnsi="Arial"/>
                <w:sz w:val="14"/>
                <w:szCs w:val="14"/>
                <w:color w:val="auto"/>
              </w:rPr>
              <w:t>Tier 1 Capital (to Risk-Weighted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rPr>
              <w:t>134,687</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13.85 %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58,330</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6.00 %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77,774</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82,635</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8.50 %</w:t>
            </w:r>
          </w:p>
        </w:tc>
      </w:tr>
      <w:tr>
        <w:trPr>
          <w:trHeight w:val="176"/>
        </w:trPr>
        <w:tc>
          <w:tcPr>
            <w:tcW w:w="3820" w:type="dxa"/>
            <w:vAlign w:val="bottom"/>
            <w:gridSpan w:val="4"/>
          </w:tcPr>
          <w:p>
            <w:pPr>
              <w:ind w:left="120"/>
              <w:spacing w:after="0"/>
              <w:rPr>
                <w:sz w:val="20"/>
                <w:szCs w:val="20"/>
                <w:color w:val="auto"/>
              </w:rPr>
            </w:pPr>
            <w:r>
              <w:rPr>
                <w:rFonts w:ascii="Arial" w:cs="Arial" w:eastAsia="Arial" w:hAnsi="Arial"/>
                <w:sz w:val="14"/>
                <w:szCs w:val="14"/>
                <w:color w:val="auto"/>
              </w:rPr>
              <w:t>Tier 1 Common Equity (to Risk-Weighted Assets)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348"/>
              <w:spacing w:after="0"/>
              <w:rPr>
                <w:sz w:val="20"/>
                <w:szCs w:val="20"/>
                <w:color w:val="auto"/>
              </w:rPr>
            </w:pPr>
            <w:r>
              <w:rPr>
                <w:rFonts w:ascii="Arial" w:cs="Arial" w:eastAsia="Arial" w:hAnsi="Arial"/>
                <w:sz w:val="14"/>
                <w:szCs w:val="14"/>
                <w:color w:val="auto"/>
              </w:rPr>
              <w:t>134,687</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13.85 %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160"/>
              <w:spacing w:after="0"/>
              <w:rPr>
                <w:sz w:val="20"/>
                <w:szCs w:val="20"/>
                <w:color w:val="auto"/>
              </w:rPr>
            </w:pPr>
            <w:r>
              <w:rPr>
                <w:rFonts w:ascii="Arial" w:cs="Arial" w:eastAsia="Arial" w:hAnsi="Arial"/>
                <w:sz w:val="14"/>
                <w:szCs w:val="14"/>
                <w:color w:val="auto"/>
              </w:rPr>
              <w:t>43,748</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4.50 %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63,191</w:t>
            </w:r>
          </w:p>
        </w:tc>
        <w:tc>
          <w:tcPr>
            <w:tcW w:w="820" w:type="dxa"/>
            <w:vAlign w:val="bottom"/>
          </w:tcPr>
          <w:p>
            <w:pPr>
              <w:jc w:val="right"/>
              <w:spacing w:after="0"/>
              <w:rPr>
                <w:sz w:val="20"/>
                <w:szCs w:val="20"/>
                <w:color w:val="auto"/>
              </w:rPr>
            </w:pPr>
            <w:r>
              <w:rPr>
                <w:rFonts w:ascii="Arial" w:cs="Arial" w:eastAsia="Arial" w:hAnsi="Arial"/>
                <w:sz w:val="14"/>
                <w:szCs w:val="14"/>
                <w:color w:val="auto"/>
              </w:rPr>
              <w:t>6.50 %</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68,052</w:t>
            </w:r>
          </w:p>
        </w:tc>
        <w:tc>
          <w:tcPr>
            <w:tcW w:w="820" w:type="dxa"/>
            <w:vAlign w:val="bottom"/>
          </w:tcPr>
          <w:p>
            <w:pPr>
              <w:jc w:val="right"/>
              <w:spacing w:after="0"/>
              <w:rPr>
                <w:sz w:val="20"/>
                <w:szCs w:val="20"/>
                <w:color w:val="auto"/>
              </w:rPr>
            </w:pPr>
            <w:r>
              <w:rPr>
                <w:rFonts w:ascii="Arial" w:cs="Arial" w:eastAsia="Arial" w:hAnsi="Arial"/>
                <w:sz w:val="14"/>
                <w:szCs w:val="14"/>
                <w:color w:val="auto"/>
              </w:rPr>
              <w:t>7.00 %</w:t>
            </w:r>
          </w:p>
        </w:tc>
      </w:tr>
      <w:tr>
        <w:trPr>
          <w:trHeight w:val="176"/>
        </w:trPr>
        <w:tc>
          <w:tcPr>
            <w:tcW w:w="480" w:type="dxa"/>
            <w:vAlign w:val="bottom"/>
            <w:tcBorders>
              <w:left w:val="single" w:sz="8" w:color="CFF0FC"/>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w w:val="94"/>
              </w:rPr>
              <w:t>Tier 1</w:t>
            </w:r>
          </w:p>
        </w:tc>
        <w:tc>
          <w:tcPr>
            <w:tcW w:w="334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4"/>
                <w:szCs w:val="14"/>
                <w:color w:val="auto"/>
              </w:rPr>
              <w:t>Capital (to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rPr>
              <w:t>134,687</w:t>
            </w:r>
          </w:p>
        </w:tc>
        <w:tc>
          <w:tcPr>
            <w:tcW w:w="8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9.68 %</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rPr>
              <w:t>55,668</w:t>
            </w:r>
          </w:p>
        </w:tc>
        <w:tc>
          <w:tcPr>
            <w:tcW w:w="7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4.00 %</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69,585</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5.00 %</w:t>
            </w:r>
          </w:p>
        </w:tc>
        <w:tc>
          <w:tcPr>
            <w:tcW w:w="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69,585</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5.00 %</w:t>
            </w:r>
          </w:p>
        </w:tc>
      </w:tr>
      <w:tr>
        <w:trPr>
          <w:trHeight w:val="149"/>
        </w:trPr>
        <w:tc>
          <w:tcPr>
            <w:tcW w:w="154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w w:val="94"/>
              </w:rPr>
              <w:t>As of December 31, 2022</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6"/>
        </w:trPr>
        <w:tc>
          <w:tcPr>
            <w:tcW w:w="3820" w:type="dxa"/>
            <w:vAlign w:val="bottom"/>
            <w:tcBorders>
              <w:left w:val="single" w:sz="8" w:color="CFF0FC"/>
            </w:tcBorders>
            <w:gridSpan w:val="4"/>
            <w:shd w:val="clear" w:color="auto" w:fill="CFF0FC"/>
          </w:tcPr>
          <w:p>
            <w:pPr>
              <w:ind w:left="120"/>
              <w:spacing w:after="0"/>
              <w:rPr>
                <w:sz w:val="20"/>
                <w:szCs w:val="20"/>
                <w:color w:val="auto"/>
              </w:rPr>
            </w:pPr>
            <w:r>
              <w:rPr>
                <w:rFonts w:ascii="Arial" w:cs="Arial" w:eastAsia="Arial" w:hAnsi="Arial"/>
                <w:sz w:val="14"/>
                <w:szCs w:val="14"/>
                <w:color w:val="auto"/>
              </w:rPr>
              <w:t>Total Core Capital (to Risk-Weighted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rPr>
              <w:t>145,760</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15.14 %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77,029</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8.00 %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96,286</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94"/>
              </w:rPr>
              <w:t>101,100</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10.50 %</w:t>
            </w:r>
          </w:p>
        </w:tc>
      </w:tr>
      <w:tr>
        <w:trPr>
          <w:trHeight w:val="176"/>
        </w:trPr>
        <w:tc>
          <w:tcPr>
            <w:tcW w:w="480" w:type="dxa"/>
            <w:vAlign w:val="bottom"/>
          </w:tcPr>
          <w:p>
            <w:pPr>
              <w:ind w:left="120"/>
              <w:spacing w:after="0"/>
              <w:rPr>
                <w:sz w:val="20"/>
                <w:szCs w:val="20"/>
                <w:color w:val="auto"/>
              </w:rPr>
            </w:pPr>
            <w:r>
              <w:rPr>
                <w:rFonts w:ascii="Arial" w:cs="Arial" w:eastAsia="Arial" w:hAnsi="Arial"/>
                <w:sz w:val="14"/>
                <w:szCs w:val="14"/>
                <w:color w:val="auto"/>
                <w:w w:val="94"/>
              </w:rPr>
              <w:t>Tier 1</w:t>
            </w:r>
          </w:p>
        </w:tc>
        <w:tc>
          <w:tcPr>
            <w:tcW w:w="3340" w:type="dxa"/>
            <w:vAlign w:val="bottom"/>
            <w:gridSpan w:val="3"/>
          </w:tcPr>
          <w:p>
            <w:pPr>
              <w:spacing w:after="0"/>
              <w:rPr>
                <w:sz w:val="20"/>
                <w:szCs w:val="20"/>
                <w:color w:val="auto"/>
              </w:rPr>
            </w:pPr>
            <w:r>
              <w:rPr>
                <w:rFonts w:ascii="Arial" w:cs="Arial" w:eastAsia="Arial" w:hAnsi="Arial"/>
                <w:sz w:val="14"/>
                <w:szCs w:val="14"/>
                <w:color w:val="auto"/>
              </w:rPr>
              <w:t>Capital (to Risk-Weighted Assets)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348"/>
              <w:spacing w:after="0"/>
              <w:rPr>
                <w:sz w:val="20"/>
                <w:szCs w:val="20"/>
                <w:color w:val="auto"/>
              </w:rPr>
            </w:pPr>
            <w:r>
              <w:rPr>
                <w:rFonts w:ascii="Arial" w:cs="Arial" w:eastAsia="Arial" w:hAnsi="Arial"/>
                <w:sz w:val="14"/>
                <w:szCs w:val="14"/>
                <w:color w:val="auto"/>
              </w:rPr>
              <w:t>133,683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13.88 %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160"/>
              <w:spacing w:after="0"/>
              <w:rPr>
                <w:sz w:val="20"/>
                <w:szCs w:val="20"/>
                <w:color w:val="auto"/>
              </w:rPr>
            </w:pPr>
            <w:r>
              <w:rPr>
                <w:rFonts w:ascii="Arial" w:cs="Arial" w:eastAsia="Arial" w:hAnsi="Arial"/>
                <w:sz w:val="14"/>
                <w:szCs w:val="14"/>
                <w:color w:val="auto"/>
              </w:rPr>
              <w:t>57,772</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6.00 %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77,029</w:t>
            </w:r>
          </w:p>
        </w:tc>
        <w:tc>
          <w:tcPr>
            <w:tcW w:w="820" w:type="dxa"/>
            <w:vAlign w:val="bottom"/>
          </w:tcPr>
          <w:p>
            <w:pPr>
              <w:jc w:val="right"/>
              <w:spacing w:after="0"/>
              <w:rPr>
                <w:sz w:val="20"/>
                <w:szCs w:val="20"/>
                <w:color w:val="auto"/>
              </w:rPr>
            </w:pPr>
            <w:r>
              <w:rPr>
                <w:rFonts w:ascii="Arial" w:cs="Arial" w:eastAsia="Arial" w:hAnsi="Arial"/>
                <w:sz w:val="14"/>
                <w:szCs w:val="14"/>
                <w:color w:val="auto"/>
              </w:rPr>
              <w:t>8.00 %</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81,843</w:t>
            </w:r>
          </w:p>
        </w:tc>
        <w:tc>
          <w:tcPr>
            <w:tcW w:w="820" w:type="dxa"/>
            <w:vAlign w:val="bottom"/>
          </w:tcPr>
          <w:p>
            <w:pPr>
              <w:jc w:val="right"/>
              <w:spacing w:after="0"/>
              <w:rPr>
                <w:sz w:val="20"/>
                <w:szCs w:val="20"/>
                <w:color w:val="auto"/>
              </w:rPr>
            </w:pPr>
            <w:r>
              <w:rPr>
                <w:rFonts w:ascii="Arial" w:cs="Arial" w:eastAsia="Arial" w:hAnsi="Arial"/>
                <w:sz w:val="14"/>
                <w:szCs w:val="14"/>
                <w:color w:val="auto"/>
              </w:rPr>
              <w:t>8.50 %</w:t>
            </w:r>
          </w:p>
        </w:tc>
      </w:tr>
      <w:tr>
        <w:trPr>
          <w:trHeight w:val="175"/>
        </w:trPr>
        <w:tc>
          <w:tcPr>
            <w:tcW w:w="480" w:type="dxa"/>
            <w:vAlign w:val="bottom"/>
            <w:tcBorders>
              <w:left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w w:val="94"/>
              </w:rPr>
              <w:t>Tier 1</w:t>
            </w:r>
          </w:p>
        </w:tc>
        <w:tc>
          <w:tcPr>
            <w:tcW w:w="33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Common Equity (to Risk-Weighted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rPr>
              <w:t>133,683</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13.88 %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43,329</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4.50 %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62,586</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67,400</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7.00 %</w:t>
            </w:r>
          </w:p>
        </w:tc>
      </w:tr>
      <w:tr>
        <w:trPr>
          <w:trHeight w:val="176"/>
        </w:trPr>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94"/>
              </w:rPr>
              <w:t>Tier 1</w:t>
            </w:r>
          </w:p>
        </w:tc>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Capital (to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133,683</w:t>
            </w: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9.67 %</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55,314</w:t>
            </w: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4.00 %</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69,142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5.00 %</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69,142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Regulation G, a rule adopted by the Securities and Exchange Commission (SEC), applies to certain SEC filings, including earnings releases,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non-GAAP financial measure as part of its financial disclosures. The SEC has exempted from the definition of “non-GAAP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 that are financial in nature but are not based on GAAP. The Company follows industry practice in disclosing its financial condition under these various regulatory capital measures, including period-end regulatory capital ratios for its subsidiary bank, in its periodic reports filed with the SEC. The Company provides, below, an explanation of the calculations, as supplemental information, for non-GAAP measures included in the consolidated annual financial statements. In addition, the Company provides a reconciliation of its subsidiary bank’s disclosed regulatory capital measures,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55</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6"/>
        </w:trPr>
        <w:tc>
          <w:tcPr>
            <w:tcW w:w="57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March 31,</w:t>
            </w:r>
          </w:p>
        </w:tc>
        <w:tc>
          <w:tcPr>
            <w:tcW w:w="52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December 31,</w:t>
            </w:r>
          </w:p>
        </w:tc>
        <w:tc>
          <w:tcPr>
            <w:tcW w:w="280" w:type="dxa"/>
            <w:vAlign w:val="bottom"/>
          </w:tcPr>
          <w:p>
            <w:pPr>
              <w:spacing w:after="0"/>
              <w:rPr>
                <w:sz w:val="17"/>
                <w:szCs w:val="17"/>
                <w:color w:val="auto"/>
              </w:rPr>
            </w:pPr>
          </w:p>
        </w:tc>
      </w:tr>
      <w:tr>
        <w:trPr>
          <w:trHeight w:val="24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5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21"/>
                <w:szCs w:val="21"/>
                <w:color w:val="auto"/>
              </w:rPr>
            </w:pPr>
          </w:p>
        </w:tc>
      </w:tr>
      <w:tr>
        <w:trPr>
          <w:trHeight w:val="22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Regulatory Capital Ratios (Bank only)</w:t>
            </w:r>
          </w:p>
        </w:tc>
        <w:tc>
          <w:tcPr>
            <w:tcW w:w="2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0"/>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Total capital (to risk-weighted assets)</w:t>
            </w:r>
          </w:p>
        </w:tc>
        <w:tc>
          <w:tcPr>
            <w:tcW w:w="2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9"/>
        </w:trPr>
        <w:tc>
          <w:tcPr>
            <w:tcW w:w="5760" w:type="dxa"/>
            <w:vAlign w:val="bottom"/>
            <w:shd w:val="clear" w:color="auto" w:fill="CFF0FC"/>
          </w:tcPr>
          <w:p>
            <w:pPr>
              <w:ind w:left="60"/>
              <w:spacing w:after="0"/>
              <w:rPr>
                <w:sz w:val="20"/>
                <w:szCs w:val="20"/>
                <w:color w:val="auto"/>
              </w:rPr>
            </w:pPr>
            <w:r>
              <w:rPr>
                <w:rFonts w:ascii="Arial" w:cs="Arial" w:eastAsia="Arial" w:hAnsi="Arial"/>
                <w:sz w:val="16"/>
                <w:szCs w:val="16"/>
                <w:color w:val="auto"/>
              </w:rPr>
              <w:t>Total equity (GAAP)</w:t>
            </w:r>
          </w:p>
        </w:tc>
        <w:tc>
          <w:tcPr>
            <w:tcW w:w="2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127,785</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126,148</w:t>
            </w:r>
          </w:p>
        </w:tc>
        <w:tc>
          <w:tcPr>
            <w:tcW w:w="280" w:type="dxa"/>
            <w:vAlign w:val="bottom"/>
            <w:shd w:val="clear" w:color="auto" w:fill="CFF0FC"/>
          </w:tcPr>
          <w:p>
            <w:pPr>
              <w:spacing w:after="0"/>
              <w:rPr>
                <w:sz w:val="20"/>
                <w:szCs w:val="20"/>
                <w:color w:val="auto"/>
              </w:rPr>
            </w:pPr>
          </w:p>
        </w:tc>
      </w:tr>
      <w:tr>
        <w:trPr>
          <w:trHeight w:val="220"/>
        </w:trPr>
        <w:tc>
          <w:tcPr>
            <w:tcW w:w="5760" w:type="dxa"/>
            <w:vAlign w:val="bottom"/>
          </w:tcPr>
          <w:p>
            <w:pPr>
              <w:ind w:left="60"/>
              <w:spacing w:after="0"/>
              <w:rPr>
                <w:sz w:val="20"/>
                <w:szCs w:val="20"/>
                <w:color w:val="auto"/>
              </w:rPr>
            </w:pPr>
            <w:r>
              <w:rPr>
                <w:rFonts w:ascii="Arial" w:cs="Arial" w:eastAsia="Arial" w:hAnsi="Arial"/>
                <w:sz w:val="16"/>
                <w:szCs w:val="16"/>
                <w:color w:val="auto"/>
              </w:rPr>
              <w:t>Goodwill</w:t>
            </w:r>
          </w:p>
        </w:tc>
        <w:tc>
          <w:tcPr>
            <w:tcW w:w="2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(4,536 )</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(4,536 )</w:t>
            </w:r>
          </w:p>
        </w:tc>
        <w:tc>
          <w:tcPr>
            <w:tcW w:w="280" w:type="dxa"/>
            <w:vAlign w:val="bottom"/>
          </w:tcPr>
          <w:p>
            <w:pPr>
              <w:spacing w:after="0"/>
              <w:rPr>
                <w:sz w:val="19"/>
                <w:szCs w:val="19"/>
                <w:color w:val="auto"/>
              </w:rPr>
            </w:pPr>
          </w:p>
        </w:tc>
      </w:tr>
      <w:tr>
        <w:trPr>
          <w:trHeight w:val="239"/>
        </w:trPr>
        <w:tc>
          <w:tcPr>
            <w:tcW w:w="5760" w:type="dxa"/>
            <w:vAlign w:val="bottom"/>
            <w:shd w:val="clear" w:color="auto" w:fill="CFF0FC"/>
          </w:tcPr>
          <w:p>
            <w:pPr>
              <w:ind w:left="60"/>
              <w:spacing w:after="0"/>
              <w:rPr>
                <w:sz w:val="20"/>
                <w:szCs w:val="20"/>
                <w:color w:val="auto"/>
              </w:rPr>
            </w:pPr>
            <w:r>
              <w:rPr>
                <w:rFonts w:ascii="Arial" w:cs="Arial" w:eastAsia="Arial" w:hAnsi="Arial"/>
                <w:sz w:val="16"/>
                <w:szCs w:val="16"/>
                <w:color w:val="auto"/>
              </w:rPr>
              <w:t>Intangible assets</w:t>
            </w:r>
          </w:p>
        </w:tc>
        <w:tc>
          <w:tcPr>
            <w:tcW w:w="2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(96 )</w:t>
            </w:r>
          </w:p>
        </w:tc>
        <w:tc>
          <w:tcPr>
            <w:tcW w:w="5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(101 )</w:t>
            </w:r>
          </w:p>
        </w:tc>
        <w:tc>
          <w:tcPr>
            <w:tcW w:w="280" w:type="dxa"/>
            <w:vAlign w:val="bottom"/>
            <w:shd w:val="clear" w:color="auto" w:fill="CFF0FC"/>
          </w:tcPr>
          <w:p>
            <w:pPr>
              <w:spacing w:after="0"/>
              <w:rPr>
                <w:sz w:val="20"/>
                <w:szCs w:val="20"/>
                <w:color w:val="auto"/>
              </w:rPr>
            </w:pPr>
          </w:p>
        </w:tc>
      </w:tr>
      <w:tr>
        <w:trPr>
          <w:trHeight w:val="223"/>
        </w:trPr>
        <w:tc>
          <w:tcPr>
            <w:tcW w:w="5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Addback: Accumulated other comprehensive income</w:t>
            </w:r>
          </w:p>
        </w:tc>
        <w:tc>
          <w:tcPr>
            <w:tcW w:w="2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11,534</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12,172</w:t>
            </w:r>
          </w:p>
        </w:tc>
        <w:tc>
          <w:tcPr>
            <w:tcW w:w="280" w:type="dxa"/>
            <w:vAlign w:val="bottom"/>
            <w:tcBorders>
              <w:bottom w:val="single" w:sz="8" w:color="auto"/>
            </w:tcBorders>
          </w:tcPr>
          <w:p>
            <w:pPr>
              <w:spacing w:after="0"/>
              <w:rPr>
                <w:sz w:val="19"/>
                <w:szCs w:val="19"/>
                <w:color w:val="auto"/>
              </w:rPr>
            </w:pPr>
          </w:p>
        </w:tc>
      </w:tr>
      <w:tr>
        <w:trPr>
          <w:trHeight w:val="230"/>
        </w:trPr>
        <w:tc>
          <w:tcPr>
            <w:tcW w:w="57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Total Tier 1 Capital</w:t>
            </w:r>
          </w:p>
        </w:tc>
        <w:tc>
          <w:tcPr>
            <w:tcW w:w="2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134,687</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133,683</w:t>
            </w:r>
          </w:p>
        </w:tc>
        <w:tc>
          <w:tcPr>
            <w:tcW w:w="280" w:type="dxa"/>
            <w:vAlign w:val="bottom"/>
            <w:shd w:val="clear" w:color="auto" w:fill="CFF0FC"/>
          </w:tcPr>
          <w:p>
            <w:pPr>
              <w:spacing w:after="0"/>
              <w:rPr>
                <w:sz w:val="19"/>
                <w:szCs w:val="19"/>
                <w:color w:val="auto"/>
              </w:rPr>
            </w:pPr>
          </w:p>
        </w:tc>
      </w:tr>
      <w:tr>
        <w:trPr>
          <w:trHeight w:val="223"/>
        </w:trPr>
        <w:tc>
          <w:tcPr>
            <w:tcW w:w="57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Allowance for credit losses (subject to regulatory limits)</w:t>
            </w:r>
          </w:p>
        </w:tc>
        <w:tc>
          <w:tcPr>
            <w:tcW w:w="2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12,235</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12,076</w:t>
            </w:r>
          </w:p>
        </w:tc>
        <w:tc>
          <w:tcPr>
            <w:tcW w:w="280" w:type="dxa"/>
            <w:vAlign w:val="bottom"/>
            <w:tcBorders>
              <w:bottom w:val="single" w:sz="8" w:color="auto"/>
            </w:tcBorders>
          </w:tcPr>
          <w:p>
            <w:pPr>
              <w:spacing w:after="0"/>
              <w:rPr>
                <w:sz w:val="19"/>
                <w:szCs w:val="19"/>
                <w:color w:val="auto"/>
              </w:rPr>
            </w:pPr>
          </w:p>
        </w:tc>
      </w:tr>
      <w:tr>
        <w:trPr>
          <w:trHeight w:val="223"/>
        </w:trPr>
        <w:tc>
          <w:tcPr>
            <w:tcW w:w="576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6"/>
                <w:szCs w:val="16"/>
                <w:color w:val="auto"/>
              </w:rPr>
              <w:t>Total Tier 2 Capital</w:t>
            </w:r>
          </w:p>
        </w:tc>
        <w:tc>
          <w:tcPr>
            <w:tcW w:w="2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12,235</w:t>
            </w:r>
          </w:p>
        </w:tc>
        <w:tc>
          <w:tcPr>
            <w:tcW w:w="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12,076</w:t>
            </w:r>
          </w:p>
        </w:tc>
        <w:tc>
          <w:tcPr>
            <w:tcW w:w="280" w:type="dxa"/>
            <w:vAlign w:val="bottom"/>
            <w:tcBorders>
              <w:bottom w:val="single" w:sz="8" w:color="auto"/>
            </w:tcBorders>
            <w:shd w:val="clear" w:color="auto" w:fill="CFF0FC"/>
          </w:tcPr>
          <w:p>
            <w:pPr>
              <w:spacing w:after="0"/>
              <w:rPr>
                <w:sz w:val="19"/>
                <w:szCs w:val="19"/>
                <w:color w:val="auto"/>
              </w:rPr>
            </w:pPr>
          </w:p>
        </w:tc>
      </w:tr>
      <w:tr>
        <w:trPr>
          <w:trHeight w:val="220"/>
        </w:trPr>
        <w:tc>
          <w:tcPr>
            <w:tcW w:w="5760" w:type="dxa"/>
            <w:vAlign w:val="bottom"/>
          </w:tcPr>
          <w:p>
            <w:pPr>
              <w:ind w:left="300"/>
              <w:spacing w:after="0"/>
              <w:rPr>
                <w:sz w:val="20"/>
                <w:szCs w:val="20"/>
                <w:color w:val="auto"/>
              </w:rPr>
            </w:pPr>
            <w:r>
              <w:rPr>
                <w:rFonts w:ascii="Arial" w:cs="Arial" w:eastAsia="Arial" w:hAnsi="Arial"/>
                <w:sz w:val="16"/>
                <w:szCs w:val="16"/>
                <w:color w:val="auto"/>
              </w:rPr>
              <w:t>Total Tier 1 plus Tier 2 Capital (numerator)</w:t>
            </w:r>
          </w:p>
        </w:tc>
        <w:tc>
          <w:tcPr>
            <w:tcW w:w="2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146,922</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145,759</w:t>
            </w:r>
          </w:p>
        </w:tc>
        <w:tc>
          <w:tcPr>
            <w:tcW w:w="280" w:type="dxa"/>
            <w:vAlign w:val="bottom"/>
          </w:tcPr>
          <w:p>
            <w:pPr>
              <w:spacing w:after="0"/>
              <w:rPr>
                <w:sz w:val="19"/>
                <w:szCs w:val="19"/>
                <w:color w:val="auto"/>
              </w:rPr>
            </w:pPr>
          </w:p>
        </w:tc>
      </w:tr>
      <w:tr>
        <w:trPr>
          <w:trHeight w:val="233"/>
        </w:trPr>
        <w:tc>
          <w:tcPr>
            <w:tcW w:w="57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Risk-weighted assets (denominator)</w:t>
            </w:r>
          </w:p>
        </w:tc>
        <w:tc>
          <w:tcPr>
            <w:tcW w:w="23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972,174</w:t>
            </w:r>
          </w:p>
        </w:tc>
        <w:tc>
          <w:tcPr>
            <w:tcW w:w="5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962,861</w:t>
            </w:r>
          </w:p>
        </w:tc>
        <w:tc>
          <w:tcPr>
            <w:tcW w:w="280" w:type="dxa"/>
            <w:vAlign w:val="bottom"/>
            <w:tcBorders>
              <w:bottom w:val="single" w:sz="8" w:color="auto"/>
            </w:tcBorders>
            <w:shd w:val="clear" w:color="auto" w:fill="CFF0FC"/>
          </w:tcPr>
          <w:p>
            <w:pPr>
              <w:spacing w:after="0"/>
              <w:rPr>
                <w:sz w:val="20"/>
                <w:szCs w:val="20"/>
                <w:color w:val="auto"/>
              </w:rPr>
            </w:pPr>
          </w:p>
        </w:tc>
      </w:tr>
      <w:tr>
        <w:trPr>
          <w:trHeight w:val="223"/>
        </w:trPr>
        <w:tc>
          <w:tcPr>
            <w:tcW w:w="5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core capital to risk-weighted assets</w:t>
            </w:r>
          </w:p>
        </w:tc>
        <w:tc>
          <w:tcPr>
            <w:tcW w:w="2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15.11</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17"/>
        </w:trPr>
        <w:tc>
          <w:tcPr>
            <w:tcW w:w="576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20"/>
        </w:trPr>
        <w:tc>
          <w:tcPr>
            <w:tcW w:w="5760" w:type="dxa"/>
            <w:vAlign w:val="bottom"/>
          </w:tcPr>
          <w:p>
            <w:pPr>
              <w:ind w:left="60"/>
              <w:spacing w:after="0"/>
              <w:rPr>
                <w:sz w:val="20"/>
                <w:szCs w:val="20"/>
                <w:color w:val="auto"/>
              </w:rPr>
            </w:pPr>
            <w:r>
              <w:rPr>
                <w:rFonts w:ascii="Arial" w:cs="Arial" w:eastAsia="Arial" w:hAnsi="Arial"/>
                <w:sz w:val="16"/>
                <w:szCs w:val="16"/>
                <w:b w:val="1"/>
                <w:bCs w:val="1"/>
                <w:color w:val="auto"/>
              </w:rPr>
              <w:t>Tier 1 capital (to risk-weighted assets)</w:t>
            </w:r>
          </w:p>
        </w:tc>
        <w:tc>
          <w:tcPr>
            <w:tcW w:w="2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9"/>
        </w:trPr>
        <w:tc>
          <w:tcPr>
            <w:tcW w:w="5760" w:type="dxa"/>
            <w:vAlign w:val="bottom"/>
            <w:shd w:val="clear" w:color="auto" w:fill="CFF0FC"/>
          </w:tcPr>
          <w:p>
            <w:pPr>
              <w:ind w:left="60"/>
              <w:spacing w:after="0"/>
              <w:rPr>
                <w:sz w:val="20"/>
                <w:szCs w:val="20"/>
                <w:color w:val="auto"/>
              </w:rPr>
            </w:pPr>
            <w:r>
              <w:rPr>
                <w:rFonts w:ascii="Arial" w:cs="Arial" w:eastAsia="Arial" w:hAnsi="Arial"/>
                <w:sz w:val="16"/>
                <w:szCs w:val="16"/>
                <w:color w:val="auto"/>
              </w:rPr>
              <w:t>Total Tier 1 capital (numerator)</w:t>
            </w:r>
          </w:p>
        </w:tc>
        <w:tc>
          <w:tcPr>
            <w:tcW w:w="2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134,687</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133,683</w:t>
            </w:r>
          </w:p>
        </w:tc>
        <w:tc>
          <w:tcPr>
            <w:tcW w:w="280" w:type="dxa"/>
            <w:vAlign w:val="bottom"/>
            <w:shd w:val="clear" w:color="auto" w:fill="CFF0FC"/>
          </w:tcPr>
          <w:p>
            <w:pPr>
              <w:spacing w:after="0"/>
              <w:rPr>
                <w:sz w:val="20"/>
                <w:szCs w:val="20"/>
                <w:color w:val="auto"/>
              </w:rPr>
            </w:pPr>
          </w:p>
        </w:tc>
      </w:tr>
      <w:tr>
        <w:trPr>
          <w:trHeight w:val="223"/>
        </w:trPr>
        <w:tc>
          <w:tcPr>
            <w:tcW w:w="5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Risk-weighted assets (denominator)</w:t>
            </w:r>
          </w:p>
        </w:tc>
        <w:tc>
          <w:tcPr>
            <w:tcW w:w="2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972,174</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962,861</w:t>
            </w:r>
          </w:p>
        </w:tc>
        <w:tc>
          <w:tcPr>
            <w:tcW w:w="280" w:type="dxa"/>
            <w:vAlign w:val="bottom"/>
            <w:tcBorders>
              <w:bottom w:val="single" w:sz="8" w:color="auto"/>
            </w:tcBorders>
          </w:tcPr>
          <w:p>
            <w:pPr>
              <w:spacing w:after="0"/>
              <w:rPr>
                <w:sz w:val="19"/>
                <w:szCs w:val="19"/>
                <w:color w:val="auto"/>
              </w:rPr>
            </w:pPr>
          </w:p>
        </w:tc>
      </w:tr>
      <w:tr>
        <w:trPr>
          <w:trHeight w:val="263"/>
        </w:trPr>
        <w:tc>
          <w:tcPr>
            <w:tcW w:w="57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Total capital to risk-weighted assets</w:t>
            </w:r>
          </w:p>
        </w:tc>
        <w:tc>
          <w:tcPr>
            <w:tcW w:w="23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13.85</w:t>
            </w:r>
          </w:p>
        </w:tc>
        <w:tc>
          <w:tcPr>
            <w:tcW w:w="5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13.88</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9"/>
        </w:trPr>
        <w:tc>
          <w:tcPr>
            <w:tcW w:w="5760" w:type="dxa"/>
            <w:vAlign w:val="bottom"/>
            <w:shd w:val="clear" w:color="auto" w:fill="CFF0FC"/>
          </w:tcPr>
          <w:p>
            <w:pPr>
              <w:ind w:left="60"/>
              <w:spacing w:after="0"/>
              <w:rPr>
                <w:sz w:val="20"/>
                <w:szCs w:val="20"/>
                <w:color w:val="auto"/>
              </w:rPr>
            </w:pPr>
            <w:r>
              <w:rPr>
                <w:rFonts w:ascii="Arial" w:cs="Arial" w:eastAsia="Arial" w:hAnsi="Arial"/>
                <w:sz w:val="16"/>
                <w:szCs w:val="16"/>
                <w:b w:val="1"/>
                <w:bCs w:val="1"/>
                <w:color w:val="auto"/>
              </w:rPr>
              <w:t>Tier 1 capital (to adjusted assets)</w:t>
            </w:r>
          </w:p>
        </w:tc>
        <w:tc>
          <w:tcPr>
            <w:tcW w:w="2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0"/>
        </w:trPr>
        <w:tc>
          <w:tcPr>
            <w:tcW w:w="5760" w:type="dxa"/>
            <w:vAlign w:val="bottom"/>
          </w:tcPr>
          <w:p>
            <w:pPr>
              <w:ind w:left="60"/>
              <w:spacing w:after="0"/>
              <w:rPr>
                <w:sz w:val="20"/>
                <w:szCs w:val="20"/>
                <w:color w:val="auto"/>
              </w:rPr>
            </w:pPr>
            <w:r>
              <w:rPr>
                <w:rFonts w:ascii="Arial" w:cs="Arial" w:eastAsia="Arial" w:hAnsi="Arial"/>
                <w:sz w:val="16"/>
                <w:szCs w:val="16"/>
                <w:color w:val="auto"/>
              </w:rPr>
              <w:t>Total Tier 1 capital (numerator)</w:t>
            </w:r>
          </w:p>
        </w:tc>
        <w:tc>
          <w:tcPr>
            <w:tcW w:w="2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134,687</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133,683</w:t>
            </w:r>
          </w:p>
        </w:tc>
        <w:tc>
          <w:tcPr>
            <w:tcW w:w="280" w:type="dxa"/>
            <w:vAlign w:val="bottom"/>
          </w:tcPr>
          <w:p>
            <w:pPr>
              <w:spacing w:after="0"/>
              <w:rPr>
                <w:sz w:val="19"/>
                <w:szCs w:val="19"/>
                <w:color w:val="auto"/>
              </w:rPr>
            </w:pPr>
          </w:p>
        </w:tc>
      </w:tr>
      <w:tr>
        <w:trPr>
          <w:trHeight w:val="239"/>
        </w:trPr>
        <w:tc>
          <w:tcPr>
            <w:tcW w:w="5760" w:type="dxa"/>
            <w:vAlign w:val="bottom"/>
            <w:shd w:val="clear" w:color="auto" w:fill="CFF0FC"/>
          </w:tcPr>
          <w:p>
            <w:pPr>
              <w:ind w:left="60"/>
              <w:spacing w:after="0"/>
              <w:rPr>
                <w:sz w:val="20"/>
                <w:szCs w:val="20"/>
                <w:color w:val="auto"/>
              </w:rPr>
            </w:pPr>
            <w:r>
              <w:rPr>
                <w:rFonts w:ascii="Arial" w:cs="Arial" w:eastAsia="Arial" w:hAnsi="Arial"/>
                <w:sz w:val="16"/>
                <w:szCs w:val="16"/>
                <w:color w:val="auto"/>
              </w:rPr>
              <w:t>Total average assets</w:t>
            </w:r>
          </w:p>
        </w:tc>
        <w:tc>
          <w:tcPr>
            <w:tcW w:w="2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1,396,341</w:t>
            </w:r>
          </w:p>
        </w:tc>
        <w:tc>
          <w:tcPr>
            <w:tcW w:w="5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1,387,480</w:t>
            </w:r>
          </w:p>
        </w:tc>
        <w:tc>
          <w:tcPr>
            <w:tcW w:w="280" w:type="dxa"/>
            <w:vAlign w:val="bottom"/>
            <w:shd w:val="clear" w:color="auto" w:fill="CFF0FC"/>
          </w:tcPr>
          <w:p>
            <w:pPr>
              <w:spacing w:after="0"/>
              <w:rPr>
                <w:sz w:val="20"/>
                <w:szCs w:val="20"/>
                <w:color w:val="auto"/>
              </w:rPr>
            </w:pPr>
          </w:p>
        </w:tc>
      </w:tr>
      <w:tr>
        <w:trPr>
          <w:trHeight w:val="220"/>
        </w:trPr>
        <w:tc>
          <w:tcPr>
            <w:tcW w:w="5760" w:type="dxa"/>
            <w:vAlign w:val="bottom"/>
          </w:tcPr>
          <w:p>
            <w:pPr>
              <w:ind w:left="60"/>
              <w:spacing w:after="0"/>
              <w:rPr>
                <w:sz w:val="20"/>
                <w:szCs w:val="20"/>
                <w:color w:val="auto"/>
              </w:rPr>
            </w:pPr>
            <w:r>
              <w:rPr>
                <w:rFonts w:ascii="Arial" w:cs="Arial" w:eastAsia="Arial" w:hAnsi="Arial"/>
                <w:sz w:val="16"/>
                <w:szCs w:val="16"/>
                <w:color w:val="auto"/>
              </w:rPr>
              <w:t>Goodwill</w:t>
            </w:r>
          </w:p>
        </w:tc>
        <w:tc>
          <w:tcPr>
            <w:tcW w:w="2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(4,536 )</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(4,536 )</w:t>
            </w:r>
          </w:p>
        </w:tc>
        <w:tc>
          <w:tcPr>
            <w:tcW w:w="280" w:type="dxa"/>
            <w:vAlign w:val="bottom"/>
          </w:tcPr>
          <w:p>
            <w:pPr>
              <w:spacing w:after="0"/>
              <w:rPr>
                <w:sz w:val="19"/>
                <w:szCs w:val="19"/>
                <w:color w:val="auto"/>
              </w:rPr>
            </w:pPr>
          </w:p>
        </w:tc>
      </w:tr>
      <w:tr>
        <w:trPr>
          <w:trHeight w:val="233"/>
        </w:trPr>
        <w:tc>
          <w:tcPr>
            <w:tcW w:w="57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Intangible assets</w:t>
            </w:r>
          </w:p>
        </w:tc>
        <w:tc>
          <w:tcPr>
            <w:tcW w:w="23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(96 )</w:t>
            </w:r>
          </w:p>
        </w:tc>
        <w:tc>
          <w:tcPr>
            <w:tcW w:w="5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(101 )</w:t>
            </w:r>
          </w:p>
        </w:tc>
        <w:tc>
          <w:tcPr>
            <w:tcW w:w="280" w:type="dxa"/>
            <w:vAlign w:val="bottom"/>
            <w:tcBorders>
              <w:bottom w:val="single" w:sz="8" w:color="auto"/>
            </w:tcBorders>
            <w:shd w:val="clear" w:color="auto" w:fill="CFF0FC"/>
          </w:tcPr>
          <w:p>
            <w:pPr>
              <w:spacing w:after="0"/>
              <w:rPr>
                <w:sz w:val="20"/>
                <w:szCs w:val="20"/>
                <w:color w:val="auto"/>
              </w:rPr>
            </w:pPr>
          </w:p>
        </w:tc>
      </w:tr>
      <w:tr>
        <w:trPr>
          <w:trHeight w:val="223"/>
        </w:trPr>
        <w:tc>
          <w:tcPr>
            <w:tcW w:w="5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Adjusted assets (denominator)</w:t>
            </w:r>
          </w:p>
        </w:tc>
        <w:tc>
          <w:tcPr>
            <w:tcW w:w="2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1,391,709</w:t>
            </w: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1,382,843</w:t>
            </w:r>
          </w:p>
        </w:tc>
        <w:tc>
          <w:tcPr>
            <w:tcW w:w="280" w:type="dxa"/>
            <w:vAlign w:val="bottom"/>
            <w:tcBorders>
              <w:bottom w:val="single" w:sz="8" w:color="auto"/>
            </w:tcBorders>
          </w:tcPr>
          <w:p>
            <w:pPr>
              <w:spacing w:after="0"/>
              <w:rPr>
                <w:sz w:val="19"/>
                <w:szCs w:val="19"/>
                <w:color w:val="auto"/>
              </w:rPr>
            </w:pPr>
          </w:p>
        </w:tc>
      </w:tr>
      <w:tr>
        <w:trPr>
          <w:trHeight w:val="263"/>
        </w:trPr>
        <w:tc>
          <w:tcPr>
            <w:tcW w:w="57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Total capital to adjusted assets</w:t>
            </w:r>
          </w:p>
        </w:tc>
        <w:tc>
          <w:tcPr>
            <w:tcW w:w="23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9.68</w:t>
            </w:r>
          </w:p>
        </w:tc>
        <w:tc>
          <w:tcPr>
            <w:tcW w:w="5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9.67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7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5760" w:type="dxa"/>
            <w:vAlign w:val="bottom"/>
            <w:shd w:val="clear" w:color="auto" w:fill="CFF0FC"/>
          </w:tcPr>
          <w:p>
            <w:pPr>
              <w:ind w:left="60"/>
              <w:spacing w:after="0"/>
              <w:rPr>
                <w:sz w:val="20"/>
                <w:szCs w:val="20"/>
                <w:color w:val="auto"/>
              </w:rPr>
            </w:pPr>
            <w:r>
              <w:rPr>
                <w:rFonts w:ascii="Arial" w:cs="Arial" w:eastAsia="Arial" w:hAnsi="Arial"/>
                <w:sz w:val="16"/>
                <w:szCs w:val="16"/>
                <w:b w:val="1"/>
                <w:bCs w:val="1"/>
                <w:color w:val="auto"/>
              </w:rPr>
              <w:t>Tier 1 Common Equity (to risk-weighted assets)</w:t>
            </w:r>
          </w:p>
        </w:tc>
        <w:tc>
          <w:tcPr>
            <w:tcW w:w="2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0"/>
        </w:trPr>
        <w:tc>
          <w:tcPr>
            <w:tcW w:w="5760" w:type="dxa"/>
            <w:vAlign w:val="bottom"/>
          </w:tcPr>
          <w:p>
            <w:pPr>
              <w:ind w:left="60"/>
              <w:spacing w:after="0"/>
              <w:rPr>
                <w:sz w:val="20"/>
                <w:szCs w:val="20"/>
                <w:color w:val="auto"/>
              </w:rPr>
            </w:pPr>
            <w:r>
              <w:rPr>
                <w:rFonts w:ascii="Arial" w:cs="Arial" w:eastAsia="Arial" w:hAnsi="Arial"/>
                <w:sz w:val="16"/>
                <w:szCs w:val="16"/>
                <w:color w:val="auto"/>
              </w:rPr>
              <w:t>Total Tier 1 capital (numerator)</w:t>
            </w:r>
          </w:p>
        </w:tc>
        <w:tc>
          <w:tcPr>
            <w:tcW w:w="2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134,687</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133,683</w:t>
            </w:r>
          </w:p>
        </w:tc>
        <w:tc>
          <w:tcPr>
            <w:tcW w:w="280" w:type="dxa"/>
            <w:vAlign w:val="bottom"/>
          </w:tcPr>
          <w:p>
            <w:pPr>
              <w:spacing w:after="0"/>
              <w:rPr>
                <w:sz w:val="19"/>
                <w:szCs w:val="19"/>
                <w:color w:val="auto"/>
              </w:rPr>
            </w:pPr>
          </w:p>
        </w:tc>
      </w:tr>
      <w:tr>
        <w:trPr>
          <w:trHeight w:val="233"/>
        </w:trPr>
        <w:tc>
          <w:tcPr>
            <w:tcW w:w="57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Risk-weighted assets (denominator)</w:t>
            </w:r>
          </w:p>
        </w:tc>
        <w:tc>
          <w:tcPr>
            <w:tcW w:w="23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972,174</w:t>
            </w:r>
          </w:p>
        </w:tc>
        <w:tc>
          <w:tcPr>
            <w:tcW w:w="5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962,861</w:t>
            </w:r>
          </w:p>
        </w:tc>
        <w:tc>
          <w:tcPr>
            <w:tcW w:w="280" w:type="dxa"/>
            <w:vAlign w:val="bottom"/>
            <w:tcBorders>
              <w:bottom w:val="single" w:sz="8" w:color="auto"/>
            </w:tcBorders>
            <w:shd w:val="clear" w:color="auto" w:fill="CFF0FC"/>
          </w:tcPr>
          <w:p>
            <w:pPr>
              <w:spacing w:after="0"/>
              <w:rPr>
                <w:sz w:val="20"/>
                <w:szCs w:val="20"/>
                <w:color w:val="auto"/>
              </w:rPr>
            </w:pPr>
          </w:p>
        </w:tc>
      </w:tr>
      <w:tr>
        <w:trPr>
          <w:trHeight w:val="223"/>
        </w:trPr>
        <w:tc>
          <w:tcPr>
            <w:tcW w:w="5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Tier 1 Common Equity to risk-weighted assets</w:t>
            </w:r>
          </w:p>
        </w:tc>
        <w:tc>
          <w:tcPr>
            <w:tcW w:w="2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13.85</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and Asset Quality and Allowance for Credit Losses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represents information concerning the aggregate amount of non-accrual loans at the indicated dates: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March 31,</w:t>
            </w:r>
          </w:p>
        </w:tc>
        <w:tc>
          <w:tcPr>
            <w:tcW w:w="28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w w:val="95"/>
              </w:rPr>
              <w:t>December 31,</w:t>
            </w:r>
          </w:p>
        </w:tc>
        <w:tc>
          <w:tcPr>
            <w:tcW w:w="44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Nonaccrual loans:</w:t>
            </w:r>
          </w:p>
        </w:tc>
        <w:tc>
          <w:tcPr>
            <w:tcW w:w="18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120"/>
              <w:spacing w:after="0"/>
              <w:rPr>
                <w:sz w:val="20"/>
                <w:szCs w:val="20"/>
                <w:color w:val="auto"/>
              </w:rPr>
            </w:pPr>
            <w:r>
              <w:rPr>
                <w:rFonts w:ascii="Arial" w:cs="Arial" w:eastAsia="Arial" w:hAnsi="Arial"/>
                <w:sz w:val="18"/>
                <w:szCs w:val="18"/>
                <w:color w:val="auto"/>
              </w:rPr>
              <w:t>Commercial and commercial real estate loans</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15,701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5,720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5,567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Consumer</w:t>
            </w:r>
          </w:p>
        </w:tc>
        <w:tc>
          <w:tcPr>
            <w:tcW w:w="18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2,029</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2,183</w:t>
            </w: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Residential mortgage loans</w:t>
            </w:r>
          </w:p>
        </w:tc>
        <w:tc>
          <w:tcPr>
            <w:tcW w:w="18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1,372</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1,112</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nonaccrual loans</w:t>
            </w:r>
          </w:p>
        </w:tc>
        <w:tc>
          <w:tcPr>
            <w:tcW w:w="18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19,102</w:t>
            </w:r>
          </w:p>
        </w:tc>
        <w:tc>
          <w:tcPr>
            <w:tcW w:w="2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9,015</w:t>
            </w:r>
          </w:p>
        </w:tc>
        <w:tc>
          <w:tcPr>
            <w:tcW w:w="4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nonperforming loans</w:t>
            </w:r>
          </w:p>
        </w:tc>
        <w:tc>
          <w:tcPr>
            <w:tcW w:w="18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19,102</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9,015</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Foreclosed real estate</w:t>
            </w:r>
          </w:p>
        </w:tc>
        <w:tc>
          <w:tcPr>
            <w:tcW w:w="18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221</w:t>
            </w:r>
          </w:p>
        </w:tc>
        <w:tc>
          <w:tcPr>
            <w:tcW w:w="2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221</w:t>
            </w:r>
          </w:p>
        </w:tc>
        <w:tc>
          <w:tcPr>
            <w:tcW w:w="4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nonperforming assets</w:t>
            </w: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19,323</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9,236</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0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Nonperforming loans to total loans</w:t>
            </w:r>
          </w:p>
        </w:tc>
        <w:tc>
          <w:tcPr>
            <w:tcW w:w="18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2.10 %</w:t>
            </w:r>
          </w:p>
        </w:tc>
        <w:tc>
          <w:tcPr>
            <w:tcW w:w="28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1.00 %</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0.93 %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Nonperforming assets to total assets</w:t>
            </w:r>
          </w:p>
        </w:tc>
        <w:tc>
          <w:tcPr>
            <w:tcW w:w="18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1.38 %</w:t>
            </w:r>
          </w:p>
        </w:tc>
        <w:tc>
          <w:tcPr>
            <w:tcW w:w="2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0.66 %</w:t>
            </w: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Nonperforming assets include nonaccrual loans, including nonaccrual loans classified as troubled debt restructurings (“TDR”) prior to January 1, 2023, and foreclosed real estate (‘‘FRE”). The Company generally places a loan on nonaccrual status and ceases accruing interest when loan payment performance is deemed unsatisfactory and the loan is past due 90 days or more. There are no loans that are past due 90 days or more and still accruing interest at March 31, 2023.</w:t>
      </w:r>
    </w:p>
    <w:p>
      <w:pPr>
        <w:spacing w:after="0" w:line="205"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As indicated in the table above, nonperforming assets at March 31, 2023 were $19.3 million, and were $10.1 million higher than the $9.2 million reported at December 31, 2022 and $11.4 million higher than the reported $7.9 million at March 31, 2022. The increase in the nonperforming loan portfolio on March 31, 2023, as compared to December 31, 2022, was primarily the result of the placement of $13.0 million into nonaccrual status of certain loans with two large commercial real</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56</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21" w:right="319" w:bottom="1440" w:gutter="0" w:footer="0" w:header="0"/>
        </w:sectPr>
      </w:pPr>
    </w:p>
    <w:bookmarkStart w:id="56" w:name="page57"/>
    <w:bookmarkEnd w:id="56"/>
    <w:p>
      <w:pPr>
        <w:spacing w:after="0"/>
        <w:rPr>
          <w:sz w:val="20"/>
          <w:szCs w:val="20"/>
          <w:color w:val="auto"/>
        </w:rPr>
      </w:pPr>
      <w:r>
        <w:rPr>
          <w:rFonts w:ascii="Arial" w:cs="Arial" w:eastAsia="Arial" w:hAnsi="Arial"/>
          <w:sz w:val="19"/>
          <w:szCs w:val="19"/>
          <w:color w:val="auto"/>
        </w:rPr>
        <w:t>estate loan and commercial loan relationships. These relationships are under active resolution management at March 31, 2023.</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Fair values for commercial FRE are initially recorded based on market value evaluations by third parties, less costs to sell (“initial cost basis”). On a prospective basis, residential FRE assets will be initially recorded at the lower of the net amount of loan receivable or the real estate’s fair value less costs to sell. Any write-downs required when the related loan receivable is exchanged for the underlying real estate collateral at the time of transfer to FRE are charged to the allowance for credit losses. Values are derived from appraisals, similar to impaired loans, of underlying collateral or discounted cash flow analysis. Subsequent to foreclosure, valuations are updated periodically and assets are marked to current fair value, not to exceed the initial cost basis for the FRE property.</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allowance for credit losses represents management’s estimate of the probable losses inherent in the loan portfolio as of the date of the statement of condition. The allowance for credit losses was $18.0 million and $15.3 million at March 31, 2023 and December 31, 2022, respectively. The ratio of the allowance for credit losses to total loans was 1.96% as of March 31, 2023, as compared to 1.71% at December 31, 2022 and 1.52% at March 31, 2022. Management performs a quarterly evaluation of the allowance for credit losses based on quantitative and qualitative factors and has determined that the current level of the allowance for credit losses is adequate to absorb the losses in the loan portfolio as of March 31, 2023.</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considers a loan impaired when, based on current information and events, it is probable that the Company will be unable to collect the scheduled payments of principal and interest when due according to the contractual terms of the loan. The measurement of impaired loans is generally based upon the fair value of the collateral, with a portion of the impaired loans measured based upon the present value of future cash flows discounted at the historical effective interest rate. A specific reserve is established for an impaired loan if its carrying value exceeds its estimated fair value. The estimated fair values of the majority of the Company’s impaired loans are measured based on the estimated fair value of the loan’s collateral. For loans secured by real estate, estimated fair values are determined primarily through third-party appraisals or broker price opinions. When a loan is determined to be impaired, the Bank will reevaluate the collateral which secures the loan. For real estate, the Company will obtain a new appraisal or broker’s opinion whichever is considered to provide the most accurate value in the event of sale. An evaluation of equipment held as collateral will be obtained from a firm able to provide such an evaluation. Collateral will be inspected not less than annually for all impaired loans and will be reevaluated not less than every two years. Appraised values and broker opinion values are discounted due to the market’s perception of a reduced price of Bank-owned property and the Bank’s desire to sell the property more quickly to arrive at the estimated selling price of the collateral, which is considered to be the estimated fair value. The discounts also include estimated costs to sell the property.</w:t>
      </w:r>
    </w:p>
    <w:p>
      <w:pPr>
        <w:spacing w:after="0" w:line="172" w:lineRule="exact"/>
        <w:rPr>
          <w:sz w:val="20"/>
          <w:szCs w:val="20"/>
          <w:color w:val="auto"/>
        </w:rPr>
      </w:pPr>
    </w:p>
    <w:p>
      <w:pPr>
        <w:jc w:val="both"/>
        <w:ind w:right="300"/>
        <w:spacing w:after="0" w:line="249" w:lineRule="auto"/>
        <w:rPr>
          <w:sz w:val="20"/>
          <w:szCs w:val="20"/>
          <w:color w:val="auto"/>
        </w:rPr>
      </w:pPr>
      <w:r>
        <w:rPr>
          <w:rFonts w:ascii="Arial" w:cs="Arial" w:eastAsia="Arial" w:hAnsi="Arial"/>
          <w:sz w:val="20"/>
          <w:szCs w:val="20"/>
          <w:color w:val="auto"/>
        </w:rPr>
        <w:t>At March 31, 2023 and December 31, 2022, the Company had $23.4 million and $20.2 million in loans, respectively, which were deemed to be impaired, having established specific reserves of $5.6 million and $4.8 million, respectively, on these loans. The $3.2 million increase in impaired loans between these two dates was primarily the result of the placement into nonaccrual status of loans within two large commercial loan and commercial real estate borrower relationships</w:t>
      </w:r>
      <w:r>
        <w:rPr>
          <w:rFonts w:ascii="Arial" w:cs="Arial" w:eastAsia="Arial" w:hAnsi="Arial"/>
          <w:sz w:val="21"/>
          <w:szCs w:val="21"/>
          <w:color w:val="auto"/>
        </w:rPr>
        <w:t>.</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Management has identified potential credit problems which may result in the borrowers not being able to comply with the current loan repayment terms and which may result in those loans being included in future impaired loan reporting. Potential problem loans totaled $38.9 million at March 31, 2023, an increase of $300,000, or 0.8%, as compared to $38.6 million at December 31, 2022. These loans have been internally classified as special mention, substandard, or doubtful, yet are not currently considered impaired.</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Appraisals are obtained at the time a real estate secured loan is originated. For commercial real estate held as collateral, the property is inspected every two years.</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the normal course of business, the Bank sells residential mortgage loans and has infrequently sold participation interests in commercial loans. As is typical in the industry, the Bank makes certain representations and warranties to the buyers of these loans or loan participations. The Bank maintains a quality control program for closed loans and considers the risks and uncertainties associated with potential repurchase requirements to be minimal.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57</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57" w:name="page58"/>
    <w:bookmarkEnd w:id="57"/>
    <w:p>
      <w:pPr>
        <w:jc w:val="both"/>
        <w:spacing w:after="0" w:line="243" w:lineRule="auto"/>
        <w:rPr>
          <w:sz w:val="20"/>
          <w:szCs w:val="20"/>
          <w:color w:val="auto"/>
        </w:rPr>
      </w:pPr>
      <w:r>
        <w:rPr>
          <w:rFonts w:ascii="Arial" w:cs="Arial" w:eastAsia="Arial" w:hAnsi="Arial"/>
          <w:sz w:val="20"/>
          <w:szCs w:val="20"/>
          <w:color w:val="auto"/>
        </w:rPr>
        <w:t>The future performance of the Company’s loan portfolios with respect to credit losses will be highly dependent upon the course and duration, both nationally and within the Company’s market area, of the public health and economic factors related to the pandemic, as well as the concentrations in the Company’s loan portfolio. Concentrations of loans within a portfolio that are made to a single borrower, to a related group of borrowers, or to a limited number of industries, are generally considered to be additional risk factors in estimating future credit losses. Therefore, the Company monitors all of its credit relationships to ensure that the total loan amounts extended to one borrower, or to a related group of borrowers, does not exceed the maximum permissible levels defined by applicable regulation or the Company’s generally more restrictive internal policy limits.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composition and balance. In addition, the Company invests excess funds in short-term interest-earning and other assets, which provide liquidity to meet lending requirements.</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Company's liquidity has been enhanced by its ability to borrow from the Federal Home Loan Bank of New York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"available-for-sale" investment securities, the sale of securitized loans, or the sale of whole loans. Such actions could result in higher interest expense and/or losses on the sale of securities or loans.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Through the first three months of 2023, as indicated in the consolidated statement of cash flows, the Company reported net cash flow from operating activities of $6.0 million and net cash outflow of $10.6 million related to investing activities. The net cash outflow from investing activities primarily was due to a $100,000 increase in net investment activity, and a $10.5 million increase in net loan activity. The Company reported net cash flows from financing activities of $1.6 million, generated principally by increased deposits of $18.8 million, partially offset by a $16.8 million decrease in net borrowings, and an aggregate decrease in net cash of $478,000 from all other financing sources, including dividends paid to common voting and non-voting shareholders and warrants of $554,000.</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Bank’s management monitors liquidity on a continuous basis through a broad range of internal programs and considers effective liquidity management to be one of its primary objectives. At March 31, 2023 the Bank had deposits of $1.1 billion, of which $382.7 million were nominally uninsured, as they were above the insurance limits established by the Federal Deposit Insurance Corporation (“FDIC”) on that date. Of the $382.7 million in nominally uninsured deposits at March 31, 2023, $72.6 million were insured through a long-standing reciprocal deposit program managed by a third-party entity. In addition, $121.0 million in municipal deposits are fully protected against principal loss by a collateral program whereby the Bank places high-quality securities with an independent custodian as collateral. Therefore, the Bank had $189.1 million in deposits, representing 16.5% of all deposits, that were considered to be uninsured at March 31, 2023.</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has a number of existing credit facilities available to it. At March 31, 2023, total credit available under the existing lines of credit was approximately $176.3 million at FHLBNY, the Federal Reserve Bank, and two other correspondent banks. At March 31, 2023, the Company had $99.2 million of the available lines of credit utilized on its existing lines of credit with the remainder of $77.1 million available.</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an effort to increase depositor confidence across the United States' banking system, the Federal Reserve Board, pursuant to section 13(3) of the Federal Reserve Act, authorized all 12 Reserve Banks to establish the Bank Term Funding Program ("BTFP") to make available additional funding to eligible depository institutions, such as the Bank, in order to help assure those institutions have the ability to meet the liquidity needs of all their depositors. The BTFP is an additional potential source of liquidity for the Bank until the date of the Program's termination. The BTFP may be accessed by the Bank if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58</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58" w:name="page59"/>
    <w:bookmarkEnd w:id="58"/>
    <w:p>
      <w:pPr>
        <w:jc w:val="both"/>
        <w:spacing w:after="0" w:line="291" w:lineRule="auto"/>
        <w:rPr>
          <w:sz w:val="20"/>
          <w:szCs w:val="20"/>
          <w:color w:val="auto"/>
        </w:rPr>
      </w:pPr>
      <w:r>
        <w:rPr>
          <w:rFonts w:ascii="Arial" w:cs="Arial" w:eastAsia="Arial" w:hAnsi="Arial"/>
          <w:sz w:val="18"/>
          <w:szCs w:val="18"/>
          <w:color w:val="auto"/>
        </w:rPr>
        <w:t>management determines that there is a potential or realized short-term liquidity requirement for which this facility should be used to support the Bank's operations. Management could also electively choose to use the facility in certain other circumstances to create other financial or operational benefits at the time that the BTFP line is accessed. As of the date of this filing, the BTFP has not been accessed by the Bank.</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Asset Liability Management Committee of the Company is responsible for implementing the policies and guidelines for the maintenance of prudent levels of liquidity. As of March 31, 2023, management reported to the Board of Directors that the Company is in compliance with its liquidity policy guidelines.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Company is also a party to financial instruments with off-balance sheet risk in the normal course of business to meet the financing needs of its customers. These financial instruments include commitments to extend credit and standby letters of credit. At March 31, 2023, the Company had $183.0 million in outstanding commitments to extend credit and standby letters of credit.</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Company's exposure to credit loss in the event of nonperformance related to off-balance sheet arrangements is proportional to the contractual amount of those instruments. Such financial instruments are recorded when they are funded. The Company records an allowance for credit losses on off-balance sheet credit exposures, unless such commitments are unconditionally cancelable, through the provision for credit losses expense. The allowance for credit losses on off-balance sheet credit exposures as of March 31, 2023 was $552,000 and is included in other liabilities on the Company's consolidated Statements of Condition.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 Quantitative and Qualitative Disclosures About Market Risk</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 smaller reporting company is not required to provide the information relating to this item.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 Controls and Procedures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Under the supervision and with the participation of our Chief Executive Officer (“CEO”) and our Chief Financial Officer (“CFO”) (the Company’s principal executive officer and principal financial officer), management conducted an evaluation of the effectiveness of the design and operation of our disclosure controls and procedures (as defined in Rule 13a-15(e) and 15d-15(e) under the Exchange Act) as of March 31, 2023.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Based on the evaluation of our disclosure controls and procedures as of March 31, 2023, our CEO and CFO concluded that our disclosure controls and procedures were effective as of that date.</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disclosed elsewhere within this document, during the first quarter of 2023 the Company adopted ASU 2016-13 and consequently, the CECL model for accounting for credit losses related to financial assets. The adoption of the model and the ongoing calculations under CECL involve significant complexity and management has engaged expert independent third parties to complete significant portions of the transition to CECL and to manage the ongoing processes involved in in CECL calculations, documentation and reporting. In many cases, our disclosure controls and procedures have been modified significantly to accommodate the requirements of the CECL model and those controls require increased reliance on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59</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59" w:name="page60"/>
    <w:bookmarkEnd w:id="59"/>
    <w:p>
      <w:pPr>
        <w:jc w:val="both"/>
        <w:spacing w:after="0" w:line="266" w:lineRule="auto"/>
        <w:rPr>
          <w:sz w:val="20"/>
          <w:szCs w:val="20"/>
          <w:color w:val="auto"/>
        </w:rPr>
      </w:pPr>
      <w:r>
        <w:rPr>
          <w:rFonts w:ascii="Arial" w:cs="Arial" w:eastAsia="Arial" w:hAnsi="Arial"/>
          <w:sz w:val="19"/>
          <w:szCs w:val="19"/>
          <w:color w:val="auto"/>
        </w:rPr>
        <w:t>services and expertise provided by the engaged independent parties. Management believes that these new disclosure controls are currently effective, and will be effective in the future, with respect to the calculation of the Company's allowance for credit losses. Other than the adoption of the CECL model, there were no changes made in our internal controls during the quarter ended March 31, 2023 that have materially affected, or are reasonably likely to materially affect, the Company’s internal control over financial reporting</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60</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 Legal Proceedings</w:t>
      </w:r>
    </w:p>
    <w:p>
      <w:pPr>
        <w:spacing w:after="0" w:line="235"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At March 31, 2023, the Company is not currently a named party in a legal proceeding, the outcome of which would have a material and adverse effect on the financial condition or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 Risk Factors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 smaller reporting company is not required to provide the information relating to this item.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 Unregistered Sales of Equity Securities and Use of Proceeds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Total Number of</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Maximum Number</w:t>
            </w:r>
          </w:p>
        </w:tc>
        <w:tc>
          <w:tcPr>
            <w:tcW w:w="14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Shares Purchased as</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of Shares That May</w:t>
            </w:r>
          </w:p>
        </w:tc>
        <w:tc>
          <w:tcPr>
            <w:tcW w:w="14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Total Number of</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5"/>
              </w:rPr>
              <w:t>Average Price</w:t>
            </w: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Part of Publicly</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Yet Be Purchased</w:t>
            </w:r>
          </w:p>
        </w:tc>
        <w:tc>
          <w:tcPr>
            <w:tcW w:w="140" w:type="dxa"/>
            <w:vAlign w:val="bottom"/>
          </w:tcPr>
          <w:p>
            <w:pPr>
              <w:spacing w:after="0"/>
              <w:rPr>
                <w:sz w:val="18"/>
                <w:szCs w:val="18"/>
                <w:color w:val="auto"/>
              </w:rPr>
            </w:pPr>
          </w:p>
        </w:tc>
      </w:tr>
      <w:tr>
        <w:trPr>
          <w:trHeight w:val="194"/>
        </w:trPr>
        <w:tc>
          <w:tcPr>
            <w:tcW w:w="3760" w:type="dxa"/>
            <w:vAlign w:val="bottom"/>
          </w:tcPr>
          <w:p>
            <w:pPr>
              <w:spacing w:after="0"/>
              <w:rPr>
                <w:sz w:val="16"/>
                <w:szCs w:val="16"/>
                <w:color w:val="auto"/>
              </w:rPr>
            </w:pPr>
          </w:p>
        </w:tc>
        <w:tc>
          <w:tcPr>
            <w:tcW w:w="1760" w:type="dxa"/>
            <w:vAlign w:val="bottom"/>
          </w:tcPr>
          <w:p>
            <w:pPr>
              <w:jc w:val="right"/>
              <w:spacing w:after="0" w:line="194" w:lineRule="exact"/>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line="194" w:lineRule="exact"/>
              <w:rPr>
                <w:sz w:val="20"/>
                <w:szCs w:val="20"/>
                <w:color w:val="auto"/>
              </w:rPr>
            </w:pPr>
            <w:r>
              <w:rPr>
                <w:rFonts w:ascii="Arial" w:cs="Arial" w:eastAsia="Arial" w:hAnsi="Arial"/>
                <w:sz w:val="18"/>
                <w:szCs w:val="18"/>
                <w:color w:val="auto"/>
              </w:rPr>
              <w:t>Paid</w:t>
            </w:r>
          </w:p>
        </w:tc>
        <w:tc>
          <w:tcPr>
            <w:tcW w:w="140" w:type="dxa"/>
            <w:vAlign w:val="bottom"/>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8"/>
                <w:szCs w:val="18"/>
                <w:color w:val="auto"/>
              </w:rPr>
              <w:t>Announced Plans or</w:t>
            </w:r>
          </w:p>
        </w:tc>
        <w:tc>
          <w:tcPr>
            <w:tcW w:w="140" w:type="dxa"/>
            <w:vAlign w:val="bottom"/>
          </w:tcPr>
          <w:p>
            <w:pPr>
              <w:spacing w:after="0"/>
              <w:rPr>
                <w:sz w:val="16"/>
                <w:szCs w:val="16"/>
                <w:color w:val="auto"/>
              </w:rPr>
            </w:pPr>
          </w:p>
        </w:tc>
        <w:tc>
          <w:tcPr>
            <w:tcW w:w="1660" w:type="dxa"/>
            <w:vAlign w:val="bottom"/>
          </w:tcPr>
          <w:p>
            <w:pPr>
              <w:jc w:val="right"/>
              <w:spacing w:after="0" w:line="194" w:lineRule="exact"/>
              <w:rPr>
                <w:sz w:val="20"/>
                <w:szCs w:val="20"/>
                <w:color w:val="auto"/>
              </w:rPr>
            </w:pPr>
            <w:r>
              <w:rPr>
                <w:rFonts w:ascii="Arial" w:cs="Arial" w:eastAsia="Arial" w:hAnsi="Arial"/>
                <w:sz w:val="18"/>
                <w:szCs w:val="18"/>
                <w:color w:val="auto"/>
              </w:rPr>
              <w:t>Under the Plans or</w:t>
            </w:r>
          </w:p>
        </w:tc>
        <w:tc>
          <w:tcPr>
            <w:tcW w:w="140" w:type="dxa"/>
            <w:vAlign w:val="bottom"/>
          </w:tcPr>
          <w:p>
            <w:pPr>
              <w:spacing w:after="0"/>
              <w:rPr>
                <w:sz w:val="16"/>
                <w:szCs w:val="16"/>
                <w:color w:val="auto"/>
              </w:rPr>
            </w:pPr>
          </w:p>
        </w:tc>
      </w:tr>
      <w:tr>
        <w:trPr>
          <w:trHeight w:val="266"/>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Period</w:t>
            </w:r>
          </w:p>
        </w:tc>
        <w:tc>
          <w:tcPr>
            <w:tcW w:w="1760" w:type="dxa"/>
            <w:vAlign w:val="bottom"/>
            <w:tcBorders>
              <w:bottom w:val="single" w:sz="8" w:color="auto"/>
            </w:tcBorders>
          </w:tcPr>
          <w:p>
            <w:pPr>
              <w:jc w:val="right"/>
              <w:spacing w:after="0" w:line="266" w:lineRule="exact"/>
              <w:rPr>
                <w:sz w:val="20"/>
                <w:szCs w:val="20"/>
                <w:color w:val="auto"/>
              </w:rPr>
            </w:pPr>
            <w:r>
              <w:rPr>
                <w:rFonts w:ascii="Arial" w:cs="Arial" w:eastAsia="Arial" w:hAnsi="Arial"/>
                <w:sz w:val="18"/>
                <w:szCs w:val="18"/>
                <w:color w:val="auto"/>
              </w:rPr>
              <w:t xml:space="preserve">Purchased </w:t>
            </w:r>
            <w:r>
              <w:rPr>
                <w:rFonts w:ascii="Arial" w:cs="Arial" w:eastAsia="Arial" w:hAnsi="Arial"/>
                <w:sz w:val="24"/>
                <w:szCs w:val="24"/>
                <w:color w:val="auto"/>
                <w:vertAlign w:val="superscript"/>
              </w:rPr>
              <w:t>(1)</w:t>
            </w:r>
          </w:p>
        </w:tc>
        <w:tc>
          <w:tcPr>
            <w:tcW w:w="1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Per Share</w:t>
            </w:r>
          </w:p>
        </w:tc>
        <w:tc>
          <w:tcPr>
            <w:tcW w:w="140" w:type="dxa"/>
            <w:vAlign w:val="bottom"/>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Programs</w:t>
            </w:r>
          </w:p>
        </w:tc>
        <w:tc>
          <w:tcPr>
            <w:tcW w:w="140" w:type="dxa"/>
            <w:vAlign w:val="bottom"/>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Programs</w:t>
            </w:r>
          </w:p>
        </w:tc>
        <w:tc>
          <w:tcPr>
            <w:tcW w:w="140" w:type="dxa"/>
            <w:vAlign w:val="bottom"/>
          </w:tcPr>
          <w:p>
            <w:pPr>
              <w:spacing w:after="0"/>
              <w:rPr>
                <w:sz w:val="23"/>
                <w:szCs w:val="23"/>
                <w:color w:val="auto"/>
              </w:rPr>
            </w:pPr>
          </w:p>
        </w:tc>
      </w:tr>
      <w:tr>
        <w:trPr>
          <w:trHeight w:val="237"/>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January 1, 2023 through January 31, 2023</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74,292</w:t>
            </w:r>
          </w:p>
        </w:tc>
        <w:tc>
          <w:tcPr>
            <w:tcW w:w="140" w:type="dxa"/>
            <w:vAlign w:val="bottom"/>
            <w:shd w:val="clear" w:color="auto" w:fill="CFF0FC"/>
          </w:tcPr>
          <w:p>
            <w:pPr>
              <w:spacing w:after="0"/>
              <w:rPr>
                <w:sz w:val="20"/>
                <w:szCs w:val="20"/>
                <w:color w:val="auto"/>
              </w:rPr>
            </w:pPr>
          </w:p>
        </w:tc>
      </w:tr>
      <w:tr>
        <w:trPr>
          <w:trHeight w:val="243"/>
        </w:trPr>
        <w:tc>
          <w:tcPr>
            <w:tcW w:w="3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1160" w:type="dxa"/>
            <w:vAlign w:val="bottom"/>
          </w:tcPr>
          <w:p>
            <w:pPr>
              <w:spacing w:after="0"/>
              <w:rPr>
                <w:sz w:val="21"/>
                <w:szCs w:val="21"/>
                <w:color w:val="auto"/>
              </w:rPr>
            </w:pPr>
          </w:p>
        </w:tc>
        <w:tc>
          <w:tcPr>
            <w:tcW w:w="2080" w:type="dxa"/>
            <w:vAlign w:val="bottom"/>
            <w:gridSpan w:val="2"/>
          </w:tcPr>
          <w:p>
            <w:pPr>
              <w:spacing w:after="0"/>
              <w:rPr>
                <w:sz w:val="21"/>
                <w:szCs w:val="21"/>
                <w:color w:val="auto"/>
              </w:rPr>
            </w:pPr>
          </w:p>
        </w:tc>
        <w:tc>
          <w:tcPr>
            <w:tcW w:w="18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February 1, 2023 through February 28, 2023</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74,292</w:t>
            </w:r>
          </w:p>
        </w:tc>
        <w:tc>
          <w:tcPr>
            <w:tcW w:w="140" w:type="dxa"/>
            <w:vAlign w:val="bottom"/>
            <w:shd w:val="clear" w:color="auto" w:fill="CFF0FC"/>
          </w:tcPr>
          <w:p>
            <w:pPr>
              <w:spacing w:after="0"/>
              <w:rPr>
                <w:sz w:val="21"/>
                <w:szCs w:val="21"/>
                <w:color w:val="auto"/>
              </w:rPr>
            </w:pPr>
          </w:p>
        </w:tc>
      </w:tr>
      <w:tr>
        <w:trPr>
          <w:trHeight w:val="270"/>
        </w:trPr>
        <w:tc>
          <w:tcPr>
            <w:tcW w:w="37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40" w:type="dxa"/>
            <w:vAlign w:val="bottom"/>
            <w:gridSpan w:val="2"/>
          </w:tcPr>
          <w:p>
            <w:pPr>
              <w:spacing w:after="0"/>
              <w:rPr>
                <w:sz w:val="23"/>
                <w:szCs w:val="23"/>
                <w:color w:val="auto"/>
              </w:rPr>
            </w:pPr>
          </w:p>
        </w:tc>
        <w:tc>
          <w:tcPr>
            <w:tcW w:w="1160" w:type="dxa"/>
            <w:vAlign w:val="bottom"/>
          </w:tcPr>
          <w:p>
            <w:pPr>
              <w:spacing w:after="0"/>
              <w:rPr>
                <w:sz w:val="23"/>
                <w:szCs w:val="23"/>
                <w:color w:val="auto"/>
              </w:rPr>
            </w:pPr>
          </w:p>
        </w:tc>
        <w:tc>
          <w:tcPr>
            <w:tcW w:w="2080" w:type="dxa"/>
            <w:vAlign w:val="bottom"/>
            <w:gridSpan w:val="2"/>
          </w:tcPr>
          <w:p>
            <w:pPr>
              <w:spacing w:after="0"/>
              <w:rPr>
                <w:sz w:val="23"/>
                <w:szCs w:val="23"/>
                <w:color w:val="auto"/>
              </w:rPr>
            </w:pPr>
          </w:p>
        </w:tc>
        <w:tc>
          <w:tcPr>
            <w:tcW w:w="180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1, 2023 through March 31, 2023</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74,292</w:t>
            </w:r>
          </w:p>
        </w:tc>
        <w:tc>
          <w:tcPr>
            <w:tcW w:w="140" w:type="dxa"/>
            <w:vAlign w:val="bottom"/>
            <w:shd w:val="clear" w:color="auto" w:fill="CFF0FC"/>
          </w:tcPr>
          <w:p>
            <w:pPr>
              <w:spacing w:after="0"/>
              <w:rPr>
                <w:sz w:val="21"/>
                <w:szCs w:val="21"/>
                <w:color w:val="auto"/>
              </w:rPr>
            </w:pPr>
          </w:p>
        </w:tc>
      </w:tr>
    </w:tbl>
    <w:p>
      <w:pPr>
        <w:spacing w:after="0" w:line="323" w:lineRule="exact"/>
        <w:rPr>
          <w:sz w:val="20"/>
          <w:szCs w:val="20"/>
          <w:color w:val="auto"/>
        </w:rPr>
      </w:pPr>
    </w:p>
    <w:p>
      <w:pPr>
        <w:ind w:left="52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August 29, 2016, our Board of Directors authorized the repurchase of up to 217,692 shares of our common stock, or 5% of the Company’s shares outstanding as of that date.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 Defaults Upon Senior Securities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w w:val="91"/>
              </w:rPr>
              <w:t>Exhibit No.</w:t>
            </w:r>
          </w:p>
        </w:tc>
        <w:tc>
          <w:tcPr>
            <w:tcW w:w="660" w:type="dxa"/>
            <w:vAlign w:val="bottom"/>
          </w:tcPr>
          <w:p>
            <w:pPr>
              <w:spacing w:after="0"/>
              <w:rPr>
                <w:sz w:val="18"/>
                <w:szCs w:val="18"/>
                <w:color w:val="auto"/>
              </w:rPr>
            </w:pPr>
          </w:p>
        </w:tc>
        <w:tc>
          <w:tcPr>
            <w:tcW w:w="938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91"/>
        </w:trPr>
        <w:tc>
          <w:tcPr>
            <w:tcW w:w="10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r>
        <w:trPr>
          <w:trHeight w:val="196"/>
        </w:trPr>
        <w:tc>
          <w:tcPr>
            <w:tcW w:w="980" w:type="dxa"/>
            <w:vAlign w:val="bottom"/>
            <w:gridSpan w:val="2"/>
          </w:tcPr>
          <w:p>
            <w:pPr>
              <w:ind w:left="120"/>
              <w:spacing w:after="0" w:line="196" w:lineRule="exact"/>
              <w:rPr>
                <w:sz w:val="20"/>
                <w:szCs w:val="20"/>
                <w:color w:val="auto"/>
              </w:rPr>
            </w:pPr>
            <w:r>
              <w:rPr>
                <w:rFonts w:ascii="Arial" w:cs="Arial" w:eastAsia="Arial" w:hAnsi="Arial"/>
                <w:sz w:val="20"/>
                <w:szCs w:val="20"/>
                <w:color w:val="auto"/>
              </w:rPr>
              <w:t>31.1</w:t>
            </w:r>
          </w:p>
        </w:tc>
        <w:tc>
          <w:tcPr>
            <w:tcW w:w="660" w:type="dxa"/>
            <w:vAlign w:val="bottom"/>
          </w:tcPr>
          <w:p>
            <w:pPr>
              <w:spacing w:after="0"/>
              <w:rPr>
                <w:sz w:val="17"/>
                <w:szCs w:val="17"/>
                <w:color w:val="auto"/>
              </w:rPr>
            </w:pPr>
          </w:p>
        </w:tc>
        <w:tc>
          <w:tcPr>
            <w:tcW w:w="9380" w:type="dxa"/>
            <w:vAlign w:val="bottom"/>
            <w:gridSpan w:val="5"/>
          </w:tcPr>
          <w:p>
            <w:pPr>
              <w:spacing w:after="0" w:line="196" w:lineRule="exact"/>
              <w:rPr>
                <w:sz w:val="20"/>
                <w:szCs w:val="20"/>
                <w:color w:val="auto"/>
              </w:rPr>
            </w:pPr>
            <w:r>
              <w:rPr>
                <w:rFonts w:ascii="Arial" w:cs="Arial" w:eastAsia="Arial" w:hAnsi="Arial"/>
                <w:sz w:val="20"/>
                <w:szCs w:val="20"/>
                <w:color w:val="0000FF"/>
              </w:rPr>
              <w:t>Rule 13a-14(a)/15d-14(a) Certification of the Chief Executive Officer</w:t>
            </w:r>
          </w:p>
        </w:tc>
      </w:tr>
      <w:tr>
        <w:trPr>
          <w:trHeight w:val="34"/>
        </w:trPr>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458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980" w:type="dxa"/>
            <w:vAlign w:val="bottom"/>
            <w:gridSpan w:val="2"/>
          </w:tcPr>
          <w:p>
            <w:pPr>
              <w:ind w:left="120"/>
              <w:spacing w:after="0" w:line="196" w:lineRule="exact"/>
              <w:rPr>
                <w:sz w:val="20"/>
                <w:szCs w:val="20"/>
                <w:color w:val="auto"/>
              </w:rPr>
            </w:pPr>
            <w:r>
              <w:rPr>
                <w:rFonts w:ascii="Arial" w:cs="Arial" w:eastAsia="Arial" w:hAnsi="Arial"/>
                <w:sz w:val="20"/>
                <w:szCs w:val="20"/>
                <w:color w:val="auto"/>
              </w:rPr>
              <w:t>31.2</w:t>
            </w:r>
          </w:p>
        </w:tc>
        <w:tc>
          <w:tcPr>
            <w:tcW w:w="660" w:type="dxa"/>
            <w:vAlign w:val="bottom"/>
          </w:tcPr>
          <w:p>
            <w:pPr>
              <w:spacing w:after="0"/>
              <w:rPr>
                <w:sz w:val="17"/>
                <w:szCs w:val="17"/>
                <w:color w:val="auto"/>
              </w:rPr>
            </w:pPr>
          </w:p>
        </w:tc>
        <w:tc>
          <w:tcPr>
            <w:tcW w:w="9380" w:type="dxa"/>
            <w:vAlign w:val="bottom"/>
            <w:gridSpan w:val="5"/>
          </w:tcPr>
          <w:p>
            <w:pPr>
              <w:spacing w:after="0" w:line="196" w:lineRule="exact"/>
              <w:rPr>
                <w:sz w:val="20"/>
                <w:szCs w:val="20"/>
                <w:color w:val="auto"/>
              </w:rPr>
            </w:pPr>
            <w:r>
              <w:rPr>
                <w:rFonts w:ascii="Arial" w:cs="Arial" w:eastAsia="Arial" w:hAnsi="Arial"/>
                <w:sz w:val="20"/>
                <w:szCs w:val="20"/>
                <w:color w:val="0000FF"/>
              </w:rPr>
              <w:t>Rule 13a-14(a)/15d-14(a) Certification of the Chief Financial Officer</w:t>
            </w:r>
          </w:p>
        </w:tc>
      </w:tr>
      <w:tr>
        <w:trPr>
          <w:trHeight w:val="34"/>
        </w:trPr>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458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980" w:type="dxa"/>
            <w:vAlign w:val="bottom"/>
            <w:gridSpan w:val="2"/>
          </w:tcPr>
          <w:p>
            <w:pPr>
              <w:ind w:left="120"/>
              <w:spacing w:after="0" w:line="196" w:lineRule="exact"/>
              <w:rPr>
                <w:sz w:val="20"/>
                <w:szCs w:val="20"/>
                <w:color w:val="auto"/>
              </w:rPr>
            </w:pPr>
            <w:r>
              <w:rPr>
                <w:rFonts w:ascii="Arial" w:cs="Arial" w:eastAsia="Arial" w:hAnsi="Arial"/>
                <w:sz w:val="20"/>
                <w:szCs w:val="20"/>
                <w:color w:val="auto"/>
              </w:rPr>
              <w:t>32</w:t>
            </w:r>
          </w:p>
        </w:tc>
        <w:tc>
          <w:tcPr>
            <w:tcW w:w="660" w:type="dxa"/>
            <w:vAlign w:val="bottom"/>
          </w:tcPr>
          <w:p>
            <w:pPr>
              <w:spacing w:after="0"/>
              <w:rPr>
                <w:sz w:val="17"/>
                <w:szCs w:val="17"/>
                <w:color w:val="auto"/>
              </w:rPr>
            </w:pPr>
          </w:p>
        </w:tc>
        <w:tc>
          <w:tcPr>
            <w:tcW w:w="9380" w:type="dxa"/>
            <w:vAlign w:val="bottom"/>
            <w:gridSpan w:val="5"/>
          </w:tcPr>
          <w:p>
            <w:pPr>
              <w:spacing w:after="0" w:line="196" w:lineRule="exact"/>
              <w:rPr>
                <w:sz w:val="20"/>
                <w:szCs w:val="20"/>
                <w:color w:val="auto"/>
              </w:rPr>
            </w:pPr>
            <w:r>
              <w:rPr>
                <w:rFonts w:ascii="Arial" w:cs="Arial" w:eastAsia="Arial" w:hAnsi="Arial"/>
                <w:sz w:val="20"/>
                <w:szCs w:val="20"/>
                <w:color w:val="0000FF"/>
              </w:rPr>
              <w:t>Section 1350 Certification of the Chief Executive Officer and Chief Financial Officer</w:t>
            </w:r>
          </w:p>
        </w:tc>
      </w:tr>
      <w:tr>
        <w:trPr>
          <w:trHeight w:val="20"/>
        </w:trPr>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6986270" cy="1448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86270" cy="1448435"/>
                    </a:xfrm>
                    <a:prstGeom prst="rect">
                      <a:avLst/>
                    </a:prstGeom>
                    <a:noFill/>
                  </pic:spPr>
                </pic:pic>
              </a:graphicData>
            </a:graphic>
          </wp:anchor>
        </w:drawing>
      </w:r>
    </w:p>
    <w:p>
      <w:pPr>
        <w:spacing w:after="0" w:line="31" w:lineRule="exact"/>
        <w:rPr>
          <w:sz w:val="20"/>
          <w:szCs w:val="20"/>
          <w:color w:val="auto"/>
        </w:rPr>
      </w:pPr>
    </w:p>
    <w:p>
      <w:pPr>
        <w:ind w:left="1620" w:right="560" w:hanging="1501"/>
        <w:spacing w:after="0" w:line="244" w:lineRule="auto"/>
        <w:tabs>
          <w:tab w:leader="none" w:pos="16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Interactive data files pursuant to Rule 405 of Regulation S-T formatted in Inline Extensible Business Reporting Language (iXBRL): (i) the Consolidated Statements of Condition, (ii) the Consolidated Statements of Income (iii) the Consolidated Statements of Comprehensive Income, (iv) the Consolidated Statements of Changes in Shareholders’ Equity, (v) Consolidated Statements of Cash Flows, and (vi) the Notes to the Consolidated Financial Statements tagged as blocks of text.</w:t>
      </w:r>
    </w:p>
    <w:p>
      <w:pPr>
        <w:spacing w:after="0" w:line="19" w:lineRule="exact"/>
        <w:rPr>
          <w:sz w:val="20"/>
          <w:szCs w:val="20"/>
          <w:color w:val="auto"/>
        </w:rPr>
      </w:pPr>
    </w:p>
    <w:p>
      <w:pPr>
        <w:ind w:left="1620" w:hanging="1501"/>
        <w:spacing w:after="0"/>
        <w:tabs>
          <w:tab w:leader="none" w:pos="1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Cover Page Interactive Data File (embedded within the Inline XBRL document).</w:t>
      </w:r>
    </w:p>
    <w:p>
      <w:pPr>
        <w:spacing w:after="0" w:line="241" w:lineRule="exact"/>
        <w:rPr>
          <w:rFonts w:ascii="Arial" w:cs="Arial" w:eastAsia="Arial" w:hAnsi="Arial"/>
          <w:sz w:val="20"/>
          <w:szCs w:val="20"/>
          <w:color w:val="auto"/>
        </w:rPr>
      </w:pPr>
    </w:p>
    <w:p>
      <w:pPr>
        <w:ind w:left="5540" w:hanging="111"/>
        <w:spacing w:after="0"/>
        <w:tabs>
          <w:tab w:leader="none" w:pos="554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1" w:name="page62"/>
    <w:bookmarkEnd w:id="61"/>
    <w:p>
      <w:pPr>
        <w:jc w:val="center"/>
        <w:ind w:right="60"/>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2260"/>
        <w:spacing w:after="0"/>
        <w:rPr>
          <w:sz w:val="20"/>
          <w:szCs w:val="20"/>
          <w:color w:val="auto"/>
        </w:rPr>
      </w:pPr>
      <w:r>
        <w:rPr>
          <w:rFonts w:ascii="Arial" w:cs="Arial" w:eastAsia="Arial" w:hAnsi="Arial"/>
          <w:sz w:val="20"/>
          <w:szCs w:val="20"/>
          <w:b w:val="1"/>
          <w:bCs w:val="1"/>
          <w:u w:val="single" w:color="auto"/>
          <w:color w:val="auto"/>
        </w:rPr>
        <w:t>PATHFINDER BANCORP, INC.</w:t>
      </w:r>
    </w:p>
    <w:p>
      <w:pPr>
        <w:spacing w:after="0" w:line="22"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(registrant)</w:t>
      </w:r>
    </w:p>
    <w:p>
      <w:pPr>
        <w:spacing w:after="0" w:line="254" w:lineRule="exact"/>
        <w:rPr>
          <w:sz w:val="20"/>
          <w:szCs w:val="20"/>
          <w:color w:val="auto"/>
        </w:rPr>
      </w:pPr>
    </w:p>
    <w:p>
      <w:pPr>
        <w:ind w:left="100"/>
        <w:spacing w:after="0"/>
        <w:tabs>
          <w:tab w:leader="none" w:pos="2720" w:val="left"/>
        </w:tabs>
        <w:rPr>
          <w:sz w:val="20"/>
          <w:szCs w:val="20"/>
          <w:color w:val="auto"/>
        </w:rPr>
      </w:pPr>
      <w:r>
        <w:rPr>
          <w:rFonts w:ascii="Arial" w:cs="Arial" w:eastAsia="Arial" w:hAnsi="Arial"/>
          <w:sz w:val="20"/>
          <w:szCs w:val="20"/>
          <w:u w:val="single" w:color="auto"/>
          <w:color w:val="auto"/>
        </w:rPr>
        <w:t>May 15, 2023</w:t>
      </w:r>
      <w:r>
        <w:rPr>
          <w:sz w:val="20"/>
          <w:szCs w:val="20"/>
          <w:color w:val="auto"/>
        </w:rPr>
        <w:tab/>
      </w:r>
      <w:r>
        <w:rPr>
          <w:rFonts w:ascii="Arial" w:cs="Arial" w:eastAsia="Arial" w:hAnsi="Arial"/>
          <w:sz w:val="16"/>
          <w:szCs w:val="16"/>
          <w:u w:val="single" w:color="auto"/>
          <w:color w:val="auto"/>
        </w:rPr>
        <w:t>/s/ James A. Dowd</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James A. Dowd</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President and Chief Executive Officer</w:t>
      </w:r>
    </w:p>
    <w:p>
      <w:pPr>
        <w:spacing w:after="0" w:line="283" w:lineRule="exact"/>
        <w:rPr>
          <w:sz w:val="20"/>
          <w:szCs w:val="20"/>
          <w:color w:val="auto"/>
        </w:rPr>
      </w:pPr>
    </w:p>
    <w:p>
      <w:pPr>
        <w:ind w:left="100"/>
        <w:spacing w:after="0"/>
        <w:tabs>
          <w:tab w:leader="none" w:pos="2720" w:val="left"/>
        </w:tabs>
        <w:rPr>
          <w:sz w:val="20"/>
          <w:szCs w:val="20"/>
          <w:color w:val="auto"/>
        </w:rPr>
      </w:pPr>
      <w:r>
        <w:rPr>
          <w:rFonts w:ascii="Arial" w:cs="Arial" w:eastAsia="Arial" w:hAnsi="Arial"/>
          <w:sz w:val="20"/>
          <w:szCs w:val="20"/>
          <w:u w:val="single" w:color="auto"/>
          <w:color w:val="auto"/>
        </w:rPr>
        <w:t>May 15, 2023</w:t>
      </w:r>
      <w:r>
        <w:rPr>
          <w:sz w:val="20"/>
          <w:szCs w:val="20"/>
          <w:color w:val="auto"/>
        </w:rPr>
        <w:tab/>
      </w:r>
      <w:r>
        <w:rPr>
          <w:rFonts w:ascii="Arial" w:cs="Arial" w:eastAsia="Arial" w:hAnsi="Arial"/>
          <w:sz w:val="16"/>
          <w:szCs w:val="16"/>
          <w:color w:val="auto"/>
        </w:rPr>
        <w:t>/s/ Walter F. Rusnak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-14605</wp:posOffset>
            </wp:positionV>
            <wp:extent cx="10420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Walter F. Rusnak</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Senior Vice President, Chief Financial Officer</w:t>
      </w: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62</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68" w:right="579" w:bottom="1440" w:gutter="0" w:footer="0" w:header="0"/>
        </w:sectPr>
      </w:pPr>
    </w:p>
    <w:bookmarkStart w:id="62" w:name="page63"/>
    <w:bookmarkEnd w:id="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EXHIBIT 31.1: Rule 13a-14(a) / 15d-14(a) Certification of the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A. Dowd, certify that:</w:t>
      </w:r>
    </w:p>
    <w:p>
      <w:pPr>
        <w:spacing w:after="0" w:line="225" w:lineRule="exact"/>
        <w:rPr>
          <w:sz w:val="20"/>
          <w:szCs w:val="20"/>
          <w:color w:val="auto"/>
        </w:rPr>
      </w:pPr>
    </w:p>
    <w:p>
      <w:pPr>
        <w:ind w:left="560" w:hanging="365"/>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Pathfinder Bancorp, Inc.;</w:t>
      </w:r>
    </w:p>
    <w:p>
      <w:pPr>
        <w:spacing w:after="0" w:line="225" w:lineRule="exact"/>
        <w:rPr>
          <w:rFonts w:ascii="Arial" w:cs="Arial" w:eastAsia="Arial" w:hAnsi="Arial"/>
          <w:sz w:val="18"/>
          <w:szCs w:val="18"/>
          <w:color w:val="auto"/>
        </w:rPr>
      </w:pPr>
    </w:p>
    <w:p>
      <w:pPr>
        <w:jc w:val="both"/>
        <w:ind w:left="560" w:hanging="365"/>
        <w:spacing w:after="0" w:line="263"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60" w:hanging="365"/>
        <w:spacing w:after="0" w:line="308" w:lineRule="auto"/>
        <w:tabs>
          <w:tab w:leader="none" w:pos="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60" w:hanging="365"/>
        <w:spacing w:after="0" w:line="263"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2060" w:hanging="929"/>
        <w:spacing w:after="0" w:line="271" w:lineRule="auto"/>
        <w:tabs>
          <w:tab w:leader="none" w:pos="20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2060" w:hanging="929"/>
        <w:spacing w:after="0" w:line="265" w:lineRule="auto"/>
        <w:tabs>
          <w:tab w:leader="none" w:pos="20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2060" w:hanging="929"/>
        <w:spacing w:after="0" w:line="250" w:lineRule="auto"/>
        <w:tabs>
          <w:tab w:leader="none" w:pos="20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2060" w:hanging="929"/>
        <w:spacing w:after="0" w:line="277" w:lineRule="auto"/>
        <w:tabs>
          <w:tab w:leader="none" w:pos="20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760" w:hanging="378"/>
        <w:spacing w:after="0" w:line="277"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jc w:val="both"/>
        <w:ind w:left="2060" w:hanging="929"/>
        <w:spacing w:after="0" w:line="255" w:lineRule="auto"/>
        <w:tabs>
          <w:tab w:leader="none" w:pos="20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2060" w:hanging="929"/>
        <w:spacing w:after="0" w:line="260" w:lineRule="auto"/>
        <w:tabs>
          <w:tab w:leader="none" w:pos="20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0"/>
        <w:spacing w:after="0"/>
        <w:tabs>
          <w:tab w:leader="none" w:pos="5700" w:val="left"/>
        </w:tabs>
        <w:rPr>
          <w:sz w:val="20"/>
          <w:szCs w:val="20"/>
          <w:color w:val="auto"/>
        </w:rPr>
      </w:pPr>
      <w:r>
        <w:rPr>
          <w:rFonts w:ascii="Arial" w:cs="Arial" w:eastAsia="Arial" w:hAnsi="Arial"/>
          <w:sz w:val="20"/>
          <w:szCs w:val="20"/>
          <w:u w:val="single" w:color="auto"/>
          <w:color w:val="auto"/>
        </w:rPr>
        <w:t>May 15, 2023</w:t>
      </w:r>
      <w:r>
        <w:rPr>
          <w:sz w:val="20"/>
          <w:szCs w:val="20"/>
          <w:color w:val="auto"/>
        </w:rPr>
        <w:tab/>
      </w:r>
      <w:r>
        <w:rPr>
          <w:rFonts w:ascii="Arial" w:cs="Arial" w:eastAsia="Arial" w:hAnsi="Arial"/>
          <w:sz w:val="16"/>
          <w:szCs w:val="16"/>
          <w:u w:val="single" w:color="auto"/>
          <w:color w:val="auto"/>
        </w:rPr>
        <w:t>/s/ James A. Dowd</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A. Dowd</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EXHIBIT 31.2: Rule 13a-14(a) / 15d-14(a) Certification of the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Walter F. Rusnak, certify that:</w:t>
      </w:r>
    </w:p>
    <w:p>
      <w:pPr>
        <w:spacing w:after="0" w:line="225" w:lineRule="exact"/>
        <w:rPr>
          <w:sz w:val="20"/>
          <w:szCs w:val="20"/>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Pathfinder Bancorp, Inc.;</w:t>
      </w:r>
    </w:p>
    <w:p>
      <w:pPr>
        <w:spacing w:after="0" w:line="225" w:lineRule="exact"/>
        <w:rPr>
          <w:sz w:val="20"/>
          <w:szCs w:val="20"/>
          <w:color w:val="auto"/>
        </w:rPr>
      </w:pPr>
    </w:p>
    <w:p>
      <w:pPr>
        <w:jc w:val="both"/>
        <w:ind w:left="760" w:hanging="379"/>
        <w:spacing w:after="0" w:line="263" w:lineRule="auto"/>
        <w:tabs>
          <w:tab w:leader="none" w:pos="740" w:val="left"/>
        </w:tabs>
        <w:rPr>
          <w:sz w:val="20"/>
          <w:szCs w:val="20"/>
          <w:color w:val="auto"/>
        </w:rPr>
      </w:pPr>
      <w:r>
        <w:rPr>
          <w:rFonts w:ascii="Arial" w:cs="Arial" w:eastAsia="Arial" w:hAnsi="Arial"/>
          <w:sz w:val="18"/>
          <w:szCs w:val="18"/>
          <w:color w:val="auto"/>
        </w:rPr>
        <w:t>2.</w:t>
        <w:tab/>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760" w:hanging="378"/>
        <w:spacing w:after="0" w:line="308"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500" w:hanging="369"/>
        <w:spacing w:after="0" w:line="255" w:lineRule="auto"/>
        <w:tabs>
          <w:tab w:leader="none" w:pos="1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500" w:hanging="369"/>
        <w:spacing w:after="0" w:line="250" w:lineRule="auto"/>
        <w:tabs>
          <w:tab w:leader="none" w:pos="1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500" w:hanging="369"/>
        <w:spacing w:after="0" w:line="281" w:lineRule="auto"/>
        <w:tabs>
          <w:tab w:leader="none" w:pos="15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500" w:hanging="369"/>
        <w:spacing w:after="0" w:line="255" w:lineRule="auto"/>
        <w:tabs>
          <w:tab w:leader="none" w:pos="1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500" w:hanging="369"/>
        <w:spacing w:after="0" w:line="274" w:lineRule="auto"/>
        <w:tabs>
          <w:tab w:leader="none" w:pos="15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hanging="369"/>
        <w:spacing w:after="0" w:line="260" w:lineRule="auto"/>
        <w:tabs>
          <w:tab w:leader="none" w:pos="1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p>
      <w:pPr>
        <w:ind w:left="100"/>
        <w:spacing w:after="0"/>
        <w:tabs>
          <w:tab w:leader="none" w:pos="5540" w:val="left"/>
        </w:tabs>
        <w:rPr>
          <w:sz w:val="20"/>
          <w:szCs w:val="20"/>
          <w:color w:val="auto"/>
        </w:rPr>
      </w:pPr>
      <w:r>
        <w:rPr>
          <w:rFonts w:ascii="Arial" w:cs="Arial" w:eastAsia="Arial" w:hAnsi="Arial"/>
          <w:sz w:val="20"/>
          <w:szCs w:val="20"/>
          <w:u w:val="single" w:color="auto"/>
          <w:color w:val="auto"/>
        </w:rPr>
        <w:t>May 15, 2023</w:t>
      </w:r>
      <w:r>
        <w:rPr>
          <w:sz w:val="20"/>
          <w:szCs w:val="20"/>
          <w:color w:val="auto"/>
        </w:rPr>
        <w:tab/>
      </w:r>
      <w:r>
        <w:rPr>
          <w:rFonts w:ascii="Arial" w:cs="Arial" w:eastAsia="Arial" w:hAnsi="Arial"/>
          <w:sz w:val="15"/>
          <w:szCs w:val="15"/>
          <w:u w:val="single" w:color="auto"/>
          <w:color w:val="auto"/>
        </w:rPr>
        <w:t>/s/ Walter F. Rusnak</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Walter F. Rusnak</w:t>
      </w:r>
    </w:p>
    <w:p>
      <w:pPr>
        <w:spacing w:after="0" w:line="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Senior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EXHIBIT 32 Section 1350 Certification of the Chief Executive Officer and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§1350, as adopted pursuant to §906 of the Sarbanes-Oxley Act of 2002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Pathfinder Bancorp, Inc. (the “Company”) on Form 10-Q for the period ended March 31, 2023 as filed with the Securities and Exchange Commission (the “Report”), the undersigned hereby certify, pursuant to 18 U.S.C. §1350, as adopted pursuant to §906 of the Sarbanes-Oxley Act of 2002, that:</w:t>
      </w:r>
    </w:p>
    <w:p>
      <w:pPr>
        <w:spacing w:after="0" w:line="184" w:lineRule="exact"/>
        <w:rPr>
          <w:sz w:val="20"/>
          <w:szCs w:val="20"/>
          <w:color w:val="auto"/>
        </w:rPr>
      </w:pPr>
    </w:p>
    <w:p>
      <w:pPr>
        <w:ind w:left="940" w:hanging="745"/>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225" w:lineRule="exact"/>
        <w:rPr>
          <w:rFonts w:ascii="Arial" w:cs="Arial" w:eastAsia="Arial" w:hAnsi="Arial"/>
          <w:sz w:val="18"/>
          <w:szCs w:val="18"/>
          <w:color w:val="auto"/>
        </w:rPr>
      </w:pPr>
    </w:p>
    <w:p>
      <w:pPr>
        <w:ind w:left="940" w:hanging="745"/>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purpose of this statement is solely to comply with Title 18, Chapter 63, Section 1350 of the United States Code, as amended by Section 906 of the Sarbanes-Oxley Act of 2002.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1"/>
              </w:rPr>
              <w:t>May 15, 2023</w:t>
            </w:r>
          </w:p>
        </w:tc>
        <w:tc>
          <w:tcPr>
            <w:tcW w:w="9800" w:type="dxa"/>
            <w:vAlign w:val="bottom"/>
            <w:gridSpan w:val="4"/>
          </w:tcPr>
          <w:p>
            <w:pPr>
              <w:ind w:left="4120"/>
              <w:spacing w:after="0"/>
              <w:rPr>
                <w:sz w:val="20"/>
                <w:szCs w:val="20"/>
                <w:color w:val="auto"/>
              </w:rPr>
            </w:pPr>
            <w:r>
              <w:rPr>
                <w:rFonts w:ascii="Arial" w:cs="Arial" w:eastAsia="Arial" w:hAnsi="Arial"/>
                <w:sz w:val="18"/>
                <w:szCs w:val="18"/>
                <w:color w:val="auto"/>
              </w:rPr>
              <w:t>/s/ James A. Dowd</w:t>
            </w:r>
          </w:p>
        </w:tc>
      </w:tr>
      <w:tr>
        <w:trPr>
          <w:trHeight w:val="20"/>
        </w:trPr>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gridSpan w:val="4"/>
          </w:tcPr>
          <w:p>
            <w:pPr>
              <w:ind w:left="4120"/>
              <w:spacing w:after="0"/>
              <w:rPr>
                <w:sz w:val="20"/>
                <w:szCs w:val="20"/>
                <w:color w:val="auto"/>
              </w:rPr>
            </w:pPr>
            <w:r>
              <w:rPr>
                <w:rFonts w:ascii="Arial" w:cs="Arial" w:eastAsia="Arial" w:hAnsi="Arial"/>
                <w:sz w:val="18"/>
                <w:szCs w:val="18"/>
                <w:color w:val="auto"/>
              </w:rPr>
              <w:t>James A. Dowd</w:t>
            </w:r>
          </w:p>
        </w:tc>
      </w:tr>
      <w:tr>
        <w:trPr>
          <w:trHeight w:val="230"/>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gridSpan w:val="4"/>
          </w:tcPr>
          <w:p>
            <w:pPr>
              <w:ind w:left="4120"/>
              <w:spacing w:after="0"/>
              <w:rPr>
                <w:sz w:val="20"/>
                <w:szCs w:val="20"/>
                <w:color w:val="auto"/>
              </w:rPr>
            </w:pPr>
            <w:r>
              <w:rPr>
                <w:rFonts w:ascii="Arial" w:cs="Arial" w:eastAsia="Arial" w:hAnsi="Arial"/>
                <w:sz w:val="18"/>
                <w:szCs w:val="18"/>
                <w:color w:val="auto"/>
              </w:rPr>
              <w:t>President and Chief Executive Officer</w:t>
            </w:r>
          </w:p>
        </w:tc>
      </w:tr>
      <w:tr>
        <w:trPr>
          <w:trHeight w:val="418"/>
        </w:trPr>
        <w:tc>
          <w:tcPr>
            <w:tcW w:w="4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1"/>
              </w:rPr>
              <w:t>May 15, 2023</w:t>
            </w:r>
          </w:p>
        </w:tc>
        <w:tc>
          <w:tcPr>
            <w:tcW w:w="9800" w:type="dxa"/>
            <w:vAlign w:val="bottom"/>
            <w:gridSpan w:val="4"/>
          </w:tcPr>
          <w:p>
            <w:pPr>
              <w:ind w:left="4120"/>
              <w:spacing w:after="0"/>
              <w:rPr>
                <w:sz w:val="20"/>
                <w:szCs w:val="20"/>
                <w:color w:val="auto"/>
              </w:rPr>
            </w:pPr>
            <w:r>
              <w:rPr>
                <w:rFonts w:ascii="Arial" w:cs="Arial" w:eastAsia="Arial" w:hAnsi="Arial"/>
                <w:sz w:val="18"/>
                <w:szCs w:val="18"/>
                <w:color w:val="auto"/>
              </w:rPr>
              <w:t>/s/ Walter F. Rusnak</w:t>
            </w:r>
          </w:p>
        </w:tc>
      </w:tr>
      <w:tr>
        <w:trPr>
          <w:trHeight w:val="20"/>
        </w:trPr>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0" w:type="dxa"/>
            <w:vAlign w:val="bottom"/>
            <w:gridSpan w:val="4"/>
          </w:tcPr>
          <w:p>
            <w:pPr>
              <w:ind w:left="4120"/>
              <w:spacing w:after="0"/>
              <w:rPr>
                <w:sz w:val="20"/>
                <w:szCs w:val="20"/>
                <w:color w:val="auto"/>
              </w:rPr>
            </w:pPr>
            <w:r>
              <w:rPr>
                <w:rFonts w:ascii="Arial" w:cs="Arial" w:eastAsia="Arial" w:hAnsi="Arial"/>
                <w:sz w:val="18"/>
                <w:szCs w:val="18"/>
                <w:color w:val="auto"/>
              </w:rPr>
              <w:t>Walter F. Rusnak</w:t>
            </w:r>
          </w:p>
        </w:tc>
      </w:tr>
      <w:tr>
        <w:trPr>
          <w:trHeight w:val="230"/>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gridSpan w:val="4"/>
          </w:tcPr>
          <w:p>
            <w:pPr>
              <w:ind w:left="4120"/>
              <w:spacing w:after="0"/>
              <w:rPr>
                <w:sz w:val="20"/>
                <w:szCs w:val="20"/>
                <w:color w:val="auto"/>
              </w:rPr>
            </w:pPr>
            <w:r>
              <w:rPr>
                <w:rFonts w:ascii="Arial" w:cs="Arial" w:eastAsia="Arial" w:hAnsi="Arial"/>
                <w:sz w:val="18"/>
                <w:szCs w:val="18"/>
                <w:color w:val="auto"/>
              </w:rPr>
              <w:t>Senior Vice President, Chief Financial Officer</w:t>
            </w:r>
          </w:p>
        </w:tc>
      </w:tr>
      <w:tr>
        <w:trPr>
          <w:trHeight w:val="1208"/>
        </w:trPr>
        <w:tc>
          <w:tcPr>
            <w:tcW w:w="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lvl w:ilvl="1">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01"/>
    </w:lvl>
  </w:abstractNum>
  <w:abstractNum w:abstractNumId="11">
    <w:nsid w:val="DED7263"/>
    <w:multiLevelType w:val="hybridMultilevel"/>
    <w:lvl w:ilvl="0">
      <w:lvlJc w:val="left"/>
      <w:lvlText w:val="%1"/>
      <w:numFmt w:val="decimal"/>
      <w:start w:val="104"/>
    </w:lvl>
    <w:lvl w:ilvl="1">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3"/>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2023-05-15T15:46:23Z</dcterms:created>
  <dcterms:modified xsi:type="dcterms:W3CDTF">2023-05-15T15:46:23Z</dcterms:modified>
</cp:coreProperties>
</file>