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173990</wp:posOffset>
            </wp:positionV>
            <wp:extent cx="182562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001-36695</w:t>
      </w:r>
    </w:p>
    <w:p>
      <w:pPr>
        <w:spacing w:after="0" w:line="243"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3540" w:type="dxa"/>
            <w:vAlign w:val="bottom"/>
            <w:gridSpan w:val="2"/>
          </w:tcPr>
          <w:p>
            <w:pPr>
              <w:jc w:val="center"/>
              <w:ind w:right="2840"/>
              <w:spacing w:after="0"/>
              <w:rPr>
                <w:sz w:val="20"/>
                <w:szCs w:val="20"/>
                <w:color w:val="auto"/>
              </w:rPr>
            </w:pPr>
            <w:r>
              <w:rPr>
                <w:rFonts w:ascii="Times New Roman" w:cs="Times New Roman" w:eastAsia="Times New Roman" w:hAnsi="Times New Roman"/>
                <w:sz w:val="18"/>
                <w:szCs w:val="18"/>
                <w:color w:val="auto"/>
                <w:w w:val="99"/>
              </w:rPr>
              <w:t>Maryland</w:t>
            </w:r>
          </w:p>
        </w:tc>
        <w:tc>
          <w:tcPr>
            <w:tcW w:w="39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38-3941859</w:t>
            </w:r>
          </w:p>
        </w:tc>
      </w:tr>
      <w:tr>
        <w:trPr>
          <w:trHeight w:val="20"/>
        </w:trPr>
        <w:tc>
          <w:tcPr>
            <w:tcW w:w="1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214 West First Street, Oswego, NY 13126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 (Zip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(315) 343-0057</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(Issuer's Telephone Number including area code)</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9"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23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00" w:type="dxa"/>
            <w:vAlign w:val="bottom"/>
          </w:tcPr>
          <w:p>
            <w:pPr>
              <w:spacing w:after="0"/>
              <w:rPr>
                <w:sz w:val="20"/>
                <w:szCs w:val="20"/>
                <w:color w:val="auto"/>
              </w:rPr>
            </w:pPr>
          </w:p>
        </w:tc>
        <w:tc>
          <w:tcPr>
            <w:tcW w:w="21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rPr>
              <w:t>PBHC</w:t>
            </w:r>
          </w:p>
        </w:tc>
        <w:tc>
          <w:tcPr>
            <w:tcW w:w="74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48" w:lineRule="exact"/>
        <w:rPr>
          <w:sz w:val="24"/>
          <w:szCs w:val="24"/>
          <w:color w:val="auto"/>
        </w:rPr>
      </w:pPr>
    </w:p>
    <w:p>
      <w:pPr>
        <w:ind w:left="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 Submission of Matters to a Vote of Security Holders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2026 Annual Meeting of Shareholders of the Company was held on June 4, 2026. At the 2026 Annual Meeting, shareholders approved all of the proposals which included (i) the election of four directors, David Ayoub, William Barclay, James Dowd, and John Sharkey, each for a three-year term and until their successors have been elected and qualified; and (ii) the ratification of the appointment of Bonadio &amp; Company, LLP, as the independent registered public accounting firm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tabulation of votes with respect to the election of the four directors at the 2026 Annual Meeting: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Number of Votes</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Director nominees for a three-year term:</w:t>
            </w:r>
          </w:p>
        </w:tc>
        <w:tc>
          <w:tcPr>
            <w:tcW w:w="2680" w:type="dxa"/>
            <w:vAlign w:val="bottom"/>
          </w:tcPr>
          <w:p>
            <w:pPr>
              <w:spacing w:after="0"/>
              <w:rPr>
                <w:sz w:val="24"/>
                <w:szCs w:val="24"/>
                <w:color w:val="auto"/>
              </w:rPr>
            </w:pPr>
          </w:p>
        </w:tc>
        <w:tc>
          <w:tcPr>
            <w:tcW w:w="15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For</w:t>
            </w:r>
          </w:p>
        </w:tc>
        <w:tc>
          <w:tcPr>
            <w:tcW w:w="2280" w:type="dxa"/>
            <w:vAlign w:val="bottom"/>
            <w:gridSpan w:val="4"/>
          </w:tcPr>
          <w:p>
            <w:pPr>
              <w:jc w:val="center"/>
              <w:ind w:right="1600"/>
              <w:spacing w:after="0"/>
              <w:rPr>
                <w:sz w:val="20"/>
                <w:szCs w:val="20"/>
                <w:color w:val="auto"/>
              </w:rPr>
            </w:pPr>
            <w:r>
              <w:rPr>
                <w:rFonts w:ascii="Times New Roman" w:cs="Times New Roman" w:eastAsia="Times New Roman" w:hAnsi="Times New Roman"/>
                <w:sz w:val="18"/>
                <w:szCs w:val="18"/>
                <w:color w:val="auto"/>
              </w:rPr>
              <w:t>Withheld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 Votes</w:t>
            </w:r>
          </w:p>
        </w:tc>
        <w:tc>
          <w:tcPr>
            <w:tcW w:w="0" w:type="dxa"/>
            <w:vAlign w:val="bottom"/>
          </w:tcPr>
          <w:p>
            <w:pPr>
              <w:spacing w:after="0"/>
              <w:rPr>
                <w:sz w:val="1"/>
                <w:szCs w:val="1"/>
                <w:color w:val="auto"/>
              </w:rPr>
            </w:pPr>
          </w:p>
        </w:tc>
      </w:tr>
      <w:tr>
        <w:trPr>
          <w:trHeight w:val="201"/>
        </w:trPr>
        <w:tc>
          <w:tcPr>
            <w:tcW w:w="2920" w:type="dxa"/>
            <w:vAlign w:val="bottom"/>
            <w:tcBorders>
              <w:bottom w:val="single" w:sz="8" w:color="auto"/>
            </w:tcBorders>
            <w:vMerge w:val="continue"/>
          </w:tcPr>
          <w:p>
            <w:pPr>
              <w:spacing w:after="0"/>
              <w:rPr>
                <w:sz w:val="17"/>
                <w:szCs w:val="17"/>
                <w:color w:val="auto"/>
              </w:rPr>
            </w:pPr>
          </w:p>
        </w:tc>
        <w:tc>
          <w:tcPr>
            <w:tcW w:w="26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David Ayoub</w:t>
            </w:r>
          </w:p>
        </w:tc>
        <w:tc>
          <w:tcPr>
            <w:tcW w:w="4240" w:type="dxa"/>
            <w:vAlign w:val="bottom"/>
            <w:gridSpan w:val="3"/>
          </w:tcPr>
          <w:p>
            <w:pPr>
              <w:jc w:val="center"/>
              <w:ind w:left="1310"/>
              <w:spacing w:after="0"/>
              <w:rPr>
                <w:sz w:val="20"/>
                <w:szCs w:val="20"/>
                <w:color w:val="auto"/>
              </w:rPr>
            </w:pPr>
            <w:r>
              <w:rPr>
                <w:rFonts w:ascii="Times New Roman" w:cs="Times New Roman" w:eastAsia="Times New Roman" w:hAnsi="Times New Roman"/>
                <w:sz w:val="18"/>
                <w:szCs w:val="18"/>
                <w:color w:val="auto"/>
                <w:w w:val="99"/>
              </w:rPr>
              <w:t>2,988,385</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169,760</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836,980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William Barclay</w:t>
            </w:r>
          </w:p>
        </w:tc>
        <w:tc>
          <w:tcPr>
            <w:tcW w:w="4240" w:type="dxa"/>
            <w:vAlign w:val="bottom"/>
            <w:gridSpan w:val="3"/>
          </w:tcPr>
          <w:p>
            <w:pPr>
              <w:jc w:val="center"/>
              <w:ind w:left="1310"/>
              <w:spacing w:after="0"/>
              <w:rPr>
                <w:sz w:val="20"/>
                <w:szCs w:val="20"/>
                <w:color w:val="auto"/>
              </w:rPr>
            </w:pPr>
            <w:r>
              <w:rPr>
                <w:rFonts w:ascii="Times New Roman" w:cs="Times New Roman" w:eastAsia="Times New Roman" w:hAnsi="Times New Roman"/>
                <w:sz w:val="18"/>
                <w:szCs w:val="18"/>
                <w:color w:val="auto"/>
                <w:w w:val="99"/>
              </w:rPr>
              <w:t>2,966,515</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191,630</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836,980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James Dowd</w:t>
            </w:r>
          </w:p>
        </w:tc>
        <w:tc>
          <w:tcPr>
            <w:tcW w:w="4240" w:type="dxa"/>
            <w:vAlign w:val="bottom"/>
            <w:gridSpan w:val="3"/>
          </w:tcPr>
          <w:p>
            <w:pPr>
              <w:jc w:val="center"/>
              <w:ind w:left="1310"/>
              <w:spacing w:after="0"/>
              <w:rPr>
                <w:sz w:val="20"/>
                <w:szCs w:val="20"/>
                <w:color w:val="auto"/>
              </w:rPr>
            </w:pPr>
            <w:r>
              <w:rPr>
                <w:rFonts w:ascii="Times New Roman" w:cs="Times New Roman" w:eastAsia="Times New Roman" w:hAnsi="Times New Roman"/>
                <w:sz w:val="18"/>
                <w:szCs w:val="18"/>
                <w:color w:val="auto"/>
                <w:w w:val="99"/>
              </w:rPr>
              <w:t>3,052,032</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106,113</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836,980</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John Sharkey</w:t>
            </w:r>
          </w:p>
        </w:tc>
        <w:tc>
          <w:tcPr>
            <w:tcW w:w="4240" w:type="dxa"/>
            <w:vAlign w:val="bottom"/>
            <w:gridSpan w:val="3"/>
          </w:tcPr>
          <w:p>
            <w:pPr>
              <w:jc w:val="center"/>
              <w:ind w:left="1310"/>
              <w:spacing w:after="0"/>
              <w:rPr>
                <w:sz w:val="20"/>
                <w:szCs w:val="20"/>
                <w:color w:val="auto"/>
              </w:rPr>
            </w:pPr>
            <w:r>
              <w:rPr>
                <w:rFonts w:ascii="Times New Roman" w:cs="Times New Roman" w:eastAsia="Times New Roman" w:hAnsi="Times New Roman"/>
                <w:sz w:val="18"/>
                <w:szCs w:val="18"/>
                <w:color w:val="auto"/>
                <w:w w:val="99"/>
              </w:rPr>
              <w:t>2,545,016</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613,129</w:t>
            </w: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836,980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tabulation of votes with respect to the approval of the ratification of Bonadio &amp; Company, LLP, as our independent registered public accounting firm for the year ending December 31,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780" w:type="dxa"/>
            <w:vAlign w:val="bottom"/>
          </w:tcPr>
          <w:p>
            <w:pPr>
              <w:spacing w:after="0"/>
              <w:rPr>
                <w:sz w:val="17"/>
                <w:szCs w:val="17"/>
                <w:color w:val="auto"/>
              </w:rPr>
            </w:pPr>
          </w:p>
        </w:tc>
        <w:tc>
          <w:tcPr>
            <w:tcW w:w="37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Against</w:t>
            </w: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0"/>
        </w:trPr>
        <w:tc>
          <w:tcPr>
            <w:tcW w:w="1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3780" w:type="dxa"/>
            <w:vAlign w:val="bottom"/>
            <w:gridSpan w:val="3"/>
          </w:tcPr>
          <w:p>
            <w:pPr>
              <w:jc w:val="right"/>
              <w:ind w:right="1540"/>
              <w:spacing w:after="0"/>
              <w:rPr>
                <w:sz w:val="20"/>
                <w:szCs w:val="20"/>
                <w:color w:val="auto"/>
              </w:rPr>
            </w:pPr>
            <w:r>
              <w:rPr>
                <w:rFonts w:ascii="Times New Roman" w:cs="Times New Roman" w:eastAsia="Times New Roman" w:hAnsi="Times New Roman"/>
                <w:sz w:val="18"/>
                <w:szCs w:val="18"/>
                <w:color w:val="auto"/>
              </w:rPr>
              <w:t>3,981,917</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8,109</w:t>
            </w:r>
          </w:p>
        </w:tc>
        <w:tc>
          <w:tcPr>
            <w:tcW w:w="1580" w:type="dxa"/>
            <w:vAlign w:val="bottom"/>
          </w:tcPr>
          <w:p>
            <w:pPr>
              <w:spacing w:after="0"/>
              <w:rPr>
                <w:sz w:val="20"/>
                <w:szCs w:val="20"/>
                <w:color w:val="auto"/>
              </w:rPr>
            </w:pPr>
          </w:p>
        </w:tc>
        <w:tc>
          <w:tcPr>
            <w:tcW w:w="2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5,099</w:t>
            </w:r>
          </w:p>
        </w:tc>
        <w:tc>
          <w:tcPr>
            <w:tcW w:w="1600" w:type="dxa"/>
            <w:vAlign w:val="bottom"/>
          </w:tcPr>
          <w:p>
            <w:pPr>
              <w:spacing w:after="0"/>
              <w:rPr>
                <w:sz w:val="20"/>
                <w:szCs w:val="20"/>
                <w:color w:val="auto"/>
              </w:rPr>
            </w:pPr>
          </w:p>
        </w:tc>
      </w:tr>
      <w:tr>
        <w:trPr>
          <w:trHeight w:val="1195"/>
        </w:trPr>
        <w:tc>
          <w:tcPr>
            <w:tcW w:w="1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ind w:left="2340" w:hanging="902"/>
        <w:spacing w:after="0"/>
        <w:tabs>
          <w:tab w:leader="none" w:pos="2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businesses acquired. None.</w:t>
      </w:r>
    </w:p>
    <w:p>
      <w:pPr>
        <w:spacing w:after="0" w:line="36" w:lineRule="exact"/>
        <w:rPr>
          <w:rFonts w:ascii="Times New Roman" w:cs="Times New Roman" w:eastAsia="Times New Roman" w:hAnsi="Times New Roman"/>
          <w:sz w:val="18"/>
          <w:szCs w:val="18"/>
          <w:color w:val="auto"/>
        </w:rPr>
      </w:pPr>
    </w:p>
    <w:p>
      <w:pPr>
        <w:ind w:left="2340" w:hanging="902"/>
        <w:spacing w:after="0"/>
        <w:tabs>
          <w:tab w:leader="none" w:pos="2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 None.</w:t>
      </w:r>
    </w:p>
    <w:p>
      <w:pPr>
        <w:spacing w:after="0" w:line="36" w:lineRule="exact"/>
        <w:rPr>
          <w:rFonts w:ascii="Times New Roman" w:cs="Times New Roman" w:eastAsia="Times New Roman" w:hAnsi="Times New Roman"/>
          <w:sz w:val="18"/>
          <w:szCs w:val="18"/>
          <w:color w:val="auto"/>
        </w:rPr>
      </w:pPr>
    </w:p>
    <w:p>
      <w:pPr>
        <w:ind w:left="2340" w:hanging="902"/>
        <w:spacing w:after="0"/>
        <w:tabs>
          <w:tab w:leader="none" w:pos="2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company transactions: None.</w:t>
      </w:r>
    </w:p>
    <w:p>
      <w:pPr>
        <w:spacing w:after="0" w:line="36" w:lineRule="exact"/>
        <w:rPr>
          <w:rFonts w:ascii="Times New Roman" w:cs="Times New Roman" w:eastAsia="Times New Roman" w:hAnsi="Times New Roman"/>
          <w:sz w:val="18"/>
          <w:szCs w:val="18"/>
          <w:color w:val="auto"/>
        </w:rPr>
      </w:pPr>
    </w:p>
    <w:p>
      <w:pPr>
        <w:ind w:left="2340" w:hanging="902"/>
        <w:spacing w:after="0"/>
        <w:tabs>
          <w:tab w:leader="none" w:pos="2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jc w:val="both"/>
        <w:ind w:left="2340"/>
        <w:spacing w:after="0"/>
        <w:tabs>
          <w:tab w:leader="none" w:pos="3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in the cover page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PATHFINDER BANCORP, INC.</w:t>
            </w:r>
          </w:p>
        </w:tc>
      </w:tr>
      <w:tr>
        <w:trPr>
          <w:trHeight w:val="6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72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James A. Dowd</w:t>
            </w:r>
          </w:p>
        </w:tc>
      </w:tr>
      <w:tr>
        <w:trPr>
          <w:trHeight w:val="191"/>
        </w:trPr>
        <w:tc>
          <w:tcPr>
            <w:tcW w:w="540" w:type="dxa"/>
            <w:vAlign w:val="bottom"/>
          </w:tcPr>
          <w:p>
            <w:pPr>
              <w:spacing w:after="0"/>
              <w:rPr>
                <w:sz w:val="16"/>
                <w:szCs w:val="16"/>
                <w:color w:val="auto"/>
              </w:rPr>
            </w:pPr>
          </w:p>
        </w:tc>
        <w:tc>
          <w:tcPr>
            <w:tcW w:w="3440" w:type="dxa"/>
            <w:vAlign w:val="bottom"/>
            <w:tcBorders>
              <w:top w:val="single" w:sz="8" w:color="auto"/>
            </w:tcBorders>
          </w:tcPr>
          <w:p>
            <w:pPr>
              <w:spacing w:after="0"/>
              <w:rPr>
                <w:sz w:val="16"/>
                <w:szCs w:val="16"/>
                <w:color w:val="auto"/>
              </w:rPr>
            </w:pPr>
          </w:p>
        </w:tc>
        <w:tc>
          <w:tcPr>
            <w:tcW w:w="21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A. Dowd</w:t>
            </w:r>
          </w:p>
        </w:tc>
      </w:tr>
      <w:tr>
        <w:trPr>
          <w:trHeight w:val="234"/>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79"/>
        </w:trPr>
        <w:tc>
          <w:tcPr>
            <w:tcW w:w="5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2026-06-04T12:29:02Z</dcterms:created>
  <dcterms:modified xsi:type="dcterms:W3CDTF">2026-06-04T12:29:02Z</dcterms:modified>
</cp:coreProperties>
</file>